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FB9C" w14:textId="77777777" w:rsidR="00F3203A" w:rsidRPr="00EF276B" w:rsidRDefault="00000000" w:rsidP="00695F66">
      <w:pPr>
        <w:jc w:val="right"/>
        <w:rPr>
          <w:rFonts w:ascii="Dubai" w:hAnsi="Dubai" w:cs="Dubai"/>
          <w:lang w:val="en-GB"/>
        </w:rPr>
      </w:pPr>
      <w:r w:rsidRPr="00EF276B">
        <w:rPr>
          <w:rFonts w:ascii="Dubai" w:hAnsi="Dubai" w:cs="Dubai"/>
          <w:noProof/>
          <w:lang w:val="en-GB"/>
        </w:rPr>
        <w:drawing>
          <wp:inline distT="0" distB="0" distL="0" distR="0" wp14:anchorId="5116B7FD" wp14:editId="5181D649">
            <wp:extent cx="2412000" cy="1200864"/>
            <wp:effectExtent l="0" t="0" r="7620" b="0"/>
            <wp:docPr id="1" name="Picture 1" descr="Australia's Disability Strategy 2021 - 2031 (استراتيجية الإعاقة الخاصة بأستراليا ٢٠٢١ - ٢٠٣١)، إنشاء مجتمع شامل معً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s Disability Strategy 2021 - 2031 (استراتيجية الإعاقة الخاصة بأستراليا ٢٠٢١ - ٢٠٣١)، إنشاء مجتمع شامل معًا"/>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2000" cy="1200864"/>
                    </a:xfrm>
                    <a:prstGeom prst="rect">
                      <a:avLst/>
                    </a:prstGeom>
                    <a:noFill/>
                    <a:ln>
                      <a:noFill/>
                    </a:ln>
                  </pic:spPr>
                </pic:pic>
              </a:graphicData>
            </a:graphic>
          </wp:inline>
        </w:drawing>
      </w:r>
    </w:p>
    <w:sdt>
      <w:sdtPr>
        <w:rPr>
          <w:rFonts w:ascii="Dubai" w:hAnsi="Dubai" w:cs="Dubai"/>
          <w:bCs/>
          <w:szCs w:val="60"/>
          <w:rtl/>
          <w:lang w:val="en-GB"/>
        </w:rPr>
        <w:alias w:val="Title"/>
        <w:id w:val="962933352"/>
        <w:placeholder>
          <w:docPart w:val="B0527FB4F3A447D3A088CA95CEB01AAF"/>
        </w:placeholder>
        <w:dataBinding w:prefixMappings="xmlns:ns0='http://purl.org/dc/elements/1.1/' xmlns:ns1='http://schemas.openxmlformats.org/package/2006/metadata/core-properties' " w:xpath="/ns1:coreProperties[1]/ns0:title[1]" w:storeItemID="{6C3C8BC8-F283-45AE-878A-BAB7291924A1}"/>
        <w:text/>
      </w:sdtPr>
      <w:sdtContent>
        <w:p w14:paraId="44D55A27" w14:textId="7D39F594" w:rsidR="00D66FF9" w:rsidRPr="00EF276B" w:rsidRDefault="006D257A" w:rsidP="00D66FF9">
          <w:pPr>
            <w:pStyle w:val="Title"/>
            <w:bidi/>
            <w:rPr>
              <w:rFonts w:ascii="Dubai" w:hAnsi="Dubai" w:cs="Dubai"/>
              <w:lang w:val="en-GB"/>
            </w:rPr>
          </w:pPr>
          <w:r w:rsidRPr="00EF276B">
            <w:rPr>
              <w:rFonts w:ascii="Dubai" w:hAnsi="Dubai" w:cs="Dubai"/>
              <w:bCs/>
              <w:szCs w:val="60"/>
              <w:rtl/>
              <w:lang w:val="en-GB"/>
            </w:rPr>
            <w:t>استراتيجية الإعاقة الخاصة بأستراليا</w:t>
          </w:r>
          <w:r w:rsidRPr="00EF276B">
            <w:rPr>
              <w:rFonts w:ascii="Dubai" w:hAnsi="Dubai" w:cs="Dubai"/>
              <w:bCs/>
              <w:szCs w:val="60"/>
              <w:lang w:val="en-GB"/>
            </w:rPr>
            <w:t xml:space="preserve"> 2031</w:t>
          </w:r>
          <w:r>
            <w:rPr>
              <w:rFonts w:ascii="Dubai" w:hAnsi="Dubai" w:cs="Dubai"/>
              <w:bCs/>
              <w:szCs w:val="60"/>
              <w:lang w:val="en-GB"/>
            </w:rPr>
            <w:t xml:space="preserve"> </w:t>
          </w:r>
          <w:r w:rsidRPr="00824F79">
            <w:rPr>
              <w:rFonts w:ascii="Dubai" w:hAnsi="Dubai" w:cs="Dubai"/>
              <w:bCs/>
              <w:szCs w:val="60"/>
              <w:lang w:val="en-GB"/>
            </w:rPr>
            <w:t>–</w:t>
          </w:r>
          <w:r>
            <w:rPr>
              <w:rFonts w:ascii="Dubai" w:hAnsi="Dubai" w:cs="Dubai"/>
              <w:bCs/>
              <w:szCs w:val="60"/>
              <w:lang w:val="en-GB"/>
            </w:rPr>
            <w:t xml:space="preserve"> </w:t>
          </w:r>
          <w:r w:rsidRPr="00E64473">
            <w:rPr>
              <w:rFonts w:ascii="Dubai" w:hAnsi="Dubai" w:cs="Dubai"/>
              <w:bCs/>
              <w:szCs w:val="60"/>
              <w:lang w:val="en-GB"/>
            </w:rPr>
            <w:t>2021</w:t>
          </w:r>
        </w:p>
      </w:sdtContent>
    </w:sdt>
    <w:p w14:paraId="47F052C6" w14:textId="77E5A456" w:rsidR="00F3203A" w:rsidRDefault="00000000" w:rsidP="00D66FF9">
      <w:pPr>
        <w:pStyle w:val="Subtitle"/>
        <w:bidi/>
        <w:rPr>
          <w:rFonts w:ascii="Dubai" w:hAnsi="Dubai" w:cs="Dubai"/>
          <w:bCs/>
          <w:szCs w:val="36"/>
          <w:lang w:val="ar"/>
        </w:rPr>
      </w:pPr>
      <w:r w:rsidRPr="00EF276B">
        <w:rPr>
          <w:rFonts w:ascii="Dubai" w:hAnsi="Dubai" w:cs="Dubai"/>
          <w:bCs/>
          <w:szCs w:val="36"/>
          <w:rtl/>
          <w:lang w:val="ar"/>
        </w:rPr>
        <w:t>ملخص خطة تحسين البيانات</w:t>
      </w:r>
    </w:p>
    <w:p w14:paraId="3FDE6DC7" w14:textId="08DE0873" w:rsidR="00EF276B" w:rsidRPr="00EF276B" w:rsidRDefault="00EF276B" w:rsidP="00A4556C">
      <w:pPr>
        <w:spacing w:after="0"/>
        <w:jc w:val="right"/>
        <w:rPr>
          <w:lang w:val="ar"/>
        </w:rPr>
      </w:pPr>
      <w:r w:rsidRPr="00EF276B">
        <w:rPr>
          <w:color w:val="005689"/>
        </w:rPr>
        <w:t>Arabic</w:t>
      </w:r>
      <w:r w:rsidR="00BB3CED">
        <w:rPr>
          <w:color w:val="005689"/>
        </w:rPr>
        <w:t xml:space="preserve"> </w:t>
      </w:r>
      <w:r w:rsidR="00BB3CED" w:rsidRPr="00EF276B">
        <w:rPr>
          <w:rFonts w:cs="Arial"/>
          <w:color w:val="005689"/>
          <w:rtl/>
        </w:rPr>
        <w:t>|</w:t>
      </w:r>
      <w:r w:rsidR="00BB3CED">
        <w:rPr>
          <w:color w:val="005689"/>
        </w:rPr>
        <w:t xml:space="preserve"> </w:t>
      </w:r>
      <w:r w:rsidRPr="00EF276B">
        <w:rPr>
          <w:rFonts w:ascii="Dubai" w:hAnsi="Dubai" w:cs="Dubai"/>
          <w:color w:val="005689"/>
          <w:szCs w:val="22"/>
          <w:rtl/>
        </w:rPr>
        <w:t>العربية</w:t>
      </w:r>
    </w:p>
    <w:p w14:paraId="69A45024" w14:textId="77777777" w:rsidR="00D66FF9" w:rsidRPr="00695F66" w:rsidRDefault="00000000" w:rsidP="00EF276B">
      <w:pPr>
        <w:pStyle w:val="TOCHeading"/>
        <w:bidi/>
        <w:spacing w:before="100"/>
        <w:rPr>
          <w:rFonts w:ascii="Dubai" w:hAnsi="Dubai" w:cs="Dubai"/>
          <w:bCs/>
          <w:szCs w:val="36"/>
          <w:lang w:val="en-GB"/>
        </w:rPr>
      </w:pPr>
      <w:r w:rsidRPr="00695F66">
        <w:rPr>
          <w:rFonts w:ascii="Dubai" w:hAnsi="Dubai" w:cs="Dubai"/>
          <w:bCs/>
          <w:szCs w:val="36"/>
          <w:rtl/>
          <w:lang w:val="ar"/>
        </w:rPr>
        <w:t>المحتويات</w:t>
      </w:r>
    </w:p>
    <w:p w14:paraId="5FA36997" w14:textId="1C94E6D6" w:rsidR="000972F4" w:rsidRPr="00695F66" w:rsidRDefault="00000000" w:rsidP="00695F66">
      <w:pPr>
        <w:pStyle w:val="TOC2"/>
        <w:rPr>
          <w:bCs/>
          <w:noProof/>
          <w:szCs w:val="22"/>
        </w:rPr>
      </w:pPr>
      <w:r w:rsidRPr="00EF276B">
        <w:rPr>
          <w:lang w:val="en-GB"/>
        </w:rPr>
        <w:fldChar w:fldCharType="begin"/>
      </w:r>
      <w:r w:rsidRPr="00EF276B">
        <w:rPr>
          <w:lang w:val="en-GB"/>
        </w:rPr>
        <w:instrText xml:space="preserve"> TOC \o "2-2" \h \z \t "Heading 1,1,Heading 1 Numbered,1" </w:instrText>
      </w:r>
      <w:r w:rsidRPr="00EF276B">
        <w:rPr>
          <w:lang w:val="en-GB"/>
        </w:rPr>
        <w:fldChar w:fldCharType="separate"/>
      </w:r>
      <w:hyperlink w:anchor="_Toc256000000" w:history="1">
        <w:r w:rsidRPr="00695F66">
          <w:rPr>
            <w:rStyle w:val="Hyperlink"/>
            <w:rFonts w:ascii="Dubai" w:hAnsi="Dubai" w:cs="Dubai"/>
            <w:bCs/>
            <w:noProof/>
            <w:szCs w:val="22"/>
            <w:rtl/>
            <w:lang w:val="ar"/>
          </w:rPr>
          <w:t>المقدمة</w:t>
        </w:r>
        <w:r w:rsidRPr="00695F66">
          <w:rPr>
            <w:bCs/>
            <w:noProof/>
            <w:szCs w:val="22"/>
          </w:rPr>
          <w:tab/>
        </w:r>
        <w:r w:rsidRPr="00695F66">
          <w:rPr>
            <w:bCs/>
            <w:noProof/>
            <w:szCs w:val="22"/>
          </w:rPr>
          <w:fldChar w:fldCharType="begin"/>
        </w:r>
        <w:r w:rsidRPr="00695F66">
          <w:rPr>
            <w:bCs/>
            <w:noProof/>
            <w:szCs w:val="22"/>
          </w:rPr>
          <w:instrText xml:space="preserve"> PAGEREF _Toc256000000 \h </w:instrText>
        </w:r>
        <w:r w:rsidRPr="00695F66">
          <w:rPr>
            <w:bCs/>
            <w:noProof/>
            <w:szCs w:val="22"/>
          </w:rPr>
        </w:r>
        <w:r w:rsidRPr="00695F66">
          <w:rPr>
            <w:bCs/>
            <w:noProof/>
            <w:szCs w:val="22"/>
          </w:rPr>
          <w:fldChar w:fldCharType="separate"/>
        </w:r>
        <w:r w:rsidR="001B6B30">
          <w:rPr>
            <w:bCs/>
            <w:noProof/>
            <w:szCs w:val="22"/>
            <w:rtl/>
          </w:rPr>
          <w:t>1</w:t>
        </w:r>
        <w:r w:rsidRPr="00695F66">
          <w:rPr>
            <w:bCs/>
            <w:noProof/>
            <w:szCs w:val="22"/>
          </w:rPr>
          <w:fldChar w:fldCharType="end"/>
        </w:r>
      </w:hyperlink>
    </w:p>
    <w:p w14:paraId="1B16B101" w14:textId="58CC4FA3" w:rsidR="000972F4" w:rsidRPr="00695F66" w:rsidRDefault="00000000" w:rsidP="00695F66">
      <w:pPr>
        <w:pStyle w:val="TOC2"/>
        <w:rPr>
          <w:bCs/>
          <w:noProof/>
          <w:szCs w:val="22"/>
        </w:rPr>
      </w:pPr>
      <w:hyperlink w:anchor="_Toc256000001" w:history="1">
        <w:r w:rsidRPr="00695F66">
          <w:rPr>
            <w:rStyle w:val="Hyperlink"/>
            <w:rFonts w:ascii="Dubai" w:hAnsi="Dubai" w:cs="Dubai"/>
            <w:bCs/>
            <w:noProof/>
            <w:szCs w:val="22"/>
            <w:rtl/>
            <w:lang w:val="ar"/>
          </w:rPr>
          <w:t>التوافق</w:t>
        </w:r>
        <w:r w:rsidRPr="00695F66">
          <w:rPr>
            <w:bCs/>
            <w:noProof/>
            <w:szCs w:val="22"/>
          </w:rPr>
          <w:tab/>
        </w:r>
        <w:r w:rsidRPr="00695F66">
          <w:rPr>
            <w:bCs/>
            <w:noProof/>
            <w:szCs w:val="22"/>
          </w:rPr>
          <w:fldChar w:fldCharType="begin"/>
        </w:r>
        <w:r w:rsidRPr="00695F66">
          <w:rPr>
            <w:bCs/>
            <w:noProof/>
            <w:szCs w:val="22"/>
          </w:rPr>
          <w:instrText xml:space="preserve"> PAGEREF _Toc256000001 \h </w:instrText>
        </w:r>
        <w:r w:rsidRPr="00695F66">
          <w:rPr>
            <w:bCs/>
            <w:noProof/>
            <w:szCs w:val="22"/>
          </w:rPr>
        </w:r>
        <w:r w:rsidRPr="00695F66">
          <w:rPr>
            <w:bCs/>
            <w:noProof/>
            <w:szCs w:val="22"/>
          </w:rPr>
          <w:fldChar w:fldCharType="separate"/>
        </w:r>
        <w:r w:rsidR="001B6B30">
          <w:rPr>
            <w:bCs/>
            <w:noProof/>
            <w:szCs w:val="22"/>
            <w:rtl/>
          </w:rPr>
          <w:t>2</w:t>
        </w:r>
        <w:r w:rsidRPr="00695F66">
          <w:rPr>
            <w:bCs/>
            <w:noProof/>
            <w:szCs w:val="22"/>
          </w:rPr>
          <w:fldChar w:fldCharType="end"/>
        </w:r>
      </w:hyperlink>
    </w:p>
    <w:p w14:paraId="50914376" w14:textId="6E86EF29" w:rsidR="000972F4" w:rsidRPr="00695F66" w:rsidRDefault="00000000" w:rsidP="00695F66">
      <w:pPr>
        <w:pStyle w:val="TOC2"/>
        <w:rPr>
          <w:bCs/>
          <w:noProof/>
          <w:szCs w:val="22"/>
        </w:rPr>
      </w:pPr>
      <w:hyperlink w:anchor="_Toc256000002" w:history="1">
        <w:r w:rsidRPr="00695F66">
          <w:rPr>
            <w:rStyle w:val="Hyperlink"/>
            <w:rFonts w:ascii="Dubai" w:hAnsi="Dubai" w:cs="Dubai"/>
            <w:bCs/>
            <w:noProof/>
            <w:szCs w:val="22"/>
            <w:rtl/>
            <w:lang w:val="ar"/>
          </w:rPr>
          <w:t>البيانات</w:t>
        </w:r>
        <w:r w:rsidRPr="00695F66">
          <w:rPr>
            <w:bCs/>
            <w:noProof/>
            <w:szCs w:val="22"/>
          </w:rPr>
          <w:tab/>
        </w:r>
        <w:r w:rsidRPr="00695F66">
          <w:rPr>
            <w:bCs/>
            <w:noProof/>
            <w:szCs w:val="22"/>
          </w:rPr>
          <w:fldChar w:fldCharType="begin"/>
        </w:r>
        <w:r w:rsidRPr="00695F66">
          <w:rPr>
            <w:bCs/>
            <w:noProof/>
            <w:szCs w:val="22"/>
          </w:rPr>
          <w:instrText xml:space="preserve"> PAGEREF _Toc256000002 \h </w:instrText>
        </w:r>
        <w:r w:rsidRPr="00695F66">
          <w:rPr>
            <w:bCs/>
            <w:noProof/>
            <w:szCs w:val="22"/>
          </w:rPr>
        </w:r>
        <w:r w:rsidRPr="00695F66">
          <w:rPr>
            <w:bCs/>
            <w:noProof/>
            <w:szCs w:val="22"/>
          </w:rPr>
          <w:fldChar w:fldCharType="separate"/>
        </w:r>
        <w:r w:rsidR="001B6B30">
          <w:rPr>
            <w:bCs/>
            <w:noProof/>
            <w:szCs w:val="22"/>
            <w:rtl/>
          </w:rPr>
          <w:t>2</w:t>
        </w:r>
        <w:r w:rsidRPr="00695F66">
          <w:rPr>
            <w:bCs/>
            <w:noProof/>
            <w:szCs w:val="22"/>
          </w:rPr>
          <w:fldChar w:fldCharType="end"/>
        </w:r>
      </w:hyperlink>
    </w:p>
    <w:p w14:paraId="6FD5E65F" w14:textId="640FEDAF" w:rsidR="000972F4" w:rsidRPr="00695F66" w:rsidRDefault="00000000" w:rsidP="00695F66">
      <w:pPr>
        <w:pStyle w:val="TOC2"/>
        <w:rPr>
          <w:bCs/>
          <w:noProof/>
          <w:szCs w:val="22"/>
        </w:rPr>
      </w:pPr>
      <w:hyperlink w:anchor="_Toc256000003" w:history="1">
        <w:r w:rsidRPr="00695F66">
          <w:rPr>
            <w:rStyle w:val="Hyperlink"/>
            <w:rFonts w:ascii="Dubai" w:hAnsi="Dubai" w:cs="Dubai"/>
            <w:bCs/>
            <w:noProof/>
            <w:szCs w:val="22"/>
            <w:rtl/>
            <w:lang w:val="ar"/>
          </w:rPr>
          <w:t>التنوع والتداخل</w:t>
        </w:r>
        <w:r w:rsidRPr="00695F66">
          <w:rPr>
            <w:bCs/>
            <w:noProof/>
            <w:szCs w:val="22"/>
          </w:rPr>
          <w:tab/>
        </w:r>
        <w:r w:rsidRPr="00695F66">
          <w:rPr>
            <w:bCs/>
            <w:noProof/>
            <w:szCs w:val="22"/>
          </w:rPr>
          <w:fldChar w:fldCharType="begin"/>
        </w:r>
        <w:r w:rsidRPr="00695F66">
          <w:rPr>
            <w:bCs/>
            <w:noProof/>
            <w:szCs w:val="22"/>
          </w:rPr>
          <w:instrText xml:space="preserve"> PAGEREF _Toc256000003 \h </w:instrText>
        </w:r>
        <w:r w:rsidRPr="00695F66">
          <w:rPr>
            <w:bCs/>
            <w:noProof/>
            <w:szCs w:val="22"/>
          </w:rPr>
        </w:r>
        <w:r w:rsidRPr="00695F66">
          <w:rPr>
            <w:bCs/>
            <w:noProof/>
            <w:szCs w:val="22"/>
          </w:rPr>
          <w:fldChar w:fldCharType="separate"/>
        </w:r>
        <w:r w:rsidR="001B6B30">
          <w:rPr>
            <w:bCs/>
            <w:noProof/>
            <w:szCs w:val="22"/>
            <w:rtl/>
          </w:rPr>
          <w:t>3</w:t>
        </w:r>
        <w:r w:rsidRPr="00695F66">
          <w:rPr>
            <w:bCs/>
            <w:noProof/>
            <w:szCs w:val="22"/>
          </w:rPr>
          <w:fldChar w:fldCharType="end"/>
        </w:r>
      </w:hyperlink>
    </w:p>
    <w:p w14:paraId="7BF3C8EA" w14:textId="149DD0A0" w:rsidR="000972F4" w:rsidRPr="00695F66" w:rsidRDefault="00000000" w:rsidP="00695F66">
      <w:pPr>
        <w:pStyle w:val="TOC2"/>
        <w:rPr>
          <w:bCs/>
          <w:noProof/>
          <w:szCs w:val="22"/>
        </w:rPr>
      </w:pPr>
      <w:hyperlink w:anchor="_Toc256000004" w:history="1">
        <w:r w:rsidRPr="00695F66">
          <w:rPr>
            <w:rStyle w:val="Hyperlink"/>
            <w:rFonts w:ascii="Dubai" w:hAnsi="Dubai" w:cs="Dubai"/>
            <w:bCs/>
            <w:noProof/>
            <w:szCs w:val="22"/>
            <w:rtl/>
            <w:lang w:val="ar"/>
          </w:rPr>
          <w:t>التدابير المستقبلية في إطار النتائج</w:t>
        </w:r>
        <w:r w:rsidRPr="00695F66">
          <w:rPr>
            <w:bCs/>
            <w:noProof/>
            <w:szCs w:val="22"/>
          </w:rPr>
          <w:tab/>
        </w:r>
        <w:r w:rsidRPr="00695F66">
          <w:rPr>
            <w:bCs/>
            <w:noProof/>
            <w:szCs w:val="22"/>
          </w:rPr>
          <w:fldChar w:fldCharType="begin"/>
        </w:r>
        <w:r w:rsidRPr="00695F66">
          <w:rPr>
            <w:bCs/>
            <w:noProof/>
            <w:szCs w:val="22"/>
          </w:rPr>
          <w:instrText xml:space="preserve"> PAGEREF _Toc256000004 \h </w:instrText>
        </w:r>
        <w:r w:rsidRPr="00695F66">
          <w:rPr>
            <w:bCs/>
            <w:noProof/>
            <w:szCs w:val="22"/>
          </w:rPr>
        </w:r>
        <w:r w:rsidRPr="00695F66">
          <w:rPr>
            <w:bCs/>
            <w:noProof/>
            <w:szCs w:val="22"/>
          </w:rPr>
          <w:fldChar w:fldCharType="separate"/>
        </w:r>
        <w:r w:rsidR="001B6B30">
          <w:rPr>
            <w:bCs/>
            <w:noProof/>
            <w:szCs w:val="22"/>
            <w:rtl/>
          </w:rPr>
          <w:t>3</w:t>
        </w:r>
        <w:r w:rsidRPr="00695F66">
          <w:rPr>
            <w:bCs/>
            <w:noProof/>
            <w:szCs w:val="22"/>
          </w:rPr>
          <w:fldChar w:fldCharType="end"/>
        </w:r>
      </w:hyperlink>
    </w:p>
    <w:p w14:paraId="526FA355" w14:textId="0AB69644" w:rsidR="000972F4" w:rsidRPr="00695F66" w:rsidRDefault="00000000" w:rsidP="00695F66">
      <w:pPr>
        <w:pStyle w:val="TOC2"/>
        <w:rPr>
          <w:bCs/>
          <w:noProof/>
          <w:szCs w:val="22"/>
        </w:rPr>
      </w:pPr>
      <w:hyperlink w:anchor="_Toc256000005" w:history="1">
        <w:r w:rsidRPr="00695F66">
          <w:rPr>
            <w:rStyle w:val="Hyperlink"/>
            <w:rFonts w:ascii="Dubai" w:hAnsi="Dubai" w:cs="Dubai"/>
            <w:bCs/>
            <w:noProof/>
            <w:szCs w:val="22"/>
            <w:rtl/>
            <w:lang w:val="ar"/>
          </w:rPr>
          <w:t>تدابير البدء في إطار النتائج</w:t>
        </w:r>
        <w:r w:rsidRPr="00695F66">
          <w:rPr>
            <w:bCs/>
            <w:noProof/>
            <w:szCs w:val="22"/>
          </w:rPr>
          <w:tab/>
        </w:r>
        <w:r w:rsidRPr="00695F66">
          <w:rPr>
            <w:bCs/>
            <w:noProof/>
            <w:szCs w:val="22"/>
          </w:rPr>
          <w:fldChar w:fldCharType="begin"/>
        </w:r>
        <w:r w:rsidRPr="00695F66">
          <w:rPr>
            <w:bCs/>
            <w:noProof/>
            <w:szCs w:val="22"/>
          </w:rPr>
          <w:instrText xml:space="preserve"> PAGEREF _Toc256000005 \h </w:instrText>
        </w:r>
        <w:r w:rsidRPr="00695F66">
          <w:rPr>
            <w:bCs/>
            <w:noProof/>
            <w:szCs w:val="22"/>
          </w:rPr>
        </w:r>
        <w:r w:rsidRPr="00695F66">
          <w:rPr>
            <w:bCs/>
            <w:noProof/>
            <w:szCs w:val="22"/>
          </w:rPr>
          <w:fldChar w:fldCharType="separate"/>
        </w:r>
        <w:r w:rsidR="001B6B30">
          <w:rPr>
            <w:bCs/>
            <w:noProof/>
            <w:szCs w:val="22"/>
            <w:rtl/>
          </w:rPr>
          <w:t>4</w:t>
        </w:r>
        <w:r w:rsidRPr="00695F66">
          <w:rPr>
            <w:bCs/>
            <w:noProof/>
            <w:szCs w:val="22"/>
          </w:rPr>
          <w:fldChar w:fldCharType="end"/>
        </w:r>
      </w:hyperlink>
    </w:p>
    <w:p w14:paraId="1FD9C421" w14:textId="249D51A7" w:rsidR="000972F4" w:rsidRPr="00695F66" w:rsidRDefault="00000000" w:rsidP="00695F66">
      <w:pPr>
        <w:pStyle w:val="TOC2"/>
        <w:rPr>
          <w:bCs/>
          <w:noProof/>
          <w:szCs w:val="22"/>
        </w:rPr>
      </w:pPr>
      <w:hyperlink w:anchor="_Toc256000006" w:history="1">
        <w:r w:rsidRPr="00695F66">
          <w:rPr>
            <w:rStyle w:val="Hyperlink"/>
            <w:rFonts w:ascii="Dubai" w:hAnsi="Dubai" w:cs="Dubai"/>
            <w:bCs/>
            <w:noProof/>
            <w:szCs w:val="22"/>
            <w:rtl/>
            <w:lang w:val="ar"/>
          </w:rPr>
          <w:t>الطريق إلى الأمام</w:t>
        </w:r>
        <w:r w:rsidRPr="00695F66">
          <w:rPr>
            <w:bCs/>
            <w:noProof/>
            <w:szCs w:val="22"/>
          </w:rPr>
          <w:tab/>
        </w:r>
        <w:r w:rsidRPr="00695F66">
          <w:rPr>
            <w:bCs/>
            <w:noProof/>
            <w:szCs w:val="22"/>
          </w:rPr>
          <w:fldChar w:fldCharType="begin"/>
        </w:r>
        <w:r w:rsidRPr="00695F66">
          <w:rPr>
            <w:bCs/>
            <w:noProof/>
            <w:szCs w:val="22"/>
          </w:rPr>
          <w:instrText xml:space="preserve"> PAGEREF _Toc256000006 \h </w:instrText>
        </w:r>
        <w:r w:rsidRPr="00695F66">
          <w:rPr>
            <w:bCs/>
            <w:noProof/>
            <w:szCs w:val="22"/>
          </w:rPr>
        </w:r>
        <w:r w:rsidRPr="00695F66">
          <w:rPr>
            <w:bCs/>
            <w:noProof/>
            <w:szCs w:val="22"/>
          </w:rPr>
          <w:fldChar w:fldCharType="separate"/>
        </w:r>
        <w:r w:rsidR="001B6B30">
          <w:rPr>
            <w:bCs/>
            <w:noProof/>
            <w:szCs w:val="22"/>
            <w:rtl/>
          </w:rPr>
          <w:t>4</w:t>
        </w:r>
        <w:r w:rsidRPr="00695F66">
          <w:rPr>
            <w:bCs/>
            <w:noProof/>
            <w:szCs w:val="22"/>
          </w:rPr>
          <w:fldChar w:fldCharType="end"/>
        </w:r>
      </w:hyperlink>
    </w:p>
    <w:p w14:paraId="0045EE13" w14:textId="77777777" w:rsidR="00F3203A" w:rsidRPr="00695F66" w:rsidRDefault="00000000" w:rsidP="00D66FF9">
      <w:pPr>
        <w:pStyle w:val="Heading2"/>
        <w:bidi/>
        <w:rPr>
          <w:rFonts w:ascii="Dubai" w:hAnsi="Dubai" w:cs="Dubai"/>
          <w:bCs/>
          <w:szCs w:val="36"/>
          <w:lang w:val="en-GB"/>
        </w:rPr>
      </w:pPr>
      <w:r w:rsidRPr="00EF276B">
        <w:rPr>
          <w:rFonts w:ascii="Dubai" w:hAnsi="Dubai" w:cs="Dubai"/>
          <w:lang w:val="en-GB"/>
        </w:rPr>
        <w:fldChar w:fldCharType="end"/>
      </w:r>
      <w:bookmarkStart w:id="0" w:name="_Toc256000000"/>
      <w:r w:rsidRPr="00695F66">
        <w:rPr>
          <w:rFonts w:ascii="Dubai" w:hAnsi="Dubai" w:cs="Dubai"/>
          <w:bCs/>
          <w:szCs w:val="36"/>
          <w:rtl/>
          <w:lang w:val="ar"/>
        </w:rPr>
        <w:t>المقدمة</w:t>
      </w:r>
      <w:bookmarkEnd w:id="0"/>
    </w:p>
    <w:p w14:paraId="15CAF857" w14:textId="77777777" w:rsidR="00F3203A" w:rsidRPr="00695F66" w:rsidRDefault="00000000" w:rsidP="00D66FF9">
      <w:pPr>
        <w:pStyle w:val="IntroPara"/>
        <w:bidi/>
        <w:rPr>
          <w:rFonts w:ascii="Dubai" w:hAnsi="Dubai" w:cs="Dubai"/>
          <w:szCs w:val="28"/>
          <w:lang w:val="en-GB"/>
        </w:rPr>
      </w:pPr>
      <w:r w:rsidRPr="00695F66">
        <w:rPr>
          <w:rFonts w:ascii="Dubai" w:hAnsi="Dubai" w:cs="Dubai"/>
          <w:szCs w:val="28"/>
          <w:rtl/>
          <w:lang w:val="ar"/>
        </w:rPr>
        <w:t xml:space="preserve">الغرض من خطة تحسين البيانات </w:t>
      </w:r>
      <w:hyperlink r:id="rId9" w:history="1">
        <w:r w:rsidRPr="00695F66">
          <w:rPr>
            <w:rStyle w:val="Hyperlink"/>
            <w:rFonts w:ascii="Dubai" w:hAnsi="Dubai" w:cs="Dubai"/>
            <w:szCs w:val="28"/>
            <w:rtl/>
            <w:lang w:val="ar"/>
          </w:rPr>
          <w:t>باستراتيجية الإعاقة الخاصة بأستراليا</w:t>
        </w:r>
      </w:hyperlink>
      <w:r w:rsidRPr="00695F66">
        <w:rPr>
          <w:rFonts w:ascii="Dubai" w:hAnsi="Dubai" w:cs="Dubai"/>
          <w:szCs w:val="28"/>
          <w:rtl/>
          <w:lang w:val="ar"/>
        </w:rPr>
        <w:t xml:space="preserve"> (الإستراتيجية) هو تحسين البيانات اللازمة لتتبع التقدم في مقابل إطار عمل نتائج الإستراتيجية (إطار النتائج). يتكون إطار النتائج من 85 مقياسًا عبر 7 مجالات للنتائج. واحد وأربعون مقياسًا للنظم، و40 مقياسًا سكانياً، و4 مقاييس لمواقف المجتمع. وهي تشمل إجراءات البدء التي تحتوي بالفعل على بيانات للإبلاغ عنها والتدابير المستقبلية التي تتطلب تطوير البيانات أو ربطها من أجل الإبلاغ عنها.</w:t>
      </w:r>
    </w:p>
    <w:p w14:paraId="26A5E63E"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lastRenderedPageBreak/>
        <w:t>قامت وزارة الخدمات الاجتماعية (DSS) بتطوير خطة تحسين البيانات (DIP) بالتشاور مع الأشخاص ذوي الإعاقة والوكالات الحكومية الأسترالية وفي الولايات والأقاليم. هناك حاجة إلى ترتيبات متعددة الاختصاصات لتقديم البيانات لإطار النتائج. القرارات النهائية المتعلقة بتحسين البيانات ستكون في يد وزراء إصلاح الإعاقة.</w:t>
      </w:r>
    </w:p>
    <w:p w14:paraId="457EA90D" w14:textId="77777777" w:rsidR="00F3203A" w:rsidRPr="00EF276B" w:rsidRDefault="00000000" w:rsidP="00D66FF9">
      <w:pPr>
        <w:bidi/>
        <w:rPr>
          <w:rFonts w:ascii="Dubai" w:hAnsi="Dubai" w:cs="Dubai"/>
          <w:lang w:val="en-GB"/>
        </w:rPr>
      </w:pPr>
      <w:r w:rsidRPr="00695F66">
        <w:rPr>
          <w:rFonts w:ascii="Dubai" w:hAnsi="Dubai" w:cs="Dubai"/>
          <w:szCs w:val="22"/>
          <w:rtl/>
          <w:lang w:val="ar"/>
        </w:rPr>
        <w:t>اتفقت جميع الحكومات على العمل بشكل وثيق مع الأشخاص ذوي الإعاقة طوال مدة الاستراتيجية. سيتم الاستماع إلى آراء الأشخاص ذوي الإعاقة وأصحاب المصلحة في قطاع الإعاقة والمجموعات المتنوعة داخل القطاع والنظر فيها. ستستمر المشاركة مع الأشخاص ذوي الإعاقة والمجموعات المتداخلة مثل الأشخاص ذوي الإعاقة من الأمم الأولى، والأشخاص ذوي الإعاقة من المجتمعات المتنوعة ثقافياً ولغوياً، والنساء ذوات الإعاقة لضمان مراعاة مجموعة واسعة من وجهات النظر وإدراجها.</w:t>
      </w:r>
    </w:p>
    <w:p w14:paraId="2728438C" w14:textId="77777777" w:rsidR="00F3203A" w:rsidRPr="00695F66" w:rsidRDefault="00000000" w:rsidP="002E6979">
      <w:pPr>
        <w:pStyle w:val="Heading2"/>
        <w:bidi/>
        <w:rPr>
          <w:rFonts w:ascii="Dubai" w:hAnsi="Dubai" w:cs="Dubai"/>
          <w:bCs/>
          <w:szCs w:val="36"/>
          <w:lang w:val="en-GB"/>
        </w:rPr>
      </w:pPr>
      <w:bookmarkStart w:id="1" w:name="_Toc256000001"/>
      <w:r w:rsidRPr="00695F66">
        <w:rPr>
          <w:rFonts w:ascii="Dubai" w:hAnsi="Dubai" w:cs="Dubai"/>
          <w:bCs/>
          <w:szCs w:val="36"/>
          <w:rtl/>
          <w:lang w:val="ar"/>
        </w:rPr>
        <w:t>التوافق</w:t>
      </w:r>
      <w:bookmarkEnd w:id="1"/>
    </w:p>
    <w:p w14:paraId="4EB413F2" w14:textId="72503097" w:rsidR="00F3203A" w:rsidRPr="00695F66" w:rsidRDefault="00FB3C00" w:rsidP="00D66FF9">
      <w:pPr>
        <w:bidi/>
        <w:rPr>
          <w:rFonts w:ascii="Dubai" w:hAnsi="Dubai" w:cs="Dubai"/>
          <w:szCs w:val="22"/>
          <w:lang w:val="en-GB"/>
        </w:rPr>
      </w:pPr>
      <w:r>
        <w:rPr>
          <w:rFonts w:ascii="Dubai" w:hAnsi="Dubai" w:cs="Dubai" w:hint="cs"/>
          <w:szCs w:val="22"/>
          <w:rtl/>
          <w:lang w:val="ar"/>
        </w:rPr>
        <w:t>ت</w:t>
      </w:r>
      <w:r w:rsidRPr="00695F66">
        <w:rPr>
          <w:rFonts w:ascii="Dubai" w:hAnsi="Dubai" w:cs="Dubai"/>
          <w:szCs w:val="22"/>
          <w:rtl/>
          <w:lang w:val="ar"/>
        </w:rPr>
        <w:t>تماشى</w:t>
      </w:r>
      <w:r w:rsidR="00000000" w:rsidRPr="00695F66">
        <w:rPr>
          <w:rFonts w:ascii="Dubai" w:hAnsi="Dubai" w:cs="Dubai"/>
          <w:szCs w:val="22"/>
          <w:rtl/>
          <w:lang w:val="ar"/>
        </w:rPr>
        <w:t xml:space="preserve"> DIP مع المستندات التالية:</w:t>
      </w:r>
    </w:p>
    <w:p w14:paraId="6D6E0CB1" w14:textId="77777777" w:rsidR="00F3203A" w:rsidRPr="00695F66" w:rsidRDefault="00000000">
      <w:pPr>
        <w:pStyle w:val="Bullet1"/>
        <w:bidi/>
        <w:rPr>
          <w:rFonts w:ascii="Dubai" w:hAnsi="Dubai" w:cs="Dubai"/>
          <w:szCs w:val="22"/>
          <w:lang w:val="en-GB"/>
        </w:rPr>
      </w:pPr>
      <w:r w:rsidRPr="00695F66">
        <w:rPr>
          <w:rFonts w:ascii="Dubai" w:hAnsi="Dubai" w:cs="Dubai"/>
          <w:szCs w:val="22"/>
          <w:rtl/>
          <w:lang w:val="ar"/>
        </w:rPr>
        <w:t>استراتيجية الإعاقة الخاصة بأستراليا 2021 - 2031</w:t>
      </w:r>
    </w:p>
    <w:p w14:paraId="31E9E414" w14:textId="77777777" w:rsidR="00F3203A" w:rsidRPr="00695F66" w:rsidRDefault="00000000">
      <w:pPr>
        <w:pStyle w:val="Bullet1"/>
        <w:bidi/>
        <w:rPr>
          <w:rFonts w:ascii="Dubai" w:hAnsi="Dubai" w:cs="Dubai"/>
          <w:szCs w:val="22"/>
          <w:lang w:val="en-GB"/>
        </w:rPr>
      </w:pPr>
      <w:r w:rsidRPr="00695F66">
        <w:rPr>
          <w:rFonts w:ascii="Dubai" w:hAnsi="Dubai" w:cs="Dubai"/>
          <w:szCs w:val="22"/>
          <w:rtl/>
          <w:lang w:val="ar"/>
        </w:rPr>
        <w:t>الاتفاقية الوطنية لسد الفجوة.</w:t>
      </w:r>
    </w:p>
    <w:p w14:paraId="74DF9DD1" w14:textId="77777777" w:rsidR="00F3203A" w:rsidRPr="00695F66" w:rsidRDefault="00000000" w:rsidP="00D66FF9">
      <w:pPr>
        <w:pStyle w:val="Heading2"/>
        <w:bidi/>
        <w:rPr>
          <w:rFonts w:ascii="Dubai" w:hAnsi="Dubai" w:cs="Dubai"/>
          <w:bCs/>
          <w:szCs w:val="36"/>
          <w:lang w:val="en-GB"/>
        </w:rPr>
      </w:pPr>
      <w:bookmarkStart w:id="2" w:name="_Toc256000002"/>
      <w:r w:rsidRPr="00695F66">
        <w:rPr>
          <w:rFonts w:ascii="Dubai" w:hAnsi="Dubai" w:cs="Dubai"/>
          <w:bCs/>
          <w:szCs w:val="36"/>
          <w:rtl/>
          <w:lang w:val="ar"/>
        </w:rPr>
        <w:t>البيانات</w:t>
      </w:r>
      <w:bookmarkEnd w:id="2"/>
    </w:p>
    <w:p w14:paraId="41B650DD"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ستأتي البيانات الخاصة بإطار النتائج من مصادر مختلفة، بما في ذلك:</w:t>
      </w:r>
    </w:p>
    <w:p w14:paraId="0A490488" w14:textId="77777777" w:rsidR="00F3203A" w:rsidRPr="00695F66" w:rsidRDefault="00000000">
      <w:pPr>
        <w:pStyle w:val="Bullet1"/>
        <w:bidi/>
        <w:rPr>
          <w:rFonts w:ascii="Dubai" w:hAnsi="Dubai" w:cs="Dubai"/>
          <w:szCs w:val="22"/>
          <w:lang w:val="en-GB"/>
        </w:rPr>
      </w:pPr>
      <w:r w:rsidRPr="00695F66">
        <w:rPr>
          <w:rFonts w:ascii="Dubai" w:hAnsi="Dubai" w:cs="Dubai"/>
          <w:szCs w:val="22"/>
          <w:rtl/>
          <w:lang w:val="ar"/>
        </w:rPr>
        <w:t>بيانات الاستبيان، بما في ذلك من الاستبيان بشأن الإعاقة والشيخوخة ومقدمي الرعاية (SDAC)، واستطلاعات ABS الأخرى، واستبيان إستراتيجية الإعاقة الخاصة بأستراليا (استبيان الإستراتيجية) حول مواقف المجتمع تجاه الأشخاص ذوي الإعاقة</w:t>
      </w:r>
    </w:p>
    <w:p w14:paraId="2E3F8B82" w14:textId="77777777" w:rsidR="00F3203A" w:rsidRPr="00695F66" w:rsidRDefault="00000000">
      <w:pPr>
        <w:pStyle w:val="Bullet1"/>
        <w:bidi/>
        <w:rPr>
          <w:rFonts w:ascii="Dubai" w:hAnsi="Dubai" w:cs="Dubai"/>
          <w:szCs w:val="22"/>
          <w:lang w:val="en-GB"/>
        </w:rPr>
      </w:pPr>
      <w:r w:rsidRPr="00695F66">
        <w:rPr>
          <w:rFonts w:ascii="Dubai" w:hAnsi="Dubai" w:cs="Dubai"/>
          <w:szCs w:val="22"/>
          <w:rtl/>
          <w:lang w:val="ar"/>
        </w:rPr>
        <w:t>البيانات الإدارية، بما في ذلك من الخطة الوطنية للتأمين ضد الإعاقة (NDIS)، ووزارات الصحة والتعليم على مستوى الولاية والإقليم</w:t>
      </w:r>
    </w:p>
    <w:p w14:paraId="56D7B33F" w14:textId="77777777" w:rsidR="00F3203A" w:rsidRPr="00695F66" w:rsidRDefault="00000000">
      <w:pPr>
        <w:pStyle w:val="Bullet1"/>
        <w:bidi/>
        <w:rPr>
          <w:rFonts w:ascii="Dubai" w:hAnsi="Dubai" w:cs="Dubai"/>
          <w:szCs w:val="22"/>
          <w:lang w:val="en-GB"/>
        </w:rPr>
      </w:pPr>
      <w:r w:rsidRPr="00695F66">
        <w:rPr>
          <w:rFonts w:ascii="Dubai" w:hAnsi="Dubai" w:cs="Dubai"/>
          <w:szCs w:val="22"/>
          <w:rtl/>
          <w:lang w:val="ar"/>
        </w:rPr>
        <w:t>ربط مجموعات البيانات معًا لتحسين جودة البيانات وإمكانية المقارنة لإنشاء مجموعة واسعة من الرؤى الجديدة من خلال آليات بما في ذلك أصول بيانات الإعاقة الوطنية (NDDA).</w:t>
      </w:r>
    </w:p>
    <w:p w14:paraId="2C045A7E"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ستعمل إدارة البيانات عالية الجودة على تحسين عملية صنع القرار وتمكين التعاون عبر الحكومات الأسترالية وحكومات الولايات والأقاليم. سيساعد ذلك الحكومات على قياس تأثير الخدمات التي تقدمها للأشخاص ذوي الإعاقة.</w:t>
      </w:r>
    </w:p>
    <w:p w14:paraId="3E106F1D" w14:textId="77777777" w:rsidR="00F3203A" w:rsidRPr="00695F66" w:rsidRDefault="00000000" w:rsidP="00D66FF9">
      <w:pPr>
        <w:pStyle w:val="Heading2"/>
        <w:bidi/>
        <w:rPr>
          <w:rFonts w:ascii="Dubai" w:hAnsi="Dubai" w:cs="Dubai"/>
          <w:bCs/>
          <w:szCs w:val="36"/>
          <w:lang w:val="en-GB"/>
        </w:rPr>
      </w:pPr>
      <w:bookmarkStart w:id="3" w:name="_Toc256000003"/>
      <w:r w:rsidRPr="00695F66">
        <w:rPr>
          <w:rFonts w:ascii="Dubai" w:hAnsi="Dubai" w:cs="Dubai"/>
          <w:bCs/>
          <w:szCs w:val="36"/>
          <w:rtl/>
          <w:lang w:val="ar"/>
        </w:rPr>
        <w:lastRenderedPageBreak/>
        <w:t>التنوع والتداخل</w:t>
      </w:r>
      <w:bookmarkEnd w:id="3"/>
    </w:p>
    <w:p w14:paraId="17836F20"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تدرك الاستراتيجية وDIP أهمية فهم تنوع مجتمع ذوي الإعاقة والاعتراف بهم والاحتفاء بهم. يتضمن ذلك فهم التداخل، مما يعني إمكانية تعرض الأشخاص للحرمان بسبب تداخل الجنس والعمر والعرق والثقافة والهوية الجنسية والتوجه الجنسي والإعاقة وحالة الإعاقة والحالة الاجتماعية والاقتصادية والدين والأبعاد الأخرى. هذه الأبعاد متصلة. كل منهم يسترشد بالآخر ولهم تأثيرات متداخلة ومركبة.</w:t>
      </w:r>
    </w:p>
    <w:p w14:paraId="284ACBF5"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عند تطوير مصادر بيانات جديدة للتدابير المستقبلية أو تحسين البيانات لتدابير البدء، فإن القدرة على تصنيف البيانات بأكبر عدد ممكن من الطرق هي أولوية.</w:t>
      </w:r>
    </w:p>
    <w:p w14:paraId="587F4BB9" w14:textId="77777777" w:rsidR="00F3203A" w:rsidRPr="00695F66" w:rsidRDefault="00000000" w:rsidP="00D66FF9">
      <w:pPr>
        <w:pStyle w:val="Heading2"/>
        <w:bidi/>
        <w:rPr>
          <w:rFonts w:ascii="Dubai" w:hAnsi="Dubai" w:cs="Dubai"/>
          <w:bCs/>
          <w:szCs w:val="36"/>
          <w:lang w:val="en-GB"/>
        </w:rPr>
      </w:pPr>
      <w:bookmarkStart w:id="4" w:name="_Toc256000004"/>
      <w:r w:rsidRPr="00695F66">
        <w:rPr>
          <w:rFonts w:ascii="Dubai" w:hAnsi="Dubai" w:cs="Dubai"/>
          <w:bCs/>
          <w:szCs w:val="36"/>
          <w:rtl/>
          <w:lang w:val="ar"/>
        </w:rPr>
        <w:t>التدابير المستقبلية في إطار النتائج</w:t>
      </w:r>
      <w:bookmarkEnd w:id="4"/>
    </w:p>
    <w:p w14:paraId="2688CA41"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يتضمن إطار النتائج تدابير مستقبلية كجزء من الالتزام بتحسين التدابير وتنقيح إطار النتائج على مدى عمر الاستراتيجية.</w:t>
      </w:r>
    </w:p>
    <w:p w14:paraId="68C3F57B"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 xml:space="preserve">هناك 38 تدبيراً مستقبلياً. أصبحت بيانات البعض متاحة منذ بدء الاستراتيجية. سيحتاج الآخرون إلى مزيد من العمل قبل أن يكون من الممكن الإبلاغ ضدهم. </w:t>
      </w:r>
    </w:p>
    <w:p w14:paraId="40AD4FAB"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 xml:space="preserve">يتوفر الآن مقياسان وسيتم نشرهما على </w:t>
      </w:r>
      <w:hyperlink r:id="rId10" w:history="1">
        <w:r w:rsidRPr="00695F66">
          <w:rPr>
            <w:rStyle w:val="Hyperlink"/>
            <w:rFonts w:ascii="Dubai" w:hAnsi="Dubai" w:cs="Dubai"/>
            <w:szCs w:val="22"/>
            <w:rtl/>
            <w:lang w:val="ar"/>
          </w:rPr>
          <w:t>صفحات الويب الخاصة بإطار النتائج</w:t>
        </w:r>
      </w:hyperlink>
      <w:r w:rsidRPr="00695F66">
        <w:rPr>
          <w:rFonts w:ascii="Dubai" w:hAnsi="Dubai" w:cs="Dubai"/>
          <w:szCs w:val="22"/>
          <w:rtl/>
          <w:lang w:val="ar"/>
        </w:rPr>
        <w:t xml:space="preserve"> عند التحديث الأول في منتصف عام 2023. تتعلق هذه التدابير بالتوظيف بين المشاركين في NDIS وموظفي القطاع العام من ذوي الإعاقة.</w:t>
      </w:r>
    </w:p>
    <w:p w14:paraId="53D620BF"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 xml:space="preserve">سيتم اشتقاق أربعة تدابير من مسح الإستراتيجية الذي يتناول منطقة نتائج مواقف المجتمع. بدأ جمع البيانات لمسح الإستراتيجية في سبتمبر/أيلول 2022 وسوف ينتهي في يناير/كانون الثاني 2023. سيتم تجميع البيانات من بداية عام 2023، يليها تحليل من مارس/آذار إلى يونيو/حزيران 2023 ويتم نشرها على </w:t>
      </w:r>
      <w:hyperlink r:id="rId11" w:history="1">
        <w:r w:rsidRPr="00695F66">
          <w:rPr>
            <w:rStyle w:val="Hyperlink"/>
            <w:rFonts w:ascii="Dubai" w:hAnsi="Dubai" w:cs="Dubai"/>
            <w:szCs w:val="22"/>
            <w:rtl/>
            <w:lang w:val="ar"/>
          </w:rPr>
          <w:t>صفحات الويب لإطار عمل النتائج</w:t>
        </w:r>
      </w:hyperlink>
      <w:r w:rsidRPr="00695F66">
        <w:rPr>
          <w:rFonts w:ascii="Dubai" w:hAnsi="Dubai" w:cs="Dubai"/>
          <w:szCs w:val="22"/>
          <w:rtl/>
          <w:lang w:val="ar"/>
        </w:rPr>
        <w:t xml:space="preserve"> بحلول سبتمبر/أيلول 2023.</w:t>
      </w:r>
    </w:p>
    <w:p w14:paraId="58B3201E"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ستتوفر 4 تدابير أخرى في أواخر عام 2023 أو 2024. يمكن الإبلاغ عن هذه التدابير الأربعة من خلال الربط مع مشروع تكامل البيانات متعدد الوكالات (MADIP). وتتعلق هذه التدابير بطول الفترة الزمنية وعمليات إعادة الإثبات في نظام حماية الطفل، والوفيات التي يمكن تجنبها في المستشفى والقبول غير الطوعي في المستشفى.</w:t>
      </w:r>
    </w:p>
    <w:p w14:paraId="6AE40BD8"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سيستخدم أحد التدابير بيانات NDIS ويتعلق بنجاح روابط المشاركين في NDIS بالخدمات والأنظمة السائدة والمجتمعية. من المحتمل أن يكون الإبلاغ عن هذا التدبير متاحًا اعتبارًا من عام 2026.</w:t>
      </w:r>
    </w:p>
    <w:p w14:paraId="49A73B5B"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ستتطلب البيانات الخاصة بـ 7 تدابير أخرى ربطًا معقدًا للبيانات من خلال NDDA أو أصول بيانات مماثلة عبر الولايات القضائية. من المتوقع أن تصبح هذه البيانات متاحة بين عامي 2024 و2025.</w:t>
      </w:r>
    </w:p>
    <w:p w14:paraId="2F9CDC77" w14:textId="12554241" w:rsidR="00F3203A" w:rsidRPr="00695F66" w:rsidRDefault="00000000" w:rsidP="00D66FF9">
      <w:pPr>
        <w:bidi/>
        <w:rPr>
          <w:rFonts w:ascii="Dubai" w:hAnsi="Dubai" w:cs="Dubai"/>
          <w:szCs w:val="22"/>
          <w:lang w:val="en-GB"/>
        </w:rPr>
      </w:pPr>
      <w:r w:rsidRPr="00695F66">
        <w:rPr>
          <w:rFonts w:ascii="Dubai" w:hAnsi="Dubai" w:cs="Dubai"/>
          <w:szCs w:val="22"/>
          <w:rtl/>
          <w:lang w:val="ar"/>
        </w:rPr>
        <w:lastRenderedPageBreak/>
        <w:t xml:space="preserve">ستكون البيانات من أسئلة الاستبيان الجديدة مطلوبة للإبلاغ عن 12 </w:t>
      </w:r>
      <w:r w:rsidR="00FB3C00" w:rsidRPr="00695F66">
        <w:rPr>
          <w:rFonts w:ascii="Dubai" w:hAnsi="Dubai" w:cs="Dubai"/>
          <w:szCs w:val="22"/>
          <w:rtl/>
          <w:lang w:val="ar"/>
        </w:rPr>
        <w:t>تدبيراً</w:t>
      </w:r>
      <w:r w:rsidRPr="00695F66">
        <w:rPr>
          <w:rFonts w:ascii="Dubai" w:hAnsi="Dubai" w:cs="Dubai"/>
          <w:szCs w:val="22"/>
          <w:rtl/>
          <w:lang w:val="ar"/>
        </w:rPr>
        <w:t xml:space="preserve"> وتتبعها. سيتم جمع هذه البيانات عن طريق إضافة أسئلة إلى الاستبيان الحالي، مثل SDAC أو استبيان الإستراتيجية، أو من خلال استبيان جديد.</w:t>
      </w:r>
    </w:p>
    <w:p w14:paraId="2FC282DE"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هناك حاجة إلى التعاون بشأن التعاريف والمنهجية والإدارة لمعالجة التدابير الثمانية المستقبلية المتبقية. ستعقد مجموعات العمل من قبل DSS بالشراكة مع الوكالات الحكومية الأسترالية ذات الصلة وحكومات الولايات والأقاليم. بدأ التخطيط لمجموعات العمل. من المتوقع أن تختتم مجموعات العمل بحلول نهاية عام 2023. وسيتبع ذلك فترة لجمع البيانات وإعداد التقارير.</w:t>
      </w:r>
    </w:p>
    <w:p w14:paraId="54235CFB" w14:textId="77777777" w:rsidR="00F3203A" w:rsidRPr="00695F66" w:rsidRDefault="00000000" w:rsidP="00D66FF9">
      <w:pPr>
        <w:pStyle w:val="Heading2"/>
        <w:bidi/>
        <w:rPr>
          <w:rFonts w:ascii="Dubai" w:hAnsi="Dubai" w:cs="Dubai"/>
          <w:bCs/>
          <w:sz w:val="20"/>
          <w:szCs w:val="36"/>
          <w:lang w:val="en-GB"/>
        </w:rPr>
      </w:pPr>
      <w:bookmarkStart w:id="5" w:name="_Toc256000005"/>
      <w:r w:rsidRPr="00695F66">
        <w:rPr>
          <w:rFonts w:ascii="Dubai" w:hAnsi="Dubai" w:cs="Dubai"/>
          <w:bCs/>
          <w:szCs w:val="36"/>
          <w:rtl/>
          <w:lang w:val="ar"/>
        </w:rPr>
        <w:t>تدابير البدء في إطار النتائج</w:t>
      </w:r>
      <w:bookmarkEnd w:id="5"/>
    </w:p>
    <w:p w14:paraId="6BB2FD52"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ينبغي أن يؤدي ربط البيانات إلى تحسين بعض تدابير البدء من خلال:</w:t>
      </w:r>
    </w:p>
    <w:p w14:paraId="4CAD2175" w14:textId="77777777" w:rsidR="00F3203A" w:rsidRPr="00695F66" w:rsidRDefault="00000000">
      <w:pPr>
        <w:pStyle w:val="Bullet1"/>
        <w:bidi/>
        <w:rPr>
          <w:rFonts w:ascii="Dubai" w:hAnsi="Dubai" w:cs="Dubai"/>
          <w:szCs w:val="22"/>
          <w:lang w:val="en-GB"/>
        </w:rPr>
      </w:pPr>
      <w:r w:rsidRPr="00695F66">
        <w:rPr>
          <w:rFonts w:ascii="Dubai" w:hAnsi="Dubai" w:cs="Dubai"/>
          <w:szCs w:val="22"/>
          <w:rtl/>
          <w:lang w:val="ar"/>
        </w:rPr>
        <w:t>تحسين جودة البيانات المستخدمة في تحليل التدابير</w:t>
      </w:r>
    </w:p>
    <w:p w14:paraId="28E96A49" w14:textId="77777777" w:rsidR="00F3203A" w:rsidRPr="00695F66" w:rsidRDefault="00000000">
      <w:pPr>
        <w:pStyle w:val="Bullet1"/>
        <w:bidi/>
        <w:rPr>
          <w:rFonts w:ascii="Dubai" w:hAnsi="Dubai" w:cs="Dubai"/>
          <w:szCs w:val="22"/>
          <w:lang w:val="en-GB"/>
        </w:rPr>
      </w:pPr>
      <w:r w:rsidRPr="00695F66">
        <w:rPr>
          <w:rFonts w:ascii="Dubai" w:hAnsi="Dubai" w:cs="Dubai"/>
          <w:szCs w:val="22"/>
          <w:rtl/>
          <w:lang w:val="ar"/>
        </w:rPr>
        <w:t>تقديم رؤى جديدة لم تكن متاحة من قبل</w:t>
      </w:r>
    </w:p>
    <w:p w14:paraId="1D9F31C3" w14:textId="77777777" w:rsidR="00F3203A" w:rsidRPr="00695F66" w:rsidRDefault="00000000">
      <w:pPr>
        <w:pStyle w:val="Bullet1"/>
        <w:bidi/>
        <w:rPr>
          <w:rFonts w:ascii="Dubai" w:hAnsi="Dubai" w:cs="Dubai"/>
          <w:szCs w:val="22"/>
          <w:lang w:val="en-GB"/>
        </w:rPr>
      </w:pPr>
      <w:r w:rsidRPr="00695F66">
        <w:rPr>
          <w:rFonts w:ascii="Dubai" w:hAnsi="Dubai" w:cs="Dubai"/>
          <w:szCs w:val="22"/>
          <w:rtl/>
          <w:lang w:val="ar"/>
        </w:rPr>
        <w:t xml:space="preserve">زيادة وتيرة الإبلاغ عن التدابير </w:t>
      </w:r>
    </w:p>
    <w:p w14:paraId="7F44C500" w14:textId="77777777" w:rsidR="00F3203A" w:rsidRPr="00695F66" w:rsidRDefault="00000000">
      <w:pPr>
        <w:pStyle w:val="Bullet1"/>
        <w:bidi/>
        <w:rPr>
          <w:rFonts w:ascii="Dubai" w:hAnsi="Dubai" w:cs="Dubai"/>
          <w:szCs w:val="22"/>
          <w:lang w:val="en-GB"/>
        </w:rPr>
      </w:pPr>
      <w:r w:rsidRPr="00695F66">
        <w:rPr>
          <w:rFonts w:ascii="Dubai" w:hAnsi="Dubai" w:cs="Dubai"/>
          <w:szCs w:val="22"/>
          <w:rtl/>
          <w:lang w:val="ar"/>
        </w:rPr>
        <w:t xml:space="preserve">السماح للسكان بالوصول إلى نتائج قياس أكثر صلة بهم - على سبيل المثال، بناءً على الموقع الجغرافي أو نوع الإعاقة أو استخدام وسائل دعم الإعاقة. </w:t>
      </w:r>
    </w:p>
    <w:p w14:paraId="0C4695ED"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سيتم تحسين تدابير البدء الأخرى من خلال التعاون بين الحكومات الأسترالية وحكومات الولايات والأقاليم. وهذا يشمل الاتفاق على التعاريف القياسية وممارسات التجميع التي من شأنها أن تسمح بإجراء مقارنات عبر الدولة.</w:t>
      </w:r>
    </w:p>
    <w:p w14:paraId="0AF26191" w14:textId="77777777" w:rsidR="00F3203A" w:rsidRPr="00695F66" w:rsidRDefault="00000000" w:rsidP="00D66FF9">
      <w:pPr>
        <w:pStyle w:val="Heading2"/>
        <w:bidi/>
        <w:rPr>
          <w:rFonts w:ascii="Dubai" w:hAnsi="Dubai" w:cs="Dubai"/>
          <w:bCs/>
          <w:szCs w:val="36"/>
          <w:lang w:val="en-GB"/>
        </w:rPr>
      </w:pPr>
      <w:bookmarkStart w:id="6" w:name="_Toc256000006"/>
      <w:r w:rsidRPr="00695F66">
        <w:rPr>
          <w:rFonts w:ascii="Dubai" w:hAnsi="Dubai" w:cs="Dubai"/>
          <w:bCs/>
          <w:szCs w:val="36"/>
          <w:rtl/>
          <w:lang w:val="ar"/>
        </w:rPr>
        <w:t>الطريق إلى الأمام</w:t>
      </w:r>
      <w:bookmarkEnd w:id="6"/>
    </w:p>
    <w:p w14:paraId="0F95C18F" w14:textId="77777777" w:rsidR="00F3203A" w:rsidRPr="00695F66" w:rsidRDefault="00000000" w:rsidP="00D66FF9">
      <w:pPr>
        <w:bidi/>
        <w:rPr>
          <w:rFonts w:ascii="Dubai" w:hAnsi="Dubai" w:cs="Dubai"/>
          <w:szCs w:val="22"/>
          <w:lang w:val="en-GB"/>
        </w:rPr>
      </w:pPr>
      <w:r w:rsidRPr="00695F66">
        <w:rPr>
          <w:rFonts w:ascii="Dubai" w:hAnsi="Dubai" w:cs="Dubai"/>
          <w:szCs w:val="22"/>
          <w:rtl/>
          <w:lang w:val="ar"/>
        </w:rPr>
        <w:t>ستواصل جميع الحكومات، التي تعمل عن كثب مع الأشخاص ذوي الإعاقة، تطوير البيانات من أجل التدابير المستقبلية وتحسين جودة البيانات وقابليتها للاستخدام فيما يتعلق بالأشخاص ذوي الإعاقة على مدار عمر الاستراتيجية.</w:t>
      </w:r>
    </w:p>
    <w:p w14:paraId="530A66CD" w14:textId="2F544758" w:rsidR="00D66FF9" w:rsidRPr="00695F66" w:rsidRDefault="00000000" w:rsidP="00695F66">
      <w:pPr>
        <w:bidi/>
        <w:rPr>
          <w:rFonts w:ascii="Dubai" w:hAnsi="Dubai" w:cs="Dubai"/>
          <w:szCs w:val="22"/>
          <w:lang w:val="en-GB"/>
        </w:rPr>
      </w:pPr>
      <w:r w:rsidRPr="00695F66">
        <w:rPr>
          <w:rFonts w:ascii="Dubai" w:hAnsi="Dubai" w:cs="Dubai"/>
          <w:szCs w:val="22"/>
          <w:rtl/>
          <w:lang w:val="ar"/>
        </w:rPr>
        <w:t>سيتم تحديث DIP بما يتماشى مع نقاط مراجعة الإستراتيجية. ستتبع المراجعة الأولى التقرير النهائي للهيئة الملكية بشأن العنف وسوء المعاملة والإهمال واستغلال الأشخاص ذوي الإعاقة في نهاية عام 2023. ستتبع المزيد من المراجعات في عامي 2025 و2029.</w:t>
      </w:r>
    </w:p>
    <w:sectPr w:rsidR="00D66FF9" w:rsidRPr="00695F66" w:rsidSect="002E6979">
      <w:footerReference w:type="default" r:id="rId12"/>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9E4B" w14:textId="77777777" w:rsidR="007F7F26" w:rsidRDefault="007F7F26">
      <w:pPr>
        <w:spacing w:before="0" w:after="0" w:line="240" w:lineRule="auto"/>
      </w:pPr>
      <w:r>
        <w:separator/>
      </w:r>
    </w:p>
  </w:endnote>
  <w:endnote w:type="continuationSeparator" w:id="0">
    <w:p w14:paraId="18790D64" w14:textId="77777777" w:rsidR="007F7F26" w:rsidRDefault="007F7F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ubai">
    <w:panose1 w:val="020B0503030403030204"/>
    <w:charset w:val="00"/>
    <w:family w:val="swiss"/>
    <w:pitch w:val="variable"/>
    <w:sig w:usb0="80002067" w:usb1="80000000" w:usb2="00000008" w:usb3="00000000" w:csb0="00000041" w:csb1="00000000"/>
    <w:embedRegular r:id="rId1" w:fontKey="{00217CD6-34EF-4E66-A917-462BC5955121}"/>
    <w:embedBold r:id="rId2" w:fontKey="{9D0CAC3B-0F3F-444D-A6A9-F2FE3BF2444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46AB" w14:textId="1731F008" w:rsidR="00D66FF9" w:rsidRDefault="00000000">
    <w:pPr>
      <w:pStyle w:val="Footer"/>
      <w:bidi/>
    </w:pPr>
    <w:r>
      <w:fldChar w:fldCharType="begin"/>
    </w:r>
    <w:r>
      <w:rPr>
        <w:rtl/>
        <w:lang w:val="ar"/>
      </w:rPr>
      <w:instrText xml:space="preserve"> PAGE   \* MERGEFORMAT </w:instrText>
    </w:r>
    <w:r>
      <w:fldChar w:fldCharType="separate"/>
    </w:r>
    <w:r>
      <w:rPr>
        <w:noProof/>
        <w:rtl/>
        <w:lang w:val="ar"/>
      </w:rPr>
      <w:t>4</w:t>
    </w:r>
    <w:r>
      <w:rPr>
        <w:noProof/>
      </w:rPr>
      <w:fldChar w:fldCharType="end"/>
    </w:r>
    <w:r>
      <w:rPr>
        <w:noProof/>
        <w:rtl/>
        <w:lang w:val="ar"/>
      </w:rPr>
      <w:tab/>
    </w:r>
    <w:sdt>
      <w:sdtPr>
        <w:rPr>
          <w:rFonts w:ascii="Dubai" w:hAnsi="Dubai" w:cs="Dubai"/>
          <w:noProof/>
          <w:szCs w:val="16"/>
          <w:rtl/>
        </w:rPr>
        <w:alias w:val="Title"/>
        <w:id w:val="1184682729"/>
        <w:placeholder>
          <w:docPart w:val="0F488A4430304CF3AA0A68742367AFDE"/>
        </w:placeholder>
        <w:dataBinding w:prefixMappings="xmlns:ns0='http://purl.org/dc/elements/1.1/' xmlns:ns1='http://schemas.openxmlformats.org/package/2006/metadata/core-properties' " w:xpath="/ns1:coreProperties[1]/ns0:title[1]" w:storeItemID="{6C3C8BC8-F283-45AE-878A-BAB7291924A1}"/>
        <w:text/>
      </w:sdtPr>
      <w:sdtContent>
        <w:r w:rsidR="006D257A">
          <w:rPr>
            <w:rFonts w:ascii="Dubai" w:hAnsi="Dubai" w:cs="Dubai"/>
            <w:noProof/>
            <w:szCs w:val="16"/>
            <w:rtl/>
          </w:rPr>
          <w:t>استراتيجية الإعاقة الخاصة بأستراليا 2031 – 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B0B0" w14:textId="77777777" w:rsidR="007F7F26" w:rsidRDefault="007F7F26">
      <w:pPr>
        <w:spacing w:before="0" w:after="0" w:line="240" w:lineRule="auto"/>
      </w:pPr>
      <w:r>
        <w:separator/>
      </w:r>
    </w:p>
  </w:footnote>
  <w:footnote w:type="continuationSeparator" w:id="0">
    <w:p w14:paraId="0FE0CA26" w14:textId="77777777" w:rsidR="007F7F26" w:rsidRDefault="007F7F2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8B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A81945"/>
    <w:multiLevelType w:val="multilevel"/>
    <w:tmpl w:val="4624390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1F360D7B"/>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3A5140"/>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1D0C9A"/>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6E52BD4A">
      <w:start w:val="1"/>
      <w:numFmt w:val="decimal"/>
      <w:lvlText w:val="%1."/>
      <w:lvlJc w:val="left"/>
      <w:pPr>
        <w:ind w:left="720" w:hanging="360"/>
      </w:pPr>
      <w:rPr>
        <w:rFonts w:hint="default"/>
        <w:caps w:val="0"/>
        <w:vanish w:val="0"/>
        <w:color w:val="000000" w:themeColor="text1"/>
      </w:rPr>
    </w:lvl>
    <w:lvl w:ilvl="1" w:tplc="79040B0E" w:tentative="1">
      <w:start w:val="1"/>
      <w:numFmt w:val="lowerLetter"/>
      <w:lvlText w:val="%2."/>
      <w:lvlJc w:val="left"/>
      <w:pPr>
        <w:ind w:left="1440" w:hanging="360"/>
      </w:pPr>
    </w:lvl>
    <w:lvl w:ilvl="2" w:tplc="91F6ED12" w:tentative="1">
      <w:start w:val="1"/>
      <w:numFmt w:val="lowerRoman"/>
      <w:lvlText w:val="%3."/>
      <w:lvlJc w:val="right"/>
      <w:pPr>
        <w:ind w:left="2160" w:hanging="180"/>
      </w:pPr>
    </w:lvl>
    <w:lvl w:ilvl="3" w:tplc="7C647970" w:tentative="1">
      <w:start w:val="1"/>
      <w:numFmt w:val="decimal"/>
      <w:lvlText w:val="%4."/>
      <w:lvlJc w:val="left"/>
      <w:pPr>
        <w:ind w:left="2880" w:hanging="360"/>
      </w:pPr>
    </w:lvl>
    <w:lvl w:ilvl="4" w:tplc="4FA497D4" w:tentative="1">
      <w:start w:val="1"/>
      <w:numFmt w:val="lowerLetter"/>
      <w:lvlText w:val="%5."/>
      <w:lvlJc w:val="left"/>
      <w:pPr>
        <w:ind w:left="3600" w:hanging="360"/>
      </w:pPr>
    </w:lvl>
    <w:lvl w:ilvl="5" w:tplc="3DB22E38" w:tentative="1">
      <w:start w:val="1"/>
      <w:numFmt w:val="lowerRoman"/>
      <w:lvlText w:val="%6."/>
      <w:lvlJc w:val="right"/>
      <w:pPr>
        <w:ind w:left="4320" w:hanging="180"/>
      </w:pPr>
    </w:lvl>
    <w:lvl w:ilvl="6" w:tplc="6114D9E0" w:tentative="1">
      <w:start w:val="1"/>
      <w:numFmt w:val="decimal"/>
      <w:lvlText w:val="%7."/>
      <w:lvlJc w:val="left"/>
      <w:pPr>
        <w:ind w:left="5040" w:hanging="360"/>
      </w:pPr>
    </w:lvl>
    <w:lvl w:ilvl="7" w:tplc="EA5C8002" w:tentative="1">
      <w:start w:val="1"/>
      <w:numFmt w:val="lowerLetter"/>
      <w:lvlText w:val="%8."/>
      <w:lvlJc w:val="left"/>
      <w:pPr>
        <w:ind w:left="5760" w:hanging="360"/>
      </w:pPr>
    </w:lvl>
    <w:lvl w:ilvl="8" w:tplc="71BCCF98" w:tentative="1">
      <w:start w:val="1"/>
      <w:numFmt w:val="lowerRoman"/>
      <w:lvlText w:val="%9."/>
      <w:lvlJc w:val="right"/>
      <w:pPr>
        <w:ind w:left="6480" w:hanging="180"/>
      </w:pPr>
    </w:lvl>
  </w:abstractNum>
  <w:abstractNum w:abstractNumId="6" w15:restartNumberingAfterBreak="0">
    <w:nsid w:val="3F085888"/>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38A4E30"/>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549579C"/>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1AC301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8313AE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8632655">
    <w:abstractNumId w:val="2"/>
  </w:num>
  <w:num w:numId="2" w16cid:durableId="1166553388">
    <w:abstractNumId w:val="1"/>
  </w:num>
  <w:num w:numId="3" w16cid:durableId="651645370">
    <w:abstractNumId w:val="10"/>
  </w:num>
  <w:num w:numId="4" w16cid:durableId="225533611">
    <w:abstractNumId w:val="3"/>
  </w:num>
  <w:num w:numId="5" w16cid:durableId="180778598">
    <w:abstractNumId w:val="4"/>
  </w:num>
  <w:num w:numId="6" w16cid:durableId="1656372744">
    <w:abstractNumId w:val="8"/>
  </w:num>
  <w:num w:numId="7" w16cid:durableId="1797721080">
    <w:abstractNumId w:val="6"/>
  </w:num>
  <w:num w:numId="8" w16cid:durableId="333462123">
    <w:abstractNumId w:val="7"/>
  </w:num>
  <w:num w:numId="9" w16cid:durableId="1877303962">
    <w:abstractNumId w:val="9"/>
  </w:num>
  <w:num w:numId="10" w16cid:durableId="693531080">
    <w:abstractNumId w:val="5"/>
  </w:num>
  <w:num w:numId="11" w16cid:durableId="1003625333">
    <w:abstractNumId w:val="0"/>
  </w:num>
  <w:num w:numId="12" w16cid:durableId="148427374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TrueTypeFonts/>
  <w:saveSubset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79"/>
    <w:rsid w:val="000832C7"/>
    <w:rsid w:val="000972F4"/>
    <w:rsid w:val="000A23F0"/>
    <w:rsid w:val="000D275D"/>
    <w:rsid w:val="001B6B30"/>
    <w:rsid w:val="001E0101"/>
    <w:rsid w:val="00270492"/>
    <w:rsid w:val="002A1454"/>
    <w:rsid w:val="002E6979"/>
    <w:rsid w:val="00411917"/>
    <w:rsid w:val="004A5185"/>
    <w:rsid w:val="00566082"/>
    <w:rsid w:val="00571EFB"/>
    <w:rsid w:val="00583811"/>
    <w:rsid w:val="005D4502"/>
    <w:rsid w:val="005E3863"/>
    <w:rsid w:val="00683008"/>
    <w:rsid w:val="00695F66"/>
    <w:rsid w:val="006D257A"/>
    <w:rsid w:val="007F7F26"/>
    <w:rsid w:val="00916342"/>
    <w:rsid w:val="00997CD5"/>
    <w:rsid w:val="00A4556C"/>
    <w:rsid w:val="00BB3CED"/>
    <w:rsid w:val="00C679CF"/>
    <w:rsid w:val="00D32A45"/>
    <w:rsid w:val="00D66FF9"/>
    <w:rsid w:val="00D76C14"/>
    <w:rsid w:val="00DD4AD9"/>
    <w:rsid w:val="00ED0BF6"/>
    <w:rsid w:val="00EF276B"/>
    <w:rsid w:val="00F3203A"/>
    <w:rsid w:val="00FB3C00"/>
    <w:rsid w:val="00FE5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292FB"/>
  <w15:docId w15:val="{AAE5E9C4-0BC2-4D33-BDDF-C382C84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before="24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F9"/>
    <w:pPr>
      <w:suppressAutoHyphens/>
    </w:pPr>
    <w:rPr>
      <w:rFonts w:eastAsiaTheme="minorHAnsi"/>
      <w:color w:val="000000" w:themeColor="text1"/>
      <w:szCs w:val="20"/>
      <w:lang w:eastAsia="en-US"/>
    </w:rPr>
  </w:style>
  <w:style w:type="paragraph" w:styleId="Heading1">
    <w:name w:val="heading 1"/>
    <w:basedOn w:val="Normal"/>
    <w:next w:val="Normal"/>
    <w:link w:val="Heading1Char"/>
    <w:uiPriority w:val="9"/>
    <w:qFormat/>
    <w:rsid w:val="00D66FF9"/>
    <w:pPr>
      <w:keepNext/>
      <w:keepLines/>
      <w:pageBreakBefore/>
      <w:spacing w:before="0" w:after="480"/>
      <w:outlineLvl w:val="0"/>
    </w:pPr>
    <w:rPr>
      <w:rFonts w:asciiTheme="majorHAnsi" w:eastAsiaTheme="majorEastAsia" w:hAnsiTheme="majorHAnsi" w:cstheme="majorBidi"/>
      <w:b/>
      <w:color w:val="573275" w:themeColor="accent1"/>
      <w:sz w:val="44"/>
      <w:szCs w:val="32"/>
    </w:rPr>
  </w:style>
  <w:style w:type="paragraph" w:styleId="Heading2">
    <w:name w:val="heading 2"/>
    <w:basedOn w:val="Normal"/>
    <w:next w:val="Normal"/>
    <w:link w:val="Heading2Char"/>
    <w:uiPriority w:val="9"/>
    <w:qFormat/>
    <w:rsid w:val="00D66FF9"/>
    <w:pPr>
      <w:keepNext/>
      <w:keepLines/>
      <w:pBdr>
        <w:top w:val="single" w:sz="24" w:space="12" w:color="005689" w:themeColor="accent2"/>
      </w:pBdr>
      <w:spacing w:before="360" w:after="240"/>
      <w:outlineLvl w:val="1"/>
    </w:pPr>
    <w:rPr>
      <w:rFonts w:asciiTheme="majorHAnsi" w:eastAsiaTheme="majorEastAsia" w:hAnsiTheme="majorHAnsi" w:cstheme="majorBidi"/>
      <w:b/>
      <w:color w:val="005689" w:themeColor="accent2"/>
      <w:sz w:val="36"/>
      <w:szCs w:val="26"/>
    </w:rPr>
  </w:style>
  <w:style w:type="paragraph" w:styleId="Heading3">
    <w:name w:val="heading 3"/>
    <w:basedOn w:val="Normal"/>
    <w:next w:val="Normal"/>
    <w:link w:val="Heading3Char"/>
    <w:uiPriority w:val="9"/>
    <w:qFormat/>
    <w:rsid w:val="00D66FF9"/>
    <w:pPr>
      <w:keepNext/>
      <w:keepLines/>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D66FF9"/>
    <w:pPr>
      <w:keepNext/>
      <w:keepLines/>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D66FF9"/>
    <w:pPr>
      <w:keepNext/>
      <w:keepLines/>
      <w:outlineLvl w:val="4"/>
    </w:pPr>
    <w:rPr>
      <w:rFonts w:eastAsiaTheme="majorEastAsia" w:cstheme="majorBidi"/>
      <w:b/>
      <w:i/>
      <w:color w:val="auto"/>
    </w:rPr>
  </w:style>
  <w:style w:type="paragraph" w:styleId="Heading6">
    <w:name w:val="heading 6"/>
    <w:basedOn w:val="Normal"/>
    <w:next w:val="Normal"/>
    <w:link w:val="Heading6Char"/>
    <w:uiPriority w:val="9"/>
    <w:unhideWhenUsed/>
    <w:qFormat/>
    <w:rsid w:val="00D66FF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D66FF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3"/>
    <w:qFormat/>
    <w:rsid w:val="00D66FF9"/>
    <w:pPr>
      <w:keepLines/>
      <w:numPr>
        <w:ilvl w:val="1"/>
      </w:numPr>
      <w:spacing w:after="480" w:line="360" w:lineRule="exact"/>
      <w:contextualSpacing/>
    </w:pPr>
    <w:rPr>
      <w:rFonts w:eastAsiaTheme="minorEastAsia"/>
      <w:b/>
      <w:color w:val="005689" w:themeColor="accent2"/>
      <w:sz w:val="36"/>
      <w:szCs w:val="22"/>
    </w:rPr>
  </w:style>
  <w:style w:type="character" w:customStyle="1" w:styleId="SubtitleChar">
    <w:name w:val="Subtitle Char"/>
    <w:basedOn w:val="DefaultParagraphFont"/>
    <w:link w:val="Subtitle"/>
    <w:uiPriority w:val="23"/>
    <w:rsid w:val="00D66FF9"/>
    <w:rPr>
      <w:b/>
      <w:color w:val="005689" w:themeColor="accent2"/>
      <w:sz w:val="36"/>
      <w:lang w:eastAsia="en-US"/>
    </w:rPr>
  </w:style>
  <w:style w:type="character" w:styleId="Hyperlink">
    <w:name w:val="Hyperlink"/>
    <w:basedOn w:val="DefaultParagraphFont"/>
    <w:uiPriority w:val="99"/>
    <w:unhideWhenUsed/>
    <w:rsid w:val="00D66FF9"/>
    <w:rPr>
      <w:color w:val="005AFF"/>
      <w:u w:val="single"/>
    </w:rPr>
  </w:style>
  <w:style w:type="paragraph" w:styleId="Title">
    <w:name w:val="Title"/>
    <w:basedOn w:val="Normal"/>
    <w:next w:val="Normal"/>
    <w:link w:val="TitleChar"/>
    <w:uiPriority w:val="22"/>
    <w:qFormat/>
    <w:rsid w:val="00D66FF9"/>
    <w:pPr>
      <w:keepLines/>
      <w:contextualSpacing/>
      <w:outlineLvl w:val="0"/>
    </w:pPr>
    <w:rPr>
      <w:rFonts w:asciiTheme="majorHAnsi" w:eastAsiaTheme="majorEastAsia" w:hAnsiTheme="majorHAnsi" w:cstheme="majorBidi"/>
      <w:b/>
      <w:color w:val="005689" w:themeColor="accent2"/>
      <w:kern w:val="28"/>
      <w:sz w:val="60"/>
      <w:szCs w:val="56"/>
    </w:rPr>
  </w:style>
  <w:style w:type="character" w:customStyle="1" w:styleId="TitleChar">
    <w:name w:val="Title Char"/>
    <w:basedOn w:val="DefaultParagraphFont"/>
    <w:link w:val="Title"/>
    <w:uiPriority w:val="22"/>
    <w:rsid w:val="00D66FF9"/>
    <w:rPr>
      <w:rFonts w:asciiTheme="majorHAnsi" w:eastAsiaTheme="majorEastAsia" w:hAnsiTheme="majorHAnsi" w:cstheme="majorBidi"/>
      <w:b/>
      <w:color w:val="005689" w:themeColor="accent2"/>
      <w:kern w:val="28"/>
      <w:sz w:val="60"/>
      <w:szCs w:val="56"/>
      <w:lang w:eastAsia="en-US"/>
    </w:rPr>
  </w:style>
  <w:style w:type="character" w:customStyle="1" w:styleId="Heading2Char">
    <w:name w:val="Heading 2 Char"/>
    <w:basedOn w:val="DefaultParagraphFont"/>
    <w:link w:val="Heading2"/>
    <w:uiPriority w:val="9"/>
    <w:rsid w:val="00D66FF9"/>
    <w:rPr>
      <w:rFonts w:asciiTheme="majorHAnsi" w:eastAsiaTheme="majorEastAsia" w:hAnsiTheme="majorHAnsi" w:cstheme="majorBidi"/>
      <w:b/>
      <w:color w:val="005689" w:themeColor="accent2"/>
      <w:sz w:val="36"/>
      <w:szCs w:val="26"/>
      <w:lang w:eastAsia="en-US"/>
    </w:rPr>
  </w:style>
  <w:style w:type="paragraph" w:customStyle="1" w:styleId="Bullet1">
    <w:name w:val="Bullet 1"/>
    <w:basedOn w:val="Normal"/>
    <w:uiPriority w:val="2"/>
    <w:qFormat/>
    <w:rsid w:val="00D66FF9"/>
    <w:pPr>
      <w:numPr>
        <w:numId w:val="3"/>
      </w:numPr>
      <w:spacing w:before="120"/>
    </w:pPr>
  </w:style>
  <w:style w:type="paragraph" w:styleId="Caption">
    <w:name w:val="caption"/>
    <w:basedOn w:val="Normal"/>
    <w:next w:val="Normal"/>
    <w:uiPriority w:val="19"/>
    <w:qFormat/>
    <w:rsid w:val="00D66FF9"/>
    <w:pPr>
      <w:spacing w:before="0" w:after="200"/>
    </w:pPr>
    <w:rPr>
      <w:rFonts w:asciiTheme="majorHAnsi" w:hAnsiTheme="majorHAnsi"/>
      <w:iCs/>
      <w:caps/>
      <w:sz w:val="16"/>
      <w:szCs w:val="18"/>
    </w:rPr>
  </w:style>
  <w:style w:type="numbering" w:customStyle="1" w:styleId="DefaultBullets">
    <w:name w:val="Default Bullets"/>
    <w:uiPriority w:val="99"/>
    <w:rsid w:val="00D66FF9"/>
    <w:pPr>
      <w:numPr>
        <w:numId w:val="3"/>
      </w:numPr>
    </w:pPr>
  </w:style>
  <w:style w:type="table" w:styleId="GridTable5Dark-Accent1">
    <w:name w:val="Grid Table 5 Dark Accent 1"/>
    <w:basedOn w:val="TableNormal"/>
    <w:uiPriority w:val="50"/>
    <w:rsid w:val="00D66FF9"/>
    <w:pPr>
      <w:spacing w:before="120" w:after="0" w:line="240" w:lineRule="auto"/>
    </w:pPr>
    <w:rPr>
      <w:rFonts w:eastAsiaTheme="minorHAnsi"/>
      <w:color w:val="000000" w:themeColor="text1"/>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D66FF9"/>
    <w:rPr>
      <w:i/>
      <w:iCs/>
    </w:rPr>
  </w:style>
  <w:style w:type="character" w:styleId="FollowedHyperlink">
    <w:name w:val="FollowedHyperlink"/>
    <w:basedOn w:val="DefaultParagraphFont"/>
    <w:uiPriority w:val="99"/>
    <w:rsid w:val="00D66FF9"/>
    <w:rPr>
      <w:color w:val="005AFF"/>
      <w:u w:val="single"/>
    </w:rPr>
  </w:style>
  <w:style w:type="paragraph" w:styleId="Footer">
    <w:name w:val="footer"/>
    <w:basedOn w:val="Normal"/>
    <w:link w:val="FooterChar"/>
    <w:uiPriority w:val="99"/>
    <w:rsid w:val="00D66FF9"/>
    <w:pPr>
      <w:tabs>
        <w:tab w:val="left" w:pos="284"/>
      </w:tabs>
      <w:spacing w:before="0" w:after="0"/>
    </w:pPr>
    <w:rPr>
      <w:rFonts w:asciiTheme="majorHAnsi" w:hAnsiTheme="majorHAnsi"/>
      <w:sz w:val="16"/>
    </w:rPr>
  </w:style>
  <w:style w:type="character" w:customStyle="1" w:styleId="FooterChar">
    <w:name w:val="Footer Char"/>
    <w:basedOn w:val="DefaultParagraphFont"/>
    <w:link w:val="Footer"/>
    <w:uiPriority w:val="99"/>
    <w:rsid w:val="00D66FF9"/>
    <w:rPr>
      <w:rFonts w:asciiTheme="majorHAnsi" w:eastAsiaTheme="minorHAnsi" w:hAnsiTheme="majorHAnsi"/>
      <w:color w:val="000000" w:themeColor="text1"/>
      <w:sz w:val="16"/>
      <w:szCs w:val="20"/>
      <w:lang w:eastAsia="en-US"/>
    </w:rPr>
  </w:style>
  <w:style w:type="character" w:styleId="FootnoteReference">
    <w:name w:val="footnote reference"/>
    <w:basedOn w:val="DefaultParagraphFont"/>
    <w:uiPriority w:val="99"/>
    <w:rsid w:val="00D66FF9"/>
    <w:rPr>
      <w:vertAlign w:val="superscript"/>
    </w:rPr>
  </w:style>
  <w:style w:type="paragraph" w:styleId="FootnoteText">
    <w:name w:val="footnote text"/>
    <w:basedOn w:val="Normal"/>
    <w:link w:val="FootnoteTextChar"/>
    <w:uiPriority w:val="99"/>
    <w:rsid w:val="00D66FF9"/>
    <w:pPr>
      <w:spacing w:before="60"/>
    </w:pPr>
    <w:rPr>
      <w:sz w:val="18"/>
    </w:rPr>
  </w:style>
  <w:style w:type="character" w:customStyle="1" w:styleId="FootnoteTextChar">
    <w:name w:val="Footnote Text Char"/>
    <w:basedOn w:val="DefaultParagraphFont"/>
    <w:link w:val="FootnoteText"/>
    <w:uiPriority w:val="99"/>
    <w:rsid w:val="00D66FF9"/>
    <w:rPr>
      <w:rFonts w:eastAsiaTheme="minorHAnsi"/>
      <w:color w:val="000000" w:themeColor="text1"/>
      <w:sz w:val="18"/>
      <w:szCs w:val="20"/>
      <w:lang w:eastAsia="en-US"/>
    </w:rPr>
  </w:style>
  <w:style w:type="paragraph" w:styleId="Header">
    <w:name w:val="header"/>
    <w:basedOn w:val="Normal"/>
    <w:link w:val="HeaderChar"/>
    <w:uiPriority w:val="99"/>
    <w:rsid w:val="00D66FF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D66FF9"/>
    <w:rPr>
      <w:rFonts w:asciiTheme="majorHAnsi" w:eastAsiaTheme="minorHAnsi" w:hAnsiTheme="majorHAnsi"/>
      <w:b/>
      <w:color w:val="000000" w:themeColor="text1"/>
      <w:sz w:val="16"/>
      <w:szCs w:val="20"/>
      <w:lang w:eastAsia="en-US"/>
    </w:rPr>
  </w:style>
  <w:style w:type="character" w:customStyle="1" w:styleId="Heading1Char">
    <w:name w:val="Heading 1 Char"/>
    <w:basedOn w:val="DefaultParagraphFont"/>
    <w:link w:val="Heading1"/>
    <w:uiPriority w:val="9"/>
    <w:rsid w:val="00D66FF9"/>
    <w:rPr>
      <w:rFonts w:asciiTheme="majorHAnsi" w:eastAsiaTheme="majorEastAsia" w:hAnsiTheme="majorHAnsi" w:cstheme="majorBidi"/>
      <w:b/>
      <w:color w:val="573275" w:themeColor="accent1"/>
      <w:sz w:val="44"/>
      <w:szCs w:val="32"/>
      <w:lang w:eastAsia="en-US"/>
    </w:rPr>
  </w:style>
  <w:style w:type="character" w:customStyle="1" w:styleId="Heading3Char">
    <w:name w:val="Heading 3 Char"/>
    <w:basedOn w:val="DefaultParagraphFont"/>
    <w:link w:val="Heading3"/>
    <w:uiPriority w:val="9"/>
    <w:rsid w:val="00D66FF9"/>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9"/>
    <w:rsid w:val="00D66FF9"/>
    <w:rPr>
      <w:rFonts w:eastAsiaTheme="majorEastAsia" w:cstheme="majorBidi"/>
      <w:b/>
      <w:iCs/>
      <w:sz w:val="24"/>
      <w:szCs w:val="20"/>
      <w:lang w:eastAsia="en-US"/>
    </w:rPr>
  </w:style>
  <w:style w:type="character" w:customStyle="1" w:styleId="Heading5Char">
    <w:name w:val="Heading 5 Char"/>
    <w:basedOn w:val="DefaultParagraphFont"/>
    <w:link w:val="Heading5"/>
    <w:uiPriority w:val="9"/>
    <w:rsid w:val="00D66FF9"/>
    <w:rPr>
      <w:rFonts w:eastAsiaTheme="majorEastAsia" w:cstheme="majorBidi"/>
      <w:b/>
      <w:i/>
      <w:szCs w:val="20"/>
      <w:lang w:eastAsia="en-US"/>
    </w:rPr>
  </w:style>
  <w:style w:type="character" w:customStyle="1" w:styleId="Heading6Char">
    <w:name w:val="Heading 6 Char"/>
    <w:basedOn w:val="DefaultParagraphFont"/>
    <w:link w:val="Heading6"/>
    <w:uiPriority w:val="9"/>
    <w:rsid w:val="00D66FF9"/>
    <w:rPr>
      <w:rFonts w:eastAsiaTheme="majorEastAsia" w:cstheme="majorBidi"/>
      <w:b/>
      <w:i/>
      <w:color w:val="000000" w:themeColor="text1"/>
      <w:sz w:val="20"/>
      <w:szCs w:val="20"/>
      <w:lang w:eastAsia="en-US"/>
    </w:rPr>
  </w:style>
  <w:style w:type="character" w:customStyle="1" w:styleId="Heading7Char">
    <w:name w:val="Heading 7 Char"/>
    <w:basedOn w:val="DefaultParagraphFont"/>
    <w:link w:val="Heading7"/>
    <w:uiPriority w:val="9"/>
    <w:rsid w:val="00D66FF9"/>
    <w:rPr>
      <w:rFonts w:eastAsiaTheme="majorEastAsia" w:cstheme="majorBidi"/>
      <w:i/>
      <w:iCs/>
      <w:color w:val="000000" w:themeColor="text1"/>
      <w:sz w:val="20"/>
      <w:szCs w:val="20"/>
      <w:lang w:eastAsia="en-US"/>
    </w:rPr>
  </w:style>
  <w:style w:type="character" w:styleId="IntenseEmphasis">
    <w:name w:val="Intense Emphasis"/>
    <w:basedOn w:val="DefaultParagraphFont"/>
    <w:uiPriority w:val="33"/>
    <w:qFormat/>
    <w:rsid w:val="00D66FF9"/>
    <w:rPr>
      <w:b/>
      <w:i/>
      <w:iCs/>
      <w:color w:val="000000" w:themeColor="text1"/>
    </w:rPr>
  </w:style>
  <w:style w:type="paragraph" w:customStyle="1" w:styleId="IntroPara">
    <w:name w:val="Intro Para"/>
    <w:basedOn w:val="Normal"/>
    <w:uiPriority w:val="1"/>
    <w:qFormat/>
    <w:rsid w:val="00D66FF9"/>
    <w:pPr>
      <w:spacing w:after="240" w:line="400" w:lineRule="atLeast"/>
      <w:contextualSpacing/>
    </w:pPr>
    <w:rPr>
      <w:rFonts w:asciiTheme="majorHAnsi" w:hAnsiTheme="majorHAnsi"/>
      <w:color w:val="005689" w:themeColor="accent2"/>
      <w:sz w:val="28"/>
    </w:rPr>
  </w:style>
  <w:style w:type="paragraph" w:styleId="NoSpacing">
    <w:name w:val="No Spacing"/>
    <w:uiPriority w:val="1"/>
    <w:qFormat/>
    <w:rsid w:val="00D66FF9"/>
    <w:pPr>
      <w:spacing w:before="120" w:after="60" w:line="240" w:lineRule="auto"/>
      <w:contextualSpacing/>
    </w:pPr>
    <w:rPr>
      <w:rFonts w:eastAsiaTheme="minorHAnsi"/>
      <w:color w:val="000000" w:themeColor="text1"/>
      <w:sz w:val="20"/>
      <w:szCs w:val="20"/>
      <w:lang w:eastAsia="en-US"/>
    </w:rPr>
  </w:style>
  <w:style w:type="character" w:styleId="Strong">
    <w:name w:val="Strong"/>
    <w:basedOn w:val="DefaultParagraphFont"/>
    <w:uiPriority w:val="33"/>
    <w:qFormat/>
    <w:rsid w:val="00D66FF9"/>
    <w:rPr>
      <w:b/>
      <w:bCs/>
    </w:rPr>
  </w:style>
  <w:style w:type="table" w:styleId="TableGrid">
    <w:name w:val="Table Grid"/>
    <w:basedOn w:val="TableNormal"/>
    <w:uiPriority w:val="39"/>
    <w:rsid w:val="00D66FF9"/>
    <w:pPr>
      <w:spacing w:before="120" w:after="0" w:line="240" w:lineRule="auto"/>
    </w:pPr>
    <w:rPr>
      <w:rFonts w:eastAsiaTheme="minorHAnsi"/>
      <w:color w:val="000000" w:themeColor="text1"/>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6FF9"/>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695F66"/>
    <w:pPr>
      <w:tabs>
        <w:tab w:val="right" w:pos="9628"/>
      </w:tabs>
      <w:bidi/>
      <w:spacing w:before="120"/>
      <w:contextualSpacing/>
    </w:pPr>
    <w:rPr>
      <w:rFonts w:asciiTheme="majorHAnsi" w:hAnsiTheme="majorHAnsi"/>
      <w:b/>
    </w:rPr>
  </w:style>
  <w:style w:type="paragraph" w:styleId="TOC3">
    <w:name w:val="toc 3"/>
    <w:basedOn w:val="Normal"/>
    <w:next w:val="Normal"/>
    <w:autoRedefine/>
    <w:uiPriority w:val="39"/>
    <w:rsid w:val="00D66FF9"/>
    <w:pPr>
      <w:tabs>
        <w:tab w:val="right" w:pos="9628"/>
      </w:tabs>
      <w:spacing w:before="60"/>
      <w:ind w:left="567" w:hanging="567"/>
    </w:pPr>
  </w:style>
  <w:style w:type="paragraph" w:styleId="TOC4">
    <w:name w:val="toc 4"/>
    <w:basedOn w:val="Normal"/>
    <w:next w:val="Normal"/>
    <w:autoRedefine/>
    <w:uiPriority w:val="39"/>
    <w:rsid w:val="00D66FF9"/>
    <w:pPr>
      <w:tabs>
        <w:tab w:val="right" w:pos="9628"/>
      </w:tabs>
      <w:spacing w:before="60"/>
      <w:ind w:left="1135" w:hanging="851"/>
    </w:pPr>
  </w:style>
  <w:style w:type="paragraph" w:styleId="TOCHeading">
    <w:name w:val="TOC Heading"/>
    <w:basedOn w:val="Heading2"/>
    <w:next w:val="Normal"/>
    <w:uiPriority w:val="39"/>
    <w:qFormat/>
    <w:rsid w:val="00D66FF9"/>
    <w:pPr>
      <w:outlineLvl w:val="9"/>
    </w:pPr>
  </w:style>
  <w:style w:type="character" w:styleId="PlaceholderText">
    <w:name w:val="Placeholder Text"/>
    <w:basedOn w:val="DefaultParagraphFont"/>
    <w:uiPriority w:val="99"/>
    <w:semiHidden/>
    <w:rsid w:val="00D66FF9"/>
    <w:rPr>
      <w:color w:val="808080"/>
    </w:rPr>
  </w:style>
  <w:style w:type="paragraph" w:styleId="Revision">
    <w:name w:val="Revision"/>
    <w:hidden/>
    <w:uiPriority w:val="99"/>
    <w:semiHidden/>
    <w:rsid w:val="00583811"/>
    <w:pPr>
      <w:spacing w:before="0" w:after="0" w:line="240" w:lineRule="auto"/>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australias-disability-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australias-disability-strategy" TargetMode="External"/><Relationship Id="rId4" Type="http://schemas.openxmlformats.org/officeDocument/2006/relationships/settings" Target="settings.xml"/><Relationship Id="rId9" Type="http://schemas.openxmlformats.org/officeDocument/2006/relationships/hyperlink" Target="https://www.disabilitygateway.gov.au/ads" TargetMode="Externa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88A4430304CF3AA0A68742367AFDE"/>
        <w:category>
          <w:name w:val="General"/>
          <w:gallery w:val="placeholder"/>
        </w:category>
        <w:types>
          <w:type w:val="bbPlcHdr"/>
        </w:types>
        <w:behaviors>
          <w:behavior w:val="content"/>
        </w:behaviors>
        <w:guid w:val="{EA0300FB-1CB3-43EA-97C5-095DAB674E6E}"/>
      </w:docPartPr>
      <w:docPartBody>
        <w:p w:rsidR="00997CD5" w:rsidRDefault="00000000">
          <w:r w:rsidRPr="00D76C14">
            <w:rPr>
              <w:rStyle w:val="PlaceholderText"/>
            </w:rPr>
            <w:t>[Title]</w:t>
          </w:r>
        </w:p>
      </w:docPartBody>
    </w:docPart>
    <w:docPart>
      <w:docPartPr>
        <w:name w:val="B0527FB4F3A447D3A088CA95CEB01AAF"/>
        <w:category>
          <w:name w:val="General"/>
          <w:gallery w:val="placeholder"/>
        </w:category>
        <w:types>
          <w:type w:val="bbPlcHdr"/>
        </w:types>
        <w:behaviors>
          <w:behavior w:val="content"/>
        </w:behaviors>
        <w:guid w:val="{288AFE64-B620-4D7A-9870-F26F9CB5E9A0}"/>
      </w:docPartPr>
      <w:docPartBody>
        <w:p w:rsidR="00997CD5" w:rsidRDefault="00000000">
          <w:r w:rsidRPr="00D76C1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68"/>
    <w:rsid w:val="00025C2A"/>
    <w:rsid w:val="0034400F"/>
    <w:rsid w:val="003B3968"/>
    <w:rsid w:val="005F2F52"/>
    <w:rsid w:val="00794C04"/>
    <w:rsid w:val="00844D74"/>
    <w:rsid w:val="00975341"/>
    <w:rsid w:val="00997CD5"/>
    <w:rsid w:val="00A44398"/>
    <w:rsid w:val="00A96EDC"/>
    <w:rsid w:val="00F164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6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9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FB5D-D7D0-4CC7-8766-6A567121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استراتيجية الإعاقة الخاصة بأستراليا 2031 – 2021</dc:title>
  <dc:creator>Department of Social Services</dc:creator>
  <cp:lastModifiedBy>Thomas Kiorgaard</cp:lastModifiedBy>
  <cp:revision>14</cp:revision>
  <dcterms:created xsi:type="dcterms:W3CDTF">2022-12-16T03:55:00Z</dcterms:created>
  <dcterms:modified xsi:type="dcterms:W3CDTF">2022-12-21T22:12:00Z</dcterms:modified>
</cp:coreProperties>
</file>