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A781D" w14:textId="77777777" w:rsidR="00F3203A" w:rsidRDefault="00BE5271" w:rsidP="00D66FF9">
      <w:pPr>
        <w:rPr>
          <w:lang w:val="en-GB"/>
        </w:rPr>
      </w:pPr>
      <w:r>
        <w:rPr>
          <w:noProof/>
          <w:lang w:val="en-US" w:eastAsia="zh-CN"/>
        </w:rPr>
        <w:drawing>
          <wp:inline distT="0" distB="0" distL="0" distR="0" wp14:anchorId="6046D054" wp14:editId="6C33FD10">
            <wp:extent cx="2412000" cy="1200864"/>
            <wp:effectExtent l="0" t="0" r="7620" b="0"/>
            <wp:docPr id="1" name="Picture 1" descr="Australia's Disability Strategy 2021-2031 (Strategia australiana sulla disabilità 2021–2031), Creare insieme una comunità inclus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's Disability Strategy 2021-2031 (Strategia australiana sulla disabilità 2021–2031), Creare insieme una comunità inclusi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120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lang w:val="en-GB"/>
        </w:rPr>
        <w:alias w:val="Title"/>
        <w:id w:val="962933352"/>
        <w:placeholder>
          <w:docPart w:val="B0527FB4F3A447D3A088CA95CEB01AA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CCEB77E" w14:textId="198349E7" w:rsidR="00D66FF9" w:rsidRDefault="0034181C" w:rsidP="00D66FF9">
          <w:pPr>
            <w:pStyle w:val="Title"/>
            <w:rPr>
              <w:lang w:val="en-GB"/>
            </w:rPr>
          </w:pPr>
          <w:proofErr w:type="spellStart"/>
          <w:r w:rsidRPr="0034181C">
            <w:rPr>
              <w:lang w:val="en-GB"/>
            </w:rPr>
            <w:t>Strategia</w:t>
          </w:r>
          <w:proofErr w:type="spellEnd"/>
          <w:r w:rsidRPr="0034181C">
            <w:rPr>
              <w:lang w:val="en-GB"/>
            </w:rPr>
            <w:t xml:space="preserve"> </w:t>
          </w:r>
          <w:proofErr w:type="spellStart"/>
          <w:r w:rsidRPr="0034181C">
            <w:rPr>
              <w:lang w:val="en-GB"/>
            </w:rPr>
            <w:t>australiana</w:t>
          </w:r>
          <w:proofErr w:type="spellEnd"/>
          <w:r w:rsidRPr="0034181C">
            <w:rPr>
              <w:lang w:val="en-GB"/>
            </w:rPr>
            <w:t xml:space="preserve"> </w:t>
          </w:r>
          <w:proofErr w:type="spellStart"/>
          <w:r w:rsidRPr="0034181C">
            <w:rPr>
              <w:lang w:val="en-GB"/>
            </w:rPr>
            <w:t>sulla</w:t>
          </w:r>
          <w:proofErr w:type="spellEnd"/>
          <w:r w:rsidRPr="0034181C">
            <w:rPr>
              <w:lang w:val="en-GB"/>
            </w:rPr>
            <w:t xml:space="preserve"> </w:t>
          </w:r>
          <w:proofErr w:type="spellStart"/>
          <w:r w:rsidRPr="0034181C">
            <w:rPr>
              <w:lang w:val="en-GB"/>
            </w:rPr>
            <w:t>disabilità</w:t>
          </w:r>
          <w:proofErr w:type="spellEnd"/>
          <w:r w:rsidRPr="0034181C">
            <w:rPr>
              <w:lang w:val="en-GB"/>
            </w:rPr>
            <w:t xml:space="preserve"> 2021 – 2031</w:t>
          </w:r>
        </w:p>
      </w:sdtContent>
    </w:sdt>
    <w:p w14:paraId="61623723" w14:textId="4AE1348B" w:rsidR="00F3203A" w:rsidRDefault="00BE5271" w:rsidP="00D66FF9">
      <w:pPr>
        <w:pStyle w:val="Subtitle"/>
        <w:rPr>
          <w:lang w:val="it"/>
        </w:rPr>
      </w:pPr>
      <w:r>
        <w:rPr>
          <w:lang w:val="it"/>
        </w:rPr>
        <w:t>Sintesi del Piano di miglioramento dei dati</w:t>
      </w:r>
    </w:p>
    <w:p w14:paraId="3CA994A9" w14:textId="30EEB0D4" w:rsidR="0034181C" w:rsidRPr="0034181C" w:rsidRDefault="0034181C" w:rsidP="002308F8">
      <w:pPr>
        <w:spacing w:after="0"/>
        <w:rPr>
          <w:lang w:val="it"/>
        </w:rPr>
      </w:pPr>
      <w:r w:rsidRPr="0034181C">
        <w:rPr>
          <w:color w:val="005689"/>
        </w:rPr>
        <w:t xml:space="preserve">Italian | </w:t>
      </w:r>
      <w:proofErr w:type="spellStart"/>
      <w:r w:rsidRPr="0034181C">
        <w:rPr>
          <w:color w:val="005689"/>
        </w:rPr>
        <w:t>Italiano</w:t>
      </w:r>
      <w:proofErr w:type="spellEnd"/>
    </w:p>
    <w:p w14:paraId="0FEA15CE" w14:textId="77777777" w:rsidR="00D66FF9" w:rsidRPr="00D66FF9" w:rsidRDefault="00BE5271" w:rsidP="0034181C">
      <w:pPr>
        <w:pStyle w:val="TOCHeading"/>
        <w:spacing w:before="100"/>
        <w:rPr>
          <w:lang w:val="en-GB"/>
        </w:rPr>
      </w:pPr>
      <w:r>
        <w:rPr>
          <w:lang w:val="it"/>
        </w:rPr>
        <w:t>Indice</w:t>
      </w:r>
    </w:p>
    <w:p w14:paraId="22533C61" w14:textId="090A2AF2" w:rsidR="002145AC" w:rsidRDefault="00BE5271">
      <w:pPr>
        <w:pStyle w:val="TOC2"/>
        <w:rPr>
          <w:rFonts w:asciiTheme="minorHAnsi" w:hAnsiTheme="minorHAnsi"/>
          <w:noProof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\o "2-2" \h \z \t "Heading 1,1,Heading 1 Numbered,1" </w:instrText>
      </w:r>
      <w:r>
        <w:rPr>
          <w:lang w:val="en-GB"/>
        </w:rPr>
        <w:fldChar w:fldCharType="separate"/>
      </w:r>
      <w:hyperlink w:anchor="_Toc256000000" w:history="1">
        <w:r>
          <w:rPr>
            <w:rStyle w:val="Hyperlink"/>
            <w:noProof/>
            <w:lang w:val="it"/>
          </w:rPr>
          <w:t>Introduzione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_Toc256000000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14EF1"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6E402615" w14:textId="3F41D7FE" w:rsidR="002145AC" w:rsidRDefault="003B711A">
      <w:pPr>
        <w:pStyle w:val="TOC2"/>
        <w:rPr>
          <w:rFonts w:asciiTheme="minorHAnsi" w:hAnsiTheme="minorHAnsi"/>
          <w:noProof/>
        </w:rPr>
      </w:pPr>
      <w:hyperlink w:anchor="_Toc256000001" w:history="1">
        <w:r w:rsidR="00BE5271">
          <w:rPr>
            <w:rStyle w:val="Hyperlink"/>
            <w:noProof/>
            <w:lang w:val="it"/>
          </w:rPr>
          <w:t>Allineamento</w:t>
        </w:r>
        <w:r w:rsidR="00BE5271">
          <w:rPr>
            <w:noProof/>
          </w:rPr>
          <w:tab/>
        </w:r>
        <w:r w:rsidR="00BE5271">
          <w:rPr>
            <w:noProof/>
          </w:rPr>
          <w:fldChar w:fldCharType="begin"/>
        </w:r>
        <w:r w:rsidR="00BE5271">
          <w:rPr>
            <w:noProof/>
          </w:rPr>
          <w:instrText xml:space="preserve"> PAGEREF _Toc256000001 \h </w:instrText>
        </w:r>
        <w:r w:rsidR="00BE5271">
          <w:rPr>
            <w:noProof/>
          </w:rPr>
        </w:r>
        <w:r w:rsidR="00BE5271">
          <w:rPr>
            <w:noProof/>
          </w:rPr>
          <w:fldChar w:fldCharType="separate"/>
        </w:r>
        <w:r w:rsidR="00814EF1">
          <w:rPr>
            <w:noProof/>
          </w:rPr>
          <w:t>2</w:t>
        </w:r>
        <w:r w:rsidR="00BE5271">
          <w:rPr>
            <w:noProof/>
          </w:rPr>
          <w:fldChar w:fldCharType="end"/>
        </w:r>
      </w:hyperlink>
    </w:p>
    <w:p w14:paraId="2E01F375" w14:textId="772472A5" w:rsidR="002145AC" w:rsidRDefault="003B711A">
      <w:pPr>
        <w:pStyle w:val="TOC2"/>
        <w:rPr>
          <w:rFonts w:asciiTheme="minorHAnsi" w:hAnsiTheme="minorHAnsi"/>
          <w:noProof/>
        </w:rPr>
      </w:pPr>
      <w:hyperlink w:anchor="_Toc256000002" w:history="1">
        <w:r w:rsidR="00BE5271">
          <w:rPr>
            <w:rStyle w:val="Hyperlink"/>
            <w:noProof/>
            <w:lang w:val="it"/>
          </w:rPr>
          <w:t>Dati</w:t>
        </w:r>
        <w:r w:rsidR="00BE5271">
          <w:rPr>
            <w:noProof/>
          </w:rPr>
          <w:tab/>
        </w:r>
        <w:r w:rsidR="00BE5271">
          <w:rPr>
            <w:noProof/>
          </w:rPr>
          <w:fldChar w:fldCharType="begin"/>
        </w:r>
        <w:r w:rsidR="00BE5271">
          <w:rPr>
            <w:noProof/>
          </w:rPr>
          <w:instrText xml:space="preserve"> PAGEREF _Toc256000002 \h </w:instrText>
        </w:r>
        <w:r w:rsidR="00BE5271">
          <w:rPr>
            <w:noProof/>
          </w:rPr>
        </w:r>
        <w:r w:rsidR="00BE5271">
          <w:rPr>
            <w:noProof/>
          </w:rPr>
          <w:fldChar w:fldCharType="separate"/>
        </w:r>
        <w:r w:rsidR="00814EF1">
          <w:rPr>
            <w:noProof/>
          </w:rPr>
          <w:t>2</w:t>
        </w:r>
        <w:r w:rsidR="00BE5271">
          <w:rPr>
            <w:noProof/>
          </w:rPr>
          <w:fldChar w:fldCharType="end"/>
        </w:r>
      </w:hyperlink>
    </w:p>
    <w:p w14:paraId="1BE5A4DA" w14:textId="64D0B6DD" w:rsidR="002145AC" w:rsidRDefault="003B711A">
      <w:pPr>
        <w:pStyle w:val="TOC2"/>
        <w:rPr>
          <w:rFonts w:asciiTheme="minorHAnsi" w:hAnsiTheme="minorHAnsi"/>
          <w:noProof/>
        </w:rPr>
      </w:pPr>
      <w:hyperlink w:anchor="_Toc256000003" w:history="1">
        <w:r w:rsidR="00BE5271">
          <w:rPr>
            <w:rStyle w:val="Hyperlink"/>
            <w:noProof/>
            <w:lang w:val="it"/>
          </w:rPr>
          <w:t>Diversità e intersezionalità</w:t>
        </w:r>
        <w:r w:rsidR="00BE5271">
          <w:rPr>
            <w:noProof/>
          </w:rPr>
          <w:tab/>
        </w:r>
        <w:r w:rsidR="00BE5271">
          <w:rPr>
            <w:noProof/>
          </w:rPr>
          <w:fldChar w:fldCharType="begin"/>
        </w:r>
        <w:r w:rsidR="00BE5271">
          <w:rPr>
            <w:noProof/>
          </w:rPr>
          <w:instrText xml:space="preserve"> PAGEREF _Toc256000003 \h </w:instrText>
        </w:r>
        <w:r w:rsidR="00BE5271">
          <w:rPr>
            <w:noProof/>
          </w:rPr>
        </w:r>
        <w:r w:rsidR="00BE5271">
          <w:rPr>
            <w:noProof/>
          </w:rPr>
          <w:fldChar w:fldCharType="separate"/>
        </w:r>
        <w:r w:rsidR="00814EF1">
          <w:rPr>
            <w:noProof/>
          </w:rPr>
          <w:t>2</w:t>
        </w:r>
        <w:r w:rsidR="00BE5271">
          <w:rPr>
            <w:noProof/>
          </w:rPr>
          <w:fldChar w:fldCharType="end"/>
        </w:r>
      </w:hyperlink>
    </w:p>
    <w:p w14:paraId="53F1EE66" w14:textId="74B4E6B9" w:rsidR="002145AC" w:rsidRDefault="003B711A">
      <w:pPr>
        <w:pStyle w:val="TOC2"/>
        <w:rPr>
          <w:rFonts w:asciiTheme="minorHAnsi" w:hAnsiTheme="minorHAnsi"/>
          <w:noProof/>
        </w:rPr>
      </w:pPr>
      <w:hyperlink w:anchor="_Toc256000004" w:history="1">
        <w:r w:rsidR="00BE5271">
          <w:rPr>
            <w:rStyle w:val="Hyperlink"/>
            <w:noProof/>
            <w:lang w:val="it"/>
          </w:rPr>
          <w:t>Misure future nel Quadro di riferimento dei risultati</w:t>
        </w:r>
        <w:r w:rsidR="00BE5271">
          <w:rPr>
            <w:noProof/>
          </w:rPr>
          <w:tab/>
        </w:r>
        <w:r w:rsidR="00BE5271">
          <w:rPr>
            <w:noProof/>
          </w:rPr>
          <w:fldChar w:fldCharType="begin"/>
        </w:r>
        <w:r w:rsidR="00BE5271">
          <w:rPr>
            <w:noProof/>
          </w:rPr>
          <w:instrText xml:space="preserve"> PAGEREF _Toc256000004 \h </w:instrText>
        </w:r>
        <w:r w:rsidR="00BE5271">
          <w:rPr>
            <w:noProof/>
          </w:rPr>
        </w:r>
        <w:r w:rsidR="00BE5271">
          <w:rPr>
            <w:noProof/>
          </w:rPr>
          <w:fldChar w:fldCharType="separate"/>
        </w:r>
        <w:r w:rsidR="00814EF1">
          <w:rPr>
            <w:noProof/>
          </w:rPr>
          <w:t>3</w:t>
        </w:r>
        <w:r w:rsidR="00BE5271">
          <w:rPr>
            <w:noProof/>
          </w:rPr>
          <w:fldChar w:fldCharType="end"/>
        </w:r>
      </w:hyperlink>
    </w:p>
    <w:p w14:paraId="0353A988" w14:textId="3846FB97" w:rsidR="002145AC" w:rsidRDefault="003B711A">
      <w:pPr>
        <w:pStyle w:val="TOC2"/>
        <w:rPr>
          <w:rFonts w:asciiTheme="minorHAnsi" w:hAnsiTheme="minorHAnsi"/>
          <w:noProof/>
        </w:rPr>
      </w:pPr>
      <w:hyperlink w:anchor="_Toc256000005" w:history="1">
        <w:r w:rsidR="00BE5271">
          <w:rPr>
            <w:rStyle w:val="Hyperlink"/>
            <w:noProof/>
            <w:lang w:val="it"/>
          </w:rPr>
          <w:t>Misure di avvio nel Quadro di riferimento dei risultati</w:t>
        </w:r>
        <w:r w:rsidR="00BE5271">
          <w:rPr>
            <w:noProof/>
          </w:rPr>
          <w:tab/>
        </w:r>
        <w:r w:rsidR="00BE5271">
          <w:rPr>
            <w:noProof/>
          </w:rPr>
          <w:fldChar w:fldCharType="begin"/>
        </w:r>
        <w:r w:rsidR="00BE5271">
          <w:rPr>
            <w:noProof/>
          </w:rPr>
          <w:instrText xml:space="preserve"> PAGEREF _Toc256000005 \h </w:instrText>
        </w:r>
        <w:r w:rsidR="00BE5271">
          <w:rPr>
            <w:noProof/>
          </w:rPr>
        </w:r>
        <w:r w:rsidR="00BE5271">
          <w:rPr>
            <w:noProof/>
          </w:rPr>
          <w:fldChar w:fldCharType="separate"/>
        </w:r>
        <w:r w:rsidR="00814EF1">
          <w:rPr>
            <w:noProof/>
          </w:rPr>
          <w:t>3</w:t>
        </w:r>
        <w:r w:rsidR="00BE5271">
          <w:rPr>
            <w:noProof/>
          </w:rPr>
          <w:fldChar w:fldCharType="end"/>
        </w:r>
      </w:hyperlink>
    </w:p>
    <w:p w14:paraId="3B9B7E27" w14:textId="00FF3159" w:rsidR="002145AC" w:rsidRDefault="003B711A">
      <w:pPr>
        <w:pStyle w:val="TOC2"/>
        <w:rPr>
          <w:rFonts w:asciiTheme="minorHAnsi" w:hAnsiTheme="minorHAnsi"/>
          <w:noProof/>
        </w:rPr>
      </w:pPr>
      <w:hyperlink w:anchor="_Toc256000006" w:history="1">
        <w:r w:rsidR="00BE5271">
          <w:rPr>
            <w:rStyle w:val="Hyperlink"/>
            <w:noProof/>
            <w:lang w:val="it"/>
          </w:rPr>
          <w:t>Azioni future</w:t>
        </w:r>
        <w:r w:rsidR="00BE5271">
          <w:rPr>
            <w:noProof/>
          </w:rPr>
          <w:tab/>
        </w:r>
        <w:r w:rsidR="00BE5271">
          <w:rPr>
            <w:noProof/>
          </w:rPr>
          <w:fldChar w:fldCharType="begin"/>
        </w:r>
        <w:r w:rsidR="00BE5271">
          <w:rPr>
            <w:noProof/>
          </w:rPr>
          <w:instrText xml:space="preserve"> PAGEREF _Toc256000006 \h </w:instrText>
        </w:r>
        <w:r w:rsidR="00BE5271">
          <w:rPr>
            <w:noProof/>
          </w:rPr>
        </w:r>
        <w:r w:rsidR="00BE5271">
          <w:rPr>
            <w:noProof/>
          </w:rPr>
          <w:fldChar w:fldCharType="separate"/>
        </w:r>
        <w:r w:rsidR="00814EF1">
          <w:rPr>
            <w:noProof/>
          </w:rPr>
          <w:t>4</w:t>
        </w:r>
        <w:r w:rsidR="00BE5271">
          <w:rPr>
            <w:noProof/>
          </w:rPr>
          <w:fldChar w:fldCharType="end"/>
        </w:r>
      </w:hyperlink>
      <w:bookmarkStart w:id="0" w:name="_GoBack"/>
      <w:bookmarkEnd w:id="0"/>
    </w:p>
    <w:p w14:paraId="57437D67" w14:textId="77777777" w:rsidR="00F3203A" w:rsidRDefault="00BE5271" w:rsidP="00D66FF9">
      <w:pPr>
        <w:pStyle w:val="Heading2"/>
        <w:rPr>
          <w:lang w:val="en-GB"/>
        </w:rPr>
      </w:pPr>
      <w:r>
        <w:rPr>
          <w:lang w:val="en-GB"/>
        </w:rPr>
        <w:fldChar w:fldCharType="end"/>
      </w:r>
      <w:bookmarkStart w:id="1" w:name="_Toc256000000"/>
      <w:r>
        <w:rPr>
          <w:lang w:val="it"/>
        </w:rPr>
        <w:t>Introduzione</w:t>
      </w:r>
      <w:bookmarkEnd w:id="1"/>
    </w:p>
    <w:p w14:paraId="532EC417" w14:textId="0D15EBDC" w:rsidR="00F3203A" w:rsidRPr="009C32CD" w:rsidRDefault="00BE5271" w:rsidP="00D66FF9">
      <w:pPr>
        <w:pStyle w:val="IntroPara"/>
        <w:rPr>
          <w:spacing w:val="-4"/>
          <w:lang w:val="en-GB"/>
        </w:rPr>
      </w:pPr>
      <w:r w:rsidRPr="009C32CD">
        <w:rPr>
          <w:spacing w:val="-4"/>
          <w:lang w:val="it"/>
        </w:rPr>
        <w:t xml:space="preserve">Lo scopo del Piano di miglioramento dei dati (Data Improvement Plan o DIP) della </w:t>
      </w:r>
      <w:hyperlink r:id="rId9" w:history="1">
        <w:r w:rsidRPr="009C32CD">
          <w:rPr>
            <w:rStyle w:val="Hyperlink"/>
            <w:spacing w:val="-4"/>
            <w:lang w:val="it"/>
          </w:rPr>
          <w:t>Strategia australiana sulla disabilità</w:t>
        </w:r>
      </w:hyperlink>
      <w:r w:rsidRPr="009C32CD">
        <w:rPr>
          <w:spacing w:val="-4"/>
          <w:lang w:val="it"/>
        </w:rPr>
        <w:t xml:space="preserve"> (la Strategia) è quello di migliorare i dati necessari a monitorare il progresso rispetto al Quadro di riferimento dei risultati della Strategia</w:t>
      </w:r>
      <w:r w:rsidRPr="009C32CD">
        <w:rPr>
          <w:rFonts w:ascii="NunitoSans-ExtraBold" w:hAnsi="NunitoSans-ExtraBold" w:cs="NunitoSans-ExtraBold"/>
          <w:spacing w:val="-4"/>
          <w:lang w:val="it"/>
        </w:rPr>
        <w:t>.</w:t>
      </w:r>
      <w:r w:rsidRPr="009C32CD">
        <w:rPr>
          <w:spacing w:val="-4"/>
          <w:lang w:val="it"/>
        </w:rPr>
        <w:t xml:space="preserve"> Il Quadro di riferimento dei risultati comprende 85 misure in 7 categorie di risultato. Quarantuno di queste misure riguardano i sistemi, 40 riguardano la popolazione e 4 gli atteggiamenti della comunità. Comprendono misure di avvio per le quali esistono già dati per i rapporti, e misure future che richiedono lo sviluppo o il collegamento di dati per la compilazione di rapporti.</w:t>
      </w:r>
    </w:p>
    <w:p w14:paraId="442580DE" w14:textId="77777777" w:rsidR="00F3203A" w:rsidRDefault="00BE5271" w:rsidP="00D66FF9">
      <w:pPr>
        <w:rPr>
          <w:lang w:val="en-GB"/>
        </w:rPr>
      </w:pPr>
      <w:r>
        <w:rPr>
          <w:lang w:val="it"/>
        </w:rPr>
        <w:t>Il Ministero dei Servizi sociali (Department of Social Services o DSS) ha sviluppato il Piano di miglioramento dei dati in consultazione con persone con disabilità e con enti del governo australiano e dei governi statali e territoriali. Sono necessari accordi multi-giurisdizionali per il conferimento dei dati per il Quadro di riferimento dei risultati. Le decisioni finali sul miglioramento dei dati spettano ai Ministri per le riforme sulla disabilità.</w:t>
      </w:r>
    </w:p>
    <w:p w14:paraId="6DCDAEAB" w14:textId="77777777" w:rsidR="00F3203A" w:rsidRDefault="00BE5271" w:rsidP="00D66FF9">
      <w:pPr>
        <w:rPr>
          <w:lang w:val="en-GB"/>
        </w:rPr>
      </w:pPr>
      <w:r>
        <w:rPr>
          <w:lang w:val="it"/>
        </w:rPr>
        <w:lastRenderedPageBreak/>
        <w:t>Tutti i governi hanno concordato di lavorare a stretto contatto con le persone con disabilità durante il periodo di validità della Strategia. Le opinioni delle persone con disabilità, delle parti interessate del settore della disabilità e dei diversi gruppi all'interno del settore saranno ascoltate e tenute in considerazione. Al fine di garantire la presa in considerazione e l'inclusione di un'ampia gamma di opinioni, proseguirà il coinvolgimento delle persone con disabilità e di gruppi intersezionali quali le persone delle Prime Nazioni con disabilità, le persone con disabilità appartenenti a comunità di diversa estrazione linguistica e culturale, e le donne con disabilità.</w:t>
      </w:r>
    </w:p>
    <w:p w14:paraId="06B2D727" w14:textId="77777777" w:rsidR="00F3203A" w:rsidRDefault="00BE5271" w:rsidP="002E6979">
      <w:pPr>
        <w:pStyle w:val="Heading2"/>
        <w:rPr>
          <w:lang w:val="en-GB"/>
        </w:rPr>
      </w:pPr>
      <w:bookmarkStart w:id="2" w:name="_Toc256000001"/>
      <w:r>
        <w:rPr>
          <w:lang w:val="it"/>
        </w:rPr>
        <w:t>Allineamento</w:t>
      </w:r>
      <w:bookmarkEnd w:id="2"/>
    </w:p>
    <w:p w14:paraId="15F49E8E" w14:textId="77777777" w:rsidR="00F3203A" w:rsidRDefault="00BE5271" w:rsidP="00D66FF9">
      <w:pPr>
        <w:rPr>
          <w:lang w:val="en-GB"/>
        </w:rPr>
      </w:pPr>
      <w:r>
        <w:rPr>
          <w:lang w:val="it"/>
        </w:rPr>
        <w:t>Il Piano di miglioramento dei dati è allineato con i seguenti documenti:</w:t>
      </w:r>
    </w:p>
    <w:p w14:paraId="64736794" w14:textId="1D060E39" w:rsidR="00F3203A" w:rsidRDefault="00BE5271">
      <w:pPr>
        <w:pStyle w:val="Bullet1"/>
        <w:rPr>
          <w:lang w:val="en-GB"/>
        </w:rPr>
      </w:pPr>
      <w:r>
        <w:rPr>
          <w:lang w:val="it"/>
        </w:rPr>
        <w:t>la Strategia australiana sulla disabilità 2021-2031</w:t>
      </w:r>
      <w:r w:rsidR="00BA12F6">
        <w:rPr>
          <w:lang w:val="it"/>
        </w:rPr>
        <w:t>;</w:t>
      </w:r>
    </w:p>
    <w:p w14:paraId="3A59893C" w14:textId="77777777" w:rsidR="00F3203A" w:rsidRDefault="00BE5271">
      <w:pPr>
        <w:pStyle w:val="Bullet1"/>
        <w:rPr>
          <w:lang w:val="en-GB"/>
        </w:rPr>
      </w:pPr>
      <w:r>
        <w:rPr>
          <w:lang w:val="it"/>
        </w:rPr>
        <w:t>l'accordo nazionale sul "Closing the Gap".</w:t>
      </w:r>
    </w:p>
    <w:p w14:paraId="17F28EED" w14:textId="77777777" w:rsidR="00F3203A" w:rsidRDefault="00BE5271" w:rsidP="00D66FF9">
      <w:pPr>
        <w:pStyle w:val="Heading2"/>
        <w:rPr>
          <w:lang w:val="en-GB"/>
        </w:rPr>
      </w:pPr>
      <w:bookmarkStart w:id="3" w:name="_Toc256000002"/>
      <w:r>
        <w:rPr>
          <w:lang w:val="it"/>
        </w:rPr>
        <w:t>Dati</w:t>
      </w:r>
      <w:bookmarkEnd w:id="3"/>
    </w:p>
    <w:p w14:paraId="4F61E28D" w14:textId="77777777" w:rsidR="00F3203A" w:rsidRDefault="00BE5271" w:rsidP="00D66FF9">
      <w:pPr>
        <w:rPr>
          <w:lang w:val="en-GB"/>
        </w:rPr>
      </w:pPr>
      <w:r>
        <w:rPr>
          <w:lang w:val="it"/>
        </w:rPr>
        <w:t>I dati per il Quadro di riferimento dei risultati proverranno da diverse fonti, tra cui:</w:t>
      </w:r>
    </w:p>
    <w:p w14:paraId="793D2DDC" w14:textId="77777777" w:rsidR="00F3203A" w:rsidRDefault="00BE5271">
      <w:pPr>
        <w:pStyle w:val="Bullet1"/>
        <w:rPr>
          <w:lang w:val="en-GB"/>
        </w:rPr>
      </w:pPr>
      <w:r>
        <w:rPr>
          <w:lang w:val="it"/>
        </w:rPr>
        <w:t>dati dei sondaggi, quali il sondaggio sulla disabilità, l'invecchiamento e i caregiver, altri sondaggi dell'Australian Bureau of Statistics e il Sondaggio sulla Strategia australiana sulla disabilità (Sondaggio sulla Strategia);</w:t>
      </w:r>
    </w:p>
    <w:p w14:paraId="3B154DAE" w14:textId="77777777" w:rsidR="00F3203A" w:rsidRDefault="00BE5271">
      <w:pPr>
        <w:pStyle w:val="Bullet1"/>
        <w:rPr>
          <w:lang w:val="en-GB"/>
        </w:rPr>
      </w:pPr>
      <w:r>
        <w:rPr>
          <w:lang w:val="it"/>
        </w:rPr>
        <w:t>dati amministrativi, tra cui quelli del National Disability Insurance Scheme (NDIS) e dei ministeri della salute e dell'istruzione statali e territoriali;</w:t>
      </w:r>
    </w:p>
    <w:p w14:paraId="3B51D052" w14:textId="77777777" w:rsidR="00F3203A" w:rsidRDefault="00BE5271">
      <w:pPr>
        <w:pStyle w:val="Bullet1"/>
        <w:rPr>
          <w:lang w:val="en-GB"/>
        </w:rPr>
      </w:pPr>
      <w:r>
        <w:rPr>
          <w:lang w:val="it"/>
        </w:rPr>
        <w:t>collegamento di gruppi di dati per migliorare la qualità e la comparabilità dei dati e creare un vasto assortimento di informazioni utili attraverso meccanismi quali il National Disability Data Asset (NDDA).</w:t>
      </w:r>
    </w:p>
    <w:p w14:paraId="4CB1B7E6" w14:textId="77777777" w:rsidR="00F3203A" w:rsidRDefault="00BE5271" w:rsidP="00D66FF9">
      <w:pPr>
        <w:rPr>
          <w:lang w:val="en-GB"/>
        </w:rPr>
      </w:pPr>
      <w:r>
        <w:rPr>
          <w:lang w:val="it"/>
        </w:rPr>
        <w:t>Una governance dei dati di alta qualità ottimizzerà il processo decisionale e consentirà la collaborazione tra il governo australiano, i governi statali e territoriali. Aiuterà i governi a valutare l'impatto dei servizi che erogano per le persone con disabilità.</w:t>
      </w:r>
    </w:p>
    <w:p w14:paraId="58E8D1CA" w14:textId="77777777" w:rsidR="00F3203A" w:rsidRDefault="00BE5271" w:rsidP="00D66FF9">
      <w:pPr>
        <w:pStyle w:val="Heading2"/>
        <w:rPr>
          <w:lang w:val="en-GB"/>
        </w:rPr>
      </w:pPr>
      <w:bookmarkStart w:id="4" w:name="_Toc256000003"/>
      <w:r>
        <w:rPr>
          <w:lang w:val="it"/>
        </w:rPr>
        <w:t>Diversità e intersezionalità</w:t>
      </w:r>
      <w:bookmarkEnd w:id="4"/>
    </w:p>
    <w:p w14:paraId="76C5070C" w14:textId="536CEFB7" w:rsidR="00F3203A" w:rsidRPr="009C32CD" w:rsidRDefault="00BE5271" w:rsidP="00D66FF9">
      <w:pPr>
        <w:rPr>
          <w:spacing w:val="-6"/>
          <w:lang w:val="en-GB"/>
        </w:rPr>
      </w:pPr>
      <w:r w:rsidRPr="009C32CD">
        <w:rPr>
          <w:spacing w:val="-6"/>
          <w:lang w:val="it"/>
        </w:rPr>
        <w:t xml:space="preserve">La Strategia e il Piano di miglioramento dei dati riconoscono l'importanza della comprensione, del riconoscimento e della celebrazione della diversità della comunità disabile. Ciò include la comprensione dell'intersezionalità, ovvero la possibilità che le persone subiscano svantaggi a causa dell'intersezione </w:t>
      </w:r>
      <w:r w:rsidR="009C32CD">
        <w:rPr>
          <w:spacing w:val="-6"/>
          <w:lang w:val="it"/>
        </w:rPr>
        <w:br/>
      </w:r>
      <w:r w:rsidRPr="009C32CD">
        <w:rPr>
          <w:spacing w:val="-6"/>
          <w:lang w:val="it"/>
        </w:rPr>
        <w:t>di sesso, età, razza, cultura, identità di genere, orientamento sessuale, invalidità, stato di disabilità, condizione economica, religione e altri aspetti. Questi aspetti sono collegati; si influenzano a vicenda e hanno effetti sovrapposti e composti.</w:t>
      </w:r>
    </w:p>
    <w:p w14:paraId="7FAC614C" w14:textId="77777777" w:rsidR="00F3203A" w:rsidRDefault="00BE5271" w:rsidP="00D66FF9">
      <w:pPr>
        <w:rPr>
          <w:lang w:val="en-GB"/>
        </w:rPr>
      </w:pPr>
      <w:r>
        <w:rPr>
          <w:lang w:val="it"/>
        </w:rPr>
        <w:t>Nello sviluppo di nuove fonti di dati per le misure future o nel miglioramento dei dati per le misure di avvio, è prioritario riuscire a disaggregare i dati nel maggior numero di modi possibile.</w:t>
      </w:r>
    </w:p>
    <w:p w14:paraId="131DB040" w14:textId="77777777" w:rsidR="00F3203A" w:rsidRDefault="00BE5271" w:rsidP="00D66FF9">
      <w:pPr>
        <w:pStyle w:val="Heading2"/>
        <w:rPr>
          <w:lang w:val="en-GB"/>
        </w:rPr>
      </w:pPr>
      <w:bookmarkStart w:id="5" w:name="_Toc256000004"/>
      <w:r>
        <w:rPr>
          <w:lang w:val="it"/>
        </w:rPr>
        <w:lastRenderedPageBreak/>
        <w:t>Misure future nel Quadro di riferimento dei risultati</w:t>
      </w:r>
      <w:bookmarkEnd w:id="5"/>
    </w:p>
    <w:p w14:paraId="74FF42AA" w14:textId="77777777" w:rsidR="00F3203A" w:rsidRDefault="00BE5271" w:rsidP="00D66FF9">
      <w:pPr>
        <w:rPr>
          <w:lang w:val="en-GB"/>
        </w:rPr>
      </w:pPr>
      <w:r>
        <w:rPr>
          <w:lang w:val="it"/>
        </w:rPr>
        <w:t>Il Quadro di riferimento dei risultati comprende misure future nell'ambito dell'impegno per migliorare le misure e perfezionare il Quadro di riferimento dei risultati nel corso del periodo di validità della Strategia.</w:t>
      </w:r>
    </w:p>
    <w:p w14:paraId="7FAD7588" w14:textId="77777777" w:rsidR="00F3203A" w:rsidRDefault="00BE5271" w:rsidP="00D66FF9">
      <w:pPr>
        <w:rPr>
          <w:lang w:val="en-GB"/>
        </w:rPr>
      </w:pPr>
      <w:r>
        <w:rPr>
          <w:lang w:val="it"/>
        </w:rPr>
        <w:t xml:space="preserve">Vi sono 38 misure future. Per alcune di esse, i dati sono divenuti disponibili dal momento del lancio della Strategia. Altre richiedono ulteriore lavoro prima che sia possibile stilare un rapporto. </w:t>
      </w:r>
    </w:p>
    <w:p w14:paraId="3C82D353" w14:textId="12C66903" w:rsidR="00F3203A" w:rsidRDefault="00BE5271" w:rsidP="00D66FF9">
      <w:pPr>
        <w:rPr>
          <w:lang w:val="en-GB"/>
        </w:rPr>
      </w:pPr>
      <w:r>
        <w:rPr>
          <w:lang w:val="it"/>
        </w:rPr>
        <w:t xml:space="preserve">Due misure sono ora disponibili e saranno pubblicate sulla </w:t>
      </w:r>
      <w:hyperlink r:id="rId10" w:history="1">
        <w:r w:rsidR="00BA12F6" w:rsidRPr="00BA12F6">
          <w:rPr>
            <w:rStyle w:val="Hyperlink"/>
            <w:lang w:val="it"/>
          </w:rPr>
          <w:t>pagina web del</w:t>
        </w:r>
        <w:r w:rsidR="00BA12F6">
          <w:rPr>
            <w:rStyle w:val="Hyperlink"/>
            <w:lang w:val="it"/>
          </w:rPr>
          <w:t xml:space="preserve"> </w:t>
        </w:r>
        <w:r w:rsidR="00BA12F6" w:rsidRPr="00BA12F6">
          <w:rPr>
            <w:rStyle w:val="Hyperlink"/>
            <w:lang w:val="it"/>
          </w:rPr>
          <w:t>Quadro</w:t>
        </w:r>
        <w:r>
          <w:rPr>
            <w:rStyle w:val="Hyperlink"/>
            <w:lang w:val="it"/>
          </w:rPr>
          <w:t xml:space="preserve"> di riferimento dei risultati</w:t>
        </w:r>
      </w:hyperlink>
      <w:r>
        <w:rPr>
          <w:lang w:val="it"/>
        </w:rPr>
        <w:t xml:space="preserve"> nel primo aggiornamento a metà 2023. Queste misure riguardano l'occupazione tra i partecipanti NDIS, e le persone con disabilità impiegate nel settore pubblico.</w:t>
      </w:r>
    </w:p>
    <w:p w14:paraId="01F1E6CE" w14:textId="77777777" w:rsidR="00F3203A" w:rsidRDefault="00BE5271" w:rsidP="00D66FF9">
      <w:pPr>
        <w:rPr>
          <w:lang w:val="en-GB"/>
        </w:rPr>
      </w:pPr>
      <w:r>
        <w:rPr>
          <w:lang w:val="it"/>
        </w:rPr>
        <w:t xml:space="preserve">Dal Sondaggio sulla Strategia deriveranno quattro misure relative alla categoria di risultato degli atteggiamenti della comunità. La raccolta di dati per il Sondaggio sulla Strategia è iniziata a settembre 2022 e si concluderà a gennaio 2023. I dati saranno compilati a partire da inizio 2023, saranno analizzati da marzo a giugno 2023 e pubblicati sulla </w:t>
      </w:r>
      <w:hyperlink r:id="rId11" w:history="1">
        <w:r>
          <w:rPr>
            <w:rStyle w:val="Hyperlink"/>
            <w:lang w:val="it"/>
          </w:rPr>
          <w:t>pagina web del Quadro di riferimento dei risultati</w:t>
        </w:r>
      </w:hyperlink>
      <w:r>
        <w:rPr>
          <w:lang w:val="it"/>
        </w:rPr>
        <w:t xml:space="preserve"> entro settembre 2023.</w:t>
      </w:r>
    </w:p>
    <w:p w14:paraId="38302389" w14:textId="77777777" w:rsidR="00F3203A" w:rsidRDefault="00BE5271" w:rsidP="00D66FF9">
      <w:pPr>
        <w:rPr>
          <w:lang w:val="en-GB"/>
        </w:rPr>
      </w:pPr>
      <w:r>
        <w:rPr>
          <w:lang w:val="it"/>
        </w:rPr>
        <w:t>Ulteriori 4 misure saranno disponibili a fine 2023 o nel 2024. I dati su queste 4 misure potrebbero essere presentati attraverso il collegamento con il progetto di integrazione dei dati di diverse agenzie (Multi-Agency Data Integration Project o MADIP). Queste misure riguardano il periodo di tempo e la recidiva dei casi comprovati di abuso o abbandono nel sistema di tutela dei minori, i decessi in ospedale e i ricoveri ospedalieri non volontari.</w:t>
      </w:r>
    </w:p>
    <w:p w14:paraId="29D0092D" w14:textId="77777777" w:rsidR="00F3203A" w:rsidRDefault="00BE5271" w:rsidP="00D66FF9">
      <w:pPr>
        <w:rPr>
          <w:lang w:val="en-GB"/>
        </w:rPr>
      </w:pPr>
      <w:r>
        <w:rPr>
          <w:lang w:val="it"/>
        </w:rPr>
        <w:t>Una misura utilizzerà i dati dell'NDIS e si riferisce al successo del collegamento dei partecipanti NDIS ai servizi e ai sistemi tradizionali e comunitari. I rapporti su queste misure saranno presumibilmente disponibili dal 2026.</w:t>
      </w:r>
    </w:p>
    <w:p w14:paraId="2CFCDBFD" w14:textId="77777777" w:rsidR="00F3203A" w:rsidRDefault="00BE5271" w:rsidP="00D66FF9">
      <w:pPr>
        <w:rPr>
          <w:lang w:val="en-GB"/>
        </w:rPr>
      </w:pPr>
      <w:r>
        <w:rPr>
          <w:lang w:val="it"/>
        </w:rPr>
        <w:t>I dati per altre 7 misure richiederanno un complesso collegamento di dati attraverso l'NDDA o sistemi intergiurisdizionali di data asset simili. Si prevede che questi dati diverranno disponibili tra il 2024 e il 2025.</w:t>
      </w:r>
    </w:p>
    <w:p w14:paraId="7B904E2D" w14:textId="77777777" w:rsidR="00F3203A" w:rsidRDefault="00BE5271" w:rsidP="00D66FF9">
      <w:pPr>
        <w:rPr>
          <w:lang w:val="en-GB"/>
        </w:rPr>
      </w:pPr>
      <w:r>
        <w:rPr>
          <w:lang w:val="it"/>
        </w:rPr>
        <w:t>I dati del nuovo sondaggio dovranno fornire un resoconto su 12 misure e monitorarle. Questi dati saranno raccolti aggiungendo domande a un sondaggio preesistente, ad esempio l'SDAC o il Sondaggio sulla Strategia, oppure attraverso un nuovo sondaggio.</w:t>
      </w:r>
    </w:p>
    <w:p w14:paraId="6A14094F" w14:textId="77777777" w:rsidR="00F3203A" w:rsidRDefault="00BE5271" w:rsidP="00D66FF9">
      <w:pPr>
        <w:rPr>
          <w:lang w:val="en-GB"/>
        </w:rPr>
      </w:pPr>
      <w:r>
        <w:rPr>
          <w:lang w:val="it"/>
        </w:rPr>
        <w:t>È necessaria la collaborazione su definizioni, metodologia e somministrazione per affrontare le restanti 8 misure future. Saranno convocati dei gruppi di lavoro dal DSS in collaborazione con gli enti del governo australiano pertinenti e con i governi statali e territoriali. La pianificazione dei gruppi di lavoro è iniziata. La loro conclusione è prevista entro la fine del 2023. Seguirà un periodo di raccolta e comunicazione dei dati.</w:t>
      </w:r>
    </w:p>
    <w:p w14:paraId="1DB60A5F" w14:textId="77777777" w:rsidR="00F3203A" w:rsidRDefault="00BE5271" w:rsidP="00D66FF9">
      <w:pPr>
        <w:pStyle w:val="Heading2"/>
        <w:rPr>
          <w:rFonts w:ascii="NunitoSans-Regular" w:hAnsi="NunitoSans-Regular" w:cs="NunitoSans-Regular"/>
          <w:sz w:val="20"/>
          <w:szCs w:val="20"/>
          <w:lang w:val="en-GB"/>
        </w:rPr>
      </w:pPr>
      <w:bookmarkStart w:id="6" w:name="_Toc256000005"/>
      <w:r>
        <w:rPr>
          <w:lang w:val="it"/>
        </w:rPr>
        <w:t>Misure di avvio nel Quadro di riferimento dei risultati</w:t>
      </w:r>
      <w:bookmarkEnd w:id="6"/>
    </w:p>
    <w:p w14:paraId="6BB89CDA" w14:textId="77777777" w:rsidR="00F3203A" w:rsidRDefault="00BE5271" w:rsidP="00D66FF9">
      <w:pPr>
        <w:rPr>
          <w:lang w:val="en-GB"/>
        </w:rPr>
      </w:pPr>
      <w:r>
        <w:rPr>
          <w:lang w:val="it"/>
        </w:rPr>
        <w:t>Il collegamento dei dati dovrebbe migliorare alcune misure di avvio attraverso:</w:t>
      </w:r>
    </w:p>
    <w:p w14:paraId="246635D5" w14:textId="77777777" w:rsidR="00F3203A" w:rsidRDefault="00BE5271">
      <w:pPr>
        <w:pStyle w:val="Bullet1"/>
        <w:rPr>
          <w:lang w:val="en-GB"/>
        </w:rPr>
      </w:pPr>
      <w:r>
        <w:rPr>
          <w:lang w:val="it"/>
        </w:rPr>
        <w:t>il miglioramento della qualità dei dati utilizzati nell'analisi delle misure;</w:t>
      </w:r>
    </w:p>
    <w:p w14:paraId="002BEFBE" w14:textId="77777777" w:rsidR="00F3203A" w:rsidRDefault="00BE5271">
      <w:pPr>
        <w:pStyle w:val="Bullet1"/>
        <w:rPr>
          <w:lang w:val="en-GB"/>
        </w:rPr>
      </w:pPr>
      <w:r>
        <w:rPr>
          <w:lang w:val="it"/>
        </w:rPr>
        <w:t>l'offerta di nuove informazioni utili non disponibili in precedenza;</w:t>
      </w:r>
    </w:p>
    <w:p w14:paraId="30990AD1" w14:textId="77777777" w:rsidR="00F3203A" w:rsidRDefault="00BE5271">
      <w:pPr>
        <w:pStyle w:val="Bullet1"/>
        <w:rPr>
          <w:lang w:val="en-GB"/>
        </w:rPr>
      </w:pPr>
      <w:r>
        <w:rPr>
          <w:lang w:val="it"/>
        </w:rPr>
        <w:lastRenderedPageBreak/>
        <w:t xml:space="preserve">l'aumento della frequenza della reportistica sulle misure; </w:t>
      </w:r>
    </w:p>
    <w:p w14:paraId="7A40AFA4" w14:textId="77777777" w:rsidR="00F3203A" w:rsidRDefault="00BE5271">
      <w:pPr>
        <w:pStyle w:val="Bullet1"/>
        <w:rPr>
          <w:lang w:val="en-GB"/>
        </w:rPr>
      </w:pPr>
      <w:r>
        <w:rPr>
          <w:lang w:val="it"/>
        </w:rPr>
        <w:t xml:space="preserve">la possibilità per le persone di accedere ai risultati delle misure più rilevanti per loro - ad esempio, in base alla posizione geografica, al tipo di disabilità o all'uso di supporti alla disabilità. </w:t>
      </w:r>
    </w:p>
    <w:p w14:paraId="1E9F2C41" w14:textId="77777777" w:rsidR="00F3203A" w:rsidRDefault="00BE5271" w:rsidP="00D66FF9">
      <w:pPr>
        <w:rPr>
          <w:lang w:val="en-GB"/>
        </w:rPr>
      </w:pPr>
      <w:r>
        <w:rPr>
          <w:lang w:val="it"/>
        </w:rPr>
        <w:t>Altre misure di avvio saranno migliorate attraverso la collaborazione tra il governo australiano, i governi statali e territoriali. Ciò include l'accordo su definizioni e pratiche di raccolta standard che permetteranno il confronto a livello nazionale.</w:t>
      </w:r>
    </w:p>
    <w:p w14:paraId="5B716EE3" w14:textId="77777777" w:rsidR="00F3203A" w:rsidRDefault="00BE5271" w:rsidP="00D66FF9">
      <w:pPr>
        <w:pStyle w:val="Heading2"/>
        <w:rPr>
          <w:lang w:val="en-GB"/>
        </w:rPr>
      </w:pPr>
      <w:bookmarkStart w:id="7" w:name="_Toc256000006"/>
      <w:r>
        <w:rPr>
          <w:lang w:val="it"/>
        </w:rPr>
        <w:t>Azioni future</w:t>
      </w:r>
      <w:bookmarkEnd w:id="7"/>
    </w:p>
    <w:p w14:paraId="29B7D9ED" w14:textId="77777777" w:rsidR="00F3203A" w:rsidRPr="009C32CD" w:rsidRDefault="00BE5271" w:rsidP="00D66FF9">
      <w:pPr>
        <w:rPr>
          <w:spacing w:val="-2"/>
          <w:lang w:val="en-GB"/>
        </w:rPr>
      </w:pPr>
      <w:r w:rsidRPr="009C32CD">
        <w:rPr>
          <w:spacing w:val="-2"/>
          <w:lang w:val="it"/>
        </w:rPr>
        <w:t>Tutti i governi, lavorando a stretto contatto con le persone con disabilità, continueranno a sviluppare dati per le misure future e a migliorare la qualità e la fruibilità dei dati sulle persone con disabilità durante il periodo di validità della Strategia.</w:t>
      </w:r>
    </w:p>
    <w:p w14:paraId="0D301C50" w14:textId="4144F28B" w:rsidR="00F3203A" w:rsidRDefault="00BE5271" w:rsidP="00D66FF9">
      <w:pPr>
        <w:rPr>
          <w:lang w:val="en-GB"/>
        </w:rPr>
      </w:pPr>
      <w:r>
        <w:rPr>
          <w:lang w:val="it"/>
        </w:rPr>
        <w:t xml:space="preserve">Il Piano di miglioramento dei dati sarà aggiornato in linea con i punti di revisione della Strategia. </w:t>
      </w:r>
      <w:r w:rsidR="009C32CD">
        <w:rPr>
          <w:lang w:val="it"/>
        </w:rPr>
        <w:br/>
      </w:r>
      <w:r>
        <w:rPr>
          <w:lang w:val="it"/>
        </w:rPr>
        <w:t>La prima revisione seguirà la relazione finale della Commissione reale sulla violenza, l'abuso, l'abbandono e lo sfruttamento di persone con disabilità alla fine del 2023. Seguiranno ulteriori revisioni nel 2025 e nel 2029.</w:t>
      </w:r>
    </w:p>
    <w:p w14:paraId="09BAD9EB" w14:textId="77777777" w:rsidR="00D66FF9" w:rsidRDefault="00D66FF9" w:rsidP="00D66FF9"/>
    <w:sectPr w:rsidR="00D66FF9" w:rsidSect="002E6979">
      <w:footerReference w:type="default" r:id="rId12"/>
      <w:pgSz w:w="11906" w:h="16838" w:code="9"/>
      <w:pgMar w:top="1134" w:right="1134" w:bottom="1134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81A9C" w14:textId="77777777" w:rsidR="003B711A" w:rsidRDefault="003B711A">
      <w:pPr>
        <w:spacing w:before="0" w:after="0" w:line="240" w:lineRule="auto"/>
      </w:pPr>
      <w:r>
        <w:separator/>
      </w:r>
    </w:p>
  </w:endnote>
  <w:endnote w:type="continuationSeparator" w:id="0">
    <w:p w14:paraId="5F109929" w14:textId="77777777" w:rsidR="003B711A" w:rsidRDefault="003B71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unitoSans-Extra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unitoSans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B7331" w14:textId="21841054" w:rsidR="00D66FF9" w:rsidRDefault="00BE5271">
    <w:pPr>
      <w:pStyle w:val="Footer"/>
    </w:pPr>
    <w:r>
      <w:fldChar w:fldCharType="begin"/>
    </w:r>
    <w:r>
      <w:rPr>
        <w:lang w:val="it"/>
      </w:rPr>
      <w:instrText xml:space="preserve"> PAGE   \* MERGEFORMAT </w:instrText>
    </w:r>
    <w:r>
      <w:fldChar w:fldCharType="separate"/>
    </w:r>
    <w:r w:rsidR="00814EF1">
      <w:rPr>
        <w:noProof/>
        <w:lang w:val="it"/>
      </w:rPr>
      <w:t>4</w:t>
    </w:r>
    <w:r>
      <w:rPr>
        <w:noProof/>
      </w:rPr>
      <w:fldChar w:fldCharType="end"/>
    </w:r>
    <w:r>
      <w:rPr>
        <w:noProof/>
        <w:lang w:val="it"/>
      </w:rPr>
      <w:tab/>
    </w:r>
    <w:sdt>
      <w:sdtPr>
        <w:rPr>
          <w:noProof/>
        </w:rPr>
        <w:alias w:val="Title"/>
        <w:id w:val="1139839036"/>
        <w:placeholder>
          <w:docPart w:val="0F488A4430304CF3AA0A68742367AFD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4181C">
          <w:rPr>
            <w:noProof/>
          </w:rPr>
          <w:t>Strategia australiana sulla disabilità 2021 – 2031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35A0E" w14:textId="77777777" w:rsidR="003B711A" w:rsidRDefault="003B711A">
      <w:pPr>
        <w:spacing w:before="0" w:after="0" w:line="240" w:lineRule="auto"/>
      </w:pPr>
      <w:r>
        <w:separator/>
      </w:r>
    </w:p>
  </w:footnote>
  <w:footnote w:type="continuationSeparator" w:id="0">
    <w:p w14:paraId="67A6EACD" w14:textId="77777777" w:rsidR="003B711A" w:rsidRDefault="003B711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58BB"/>
    <w:multiLevelType w:val="multilevel"/>
    <w:tmpl w:val="131EEC6C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7327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A81945"/>
    <w:multiLevelType w:val="multilevel"/>
    <w:tmpl w:val="4624390C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492C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492C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" w15:restartNumberingAfterBreak="0">
    <w:nsid w:val="1F360D7B"/>
    <w:multiLevelType w:val="multilevel"/>
    <w:tmpl w:val="A41689A2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3A5140"/>
    <w:multiLevelType w:val="multilevel"/>
    <w:tmpl w:val="C284D0B0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7327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1D0C9A"/>
    <w:multiLevelType w:val="multilevel"/>
    <w:tmpl w:val="C284D0B0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7327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890E47"/>
    <w:multiLevelType w:val="hybridMultilevel"/>
    <w:tmpl w:val="E628387E"/>
    <w:lvl w:ilvl="0" w:tplc="0D78191A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66E606AE" w:tentative="1">
      <w:start w:val="1"/>
      <w:numFmt w:val="lowerLetter"/>
      <w:lvlText w:val="%2."/>
      <w:lvlJc w:val="left"/>
      <w:pPr>
        <w:ind w:left="1440" w:hanging="360"/>
      </w:pPr>
    </w:lvl>
    <w:lvl w:ilvl="2" w:tplc="B4BC2624" w:tentative="1">
      <w:start w:val="1"/>
      <w:numFmt w:val="lowerRoman"/>
      <w:lvlText w:val="%3."/>
      <w:lvlJc w:val="right"/>
      <w:pPr>
        <w:ind w:left="2160" w:hanging="180"/>
      </w:pPr>
    </w:lvl>
    <w:lvl w:ilvl="3" w:tplc="BA68BAEE" w:tentative="1">
      <w:start w:val="1"/>
      <w:numFmt w:val="decimal"/>
      <w:lvlText w:val="%4."/>
      <w:lvlJc w:val="left"/>
      <w:pPr>
        <w:ind w:left="2880" w:hanging="360"/>
      </w:pPr>
    </w:lvl>
    <w:lvl w:ilvl="4" w:tplc="E36EACFA" w:tentative="1">
      <w:start w:val="1"/>
      <w:numFmt w:val="lowerLetter"/>
      <w:lvlText w:val="%5."/>
      <w:lvlJc w:val="left"/>
      <w:pPr>
        <w:ind w:left="3600" w:hanging="360"/>
      </w:pPr>
    </w:lvl>
    <w:lvl w:ilvl="5" w:tplc="7AB29BC4" w:tentative="1">
      <w:start w:val="1"/>
      <w:numFmt w:val="lowerRoman"/>
      <w:lvlText w:val="%6."/>
      <w:lvlJc w:val="right"/>
      <w:pPr>
        <w:ind w:left="4320" w:hanging="180"/>
      </w:pPr>
    </w:lvl>
    <w:lvl w:ilvl="6" w:tplc="21E49D9C" w:tentative="1">
      <w:start w:val="1"/>
      <w:numFmt w:val="decimal"/>
      <w:lvlText w:val="%7."/>
      <w:lvlJc w:val="left"/>
      <w:pPr>
        <w:ind w:left="5040" w:hanging="360"/>
      </w:pPr>
    </w:lvl>
    <w:lvl w:ilvl="7" w:tplc="0BE2371C" w:tentative="1">
      <w:start w:val="1"/>
      <w:numFmt w:val="lowerLetter"/>
      <w:lvlText w:val="%8."/>
      <w:lvlJc w:val="left"/>
      <w:pPr>
        <w:ind w:left="5760" w:hanging="360"/>
      </w:pPr>
    </w:lvl>
    <w:lvl w:ilvl="8" w:tplc="883E2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85888"/>
    <w:multiLevelType w:val="multilevel"/>
    <w:tmpl w:val="803CF86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438A4E30"/>
    <w:multiLevelType w:val="multilevel"/>
    <w:tmpl w:val="803CF86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4549579C"/>
    <w:multiLevelType w:val="multilevel"/>
    <w:tmpl w:val="07629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492C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492C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71AC3019"/>
    <w:multiLevelType w:val="multilevel"/>
    <w:tmpl w:val="4E92921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78313AEB"/>
    <w:multiLevelType w:val="multilevel"/>
    <w:tmpl w:val="131EEC6C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7327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TrueTypeFonts/>
  <w:saveSubset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79"/>
    <w:rsid w:val="000D275D"/>
    <w:rsid w:val="001E0101"/>
    <w:rsid w:val="002145AC"/>
    <w:rsid w:val="002308F8"/>
    <w:rsid w:val="00270492"/>
    <w:rsid w:val="00294366"/>
    <w:rsid w:val="002A1454"/>
    <w:rsid w:val="002E6979"/>
    <w:rsid w:val="0034181C"/>
    <w:rsid w:val="003B711A"/>
    <w:rsid w:val="00411917"/>
    <w:rsid w:val="00566082"/>
    <w:rsid w:val="005C7FE5"/>
    <w:rsid w:val="005E3863"/>
    <w:rsid w:val="00683008"/>
    <w:rsid w:val="006F3083"/>
    <w:rsid w:val="006F664E"/>
    <w:rsid w:val="00814EF1"/>
    <w:rsid w:val="00997CD5"/>
    <w:rsid w:val="009C32CD"/>
    <w:rsid w:val="00BA12F6"/>
    <w:rsid w:val="00BE5271"/>
    <w:rsid w:val="00C709A2"/>
    <w:rsid w:val="00D32A45"/>
    <w:rsid w:val="00D66FF9"/>
    <w:rsid w:val="00D76C14"/>
    <w:rsid w:val="00DD4AD9"/>
    <w:rsid w:val="00ED0BF6"/>
    <w:rsid w:val="00F3203A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45C27"/>
  <w15:docId w15:val="{AAE5E9C4-0BC2-4D33-BDDF-C382C841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before="240" w:after="12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FF9"/>
    <w:pPr>
      <w:suppressAutoHyphens/>
    </w:pPr>
    <w:rPr>
      <w:rFonts w:eastAsiaTheme="minorHAnsi"/>
      <w:color w:val="000000" w:themeColor="text1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FF9"/>
    <w:pPr>
      <w:keepNext/>
      <w:keepLines/>
      <w:pageBreakBefore/>
      <w:spacing w:before="0" w:after="480"/>
      <w:outlineLvl w:val="0"/>
    </w:pPr>
    <w:rPr>
      <w:rFonts w:asciiTheme="majorHAnsi" w:eastAsiaTheme="majorEastAsia" w:hAnsiTheme="majorHAnsi" w:cstheme="majorBidi"/>
      <w:b/>
      <w:color w:val="573275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6FF9"/>
    <w:pPr>
      <w:keepNext/>
      <w:keepLines/>
      <w:pBdr>
        <w:top w:val="single" w:sz="24" w:space="12" w:color="005689" w:themeColor="accent2"/>
      </w:pBdr>
      <w:spacing w:before="360" w:after="240"/>
      <w:outlineLvl w:val="1"/>
    </w:pPr>
    <w:rPr>
      <w:rFonts w:asciiTheme="majorHAnsi" w:eastAsiaTheme="majorEastAsia" w:hAnsiTheme="majorHAnsi" w:cstheme="majorBidi"/>
      <w:b/>
      <w:color w:val="005689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6FF9"/>
    <w:pPr>
      <w:keepNext/>
      <w:keepLines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FF9"/>
    <w:pPr>
      <w:keepNext/>
      <w:keepLines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6FF9"/>
    <w:pPr>
      <w:keepNext/>
      <w:keepLines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6FF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6FF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23"/>
    <w:qFormat/>
    <w:rsid w:val="00D66FF9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color w:val="005689" w:themeColor="accent2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D66FF9"/>
    <w:rPr>
      <w:b/>
      <w:color w:val="005689" w:themeColor="accent2"/>
      <w:sz w:val="36"/>
      <w:lang w:eastAsia="en-US"/>
    </w:rPr>
  </w:style>
  <w:style w:type="character" w:styleId="Hyperlink">
    <w:name w:val="Hyperlink"/>
    <w:basedOn w:val="DefaultParagraphFont"/>
    <w:uiPriority w:val="99"/>
    <w:unhideWhenUsed/>
    <w:rsid w:val="00D66FF9"/>
    <w:rPr>
      <w:color w:val="005AFF"/>
      <w:u w:val="single"/>
    </w:rPr>
  </w:style>
  <w:style w:type="paragraph" w:styleId="Title">
    <w:name w:val="Title"/>
    <w:basedOn w:val="Normal"/>
    <w:next w:val="Normal"/>
    <w:link w:val="TitleChar"/>
    <w:uiPriority w:val="22"/>
    <w:qFormat/>
    <w:rsid w:val="00D66FF9"/>
    <w:pPr>
      <w:keepLines/>
      <w:contextualSpacing/>
      <w:outlineLvl w:val="0"/>
    </w:pPr>
    <w:rPr>
      <w:rFonts w:asciiTheme="majorHAnsi" w:eastAsiaTheme="majorEastAsia" w:hAnsiTheme="majorHAnsi" w:cstheme="majorBidi"/>
      <w:b/>
      <w:color w:val="005689" w:themeColor="accent2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D66FF9"/>
    <w:rPr>
      <w:rFonts w:asciiTheme="majorHAnsi" w:eastAsiaTheme="majorEastAsia" w:hAnsiTheme="majorHAnsi" w:cstheme="majorBidi"/>
      <w:b/>
      <w:color w:val="005689" w:themeColor="accent2"/>
      <w:kern w:val="28"/>
      <w:sz w:val="60"/>
      <w:szCs w:val="5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66FF9"/>
    <w:rPr>
      <w:rFonts w:asciiTheme="majorHAnsi" w:eastAsiaTheme="majorEastAsia" w:hAnsiTheme="majorHAnsi" w:cstheme="majorBidi"/>
      <w:b/>
      <w:color w:val="005689" w:themeColor="accent2"/>
      <w:sz w:val="36"/>
      <w:szCs w:val="26"/>
      <w:lang w:eastAsia="en-US"/>
    </w:rPr>
  </w:style>
  <w:style w:type="paragraph" w:customStyle="1" w:styleId="Bullet1">
    <w:name w:val="Bullet 1"/>
    <w:basedOn w:val="Normal"/>
    <w:uiPriority w:val="2"/>
    <w:qFormat/>
    <w:rsid w:val="00D66FF9"/>
    <w:pPr>
      <w:numPr>
        <w:numId w:val="3"/>
      </w:numPr>
      <w:spacing w:before="120"/>
    </w:pPr>
  </w:style>
  <w:style w:type="paragraph" w:styleId="Caption">
    <w:name w:val="caption"/>
    <w:basedOn w:val="Normal"/>
    <w:next w:val="Normal"/>
    <w:uiPriority w:val="19"/>
    <w:qFormat/>
    <w:rsid w:val="00D66FF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numbering" w:customStyle="1" w:styleId="DefaultBullets">
    <w:name w:val="Default Bullets"/>
    <w:uiPriority w:val="99"/>
    <w:rsid w:val="00D66FF9"/>
    <w:pPr>
      <w:numPr>
        <w:numId w:val="3"/>
      </w:numPr>
    </w:pPr>
  </w:style>
  <w:style w:type="table" w:styleId="GridTable5Dark-Accent1">
    <w:name w:val="Grid Table 5 Dark Accent 1"/>
    <w:basedOn w:val="TableNormal"/>
    <w:uiPriority w:val="50"/>
    <w:rsid w:val="00D66FF9"/>
    <w:pPr>
      <w:spacing w:before="120" w:after="0" w:line="240" w:lineRule="auto"/>
    </w:pPr>
    <w:rPr>
      <w:rFonts w:eastAsiaTheme="minorHAnsi"/>
      <w:color w:val="000000" w:themeColor="text1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CE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327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327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327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3275" w:themeFill="accent1"/>
      </w:tcPr>
    </w:tblStylePr>
    <w:tblStylePr w:type="band1Vert">
      <w:tblPr/>
      <w:tcPr>
        <w:shd w:val="clear" w:color="auto" w:fill="BD9ED6" w:themeFill="accent1" w:themeFillTint="66"/>
      </w:tcPr>
    </w:tblStylePr>
    <w:tblStylePr w:type="band1Horz">
      <w:tblPr/>
      <w:tcPr>
        <w:shd w:val="clear" w:color="auto" w:fill="BD9ED6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D66FF9"/>
    <w:rPr>
      <w:i/>
      <w:iCs/>
    </w:rPr>
  </w:style>
  <w:style w:type="character" w:styleId="FollowedHyperlink">
    <w:name w:val="FollowedHyperlink"/>
    <w:basedOn w:val="DefaultParagraphFont"/>
    <w:uiPriority w:val="99"/>
    <w:rsid w:val="00D66FF9"/>
    <w:rPr>
      <w:color w:val="005AFF"/>
      <w:u w:val="single"/>
    </w:rPr>
  </w:style>
  <w:style w:type="paragraph" w:styleId="Footer">
    <w:name w:val="footer"/>
    <w:basedOn w:val="Normal"/>
    <w:link w:val="FooterChar"/>
    <w:uiPriority w:val="99"/>
    <w:rsid w:val="00D66FF9"/>
    <w:pPr>
      <w:tabs>
        <w:tab w:val="left" w:pos="284"/>
      </w:tabs>
      <w:spacing w:before="0" w:after="0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66FF9"/>
    <w:rPr>
      <w:rFonts w:asciiTheme="majorHAnsi" w:eastAsiaTheme="minorHAnsi" w:hAnsiTheme="majorHAnsi"/>
      <w:color w:val="000000" w:themeColor="text1"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D66F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D66FF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FF9"/>
    <w:rPr>
      <w:rFonts w:eastAsiaTheme="minorHAnsi"/>
      <w:color w:val="000000" w:themeColor="text1"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D66FF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66FF9"/>
    <w:rPr>
      <w:rFonts w:asciiTheme="majorHAnsi" w:eastAsiaTheme="minorHAnsi" w:hAnsiTheme="majorHAnsi"/>
      <w:b/>
      <w:color w:val="000000" w:themeColor="text1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66FF9"/>
    <w:rPr>
      <w:rFonts w:asciiTheme="majorHAnsi" w:eastAsiaTheme="majorEastAsia" w:hAnsiTheme="majorHAnsi" w:cstheme="majorBidi"/>
      <w:b/>
      <w:color w:val="573275" w:themeColor="accent1"/>
      <w:sz w:val="4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66FF9"/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66FF9"/>
    <w:rPr>
      <w:rFonts w:eastAsiaTheme="majorEastAsia" w:cstheme="majorBidi"/>
      <w:b/>
      <w:iCs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66FF9"/>
    <w:rPr>
      <w:rFonts w:eastAsiaTheme="majorEastAsia" w:cstheme="majorBidi"/>
      <w:b/>
      <w:i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66FF9"/>
    <w:rPr>
      <w:rFonts w:eastAsiaTheme="majorEastAsia" w:cstheme="majorBidi"/>
      <w:b/>
      <w:i/>
      <w:color w:val="000000" w:themeColor="text1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66FF9"/>
    <w:rPr>
      <w:rFonts w:eastAsiaTheme="majorEastAsia" w:cstheme="majorBidi"/>
      <w:i/>
      <w:iCs/>
      <w:color w:val="000000" w:themeColor="text1"/>
      <w:sz w:val="20"/>
      <w:szCs w:val="20"/>
      <w:lang w:eastAsia="en-US"/>
    </w:rPr>
  </w:style>
  <w:style w:type="character" w:styleId="IntenseEmphasis">
    <w:name w:val="Intense Emphasis"/>
    <w:basedOn w:val="DefaultParagraphFont"/>
    <w:uiPriority w:val="33"/>
    <w:qFormat/>
    <w:rsid w:val="00D66FF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D66FF9"/>
    <w:pPr>
      <w:spacing w:after="240" w:line="400" w:lineRule="atLeast"/>
      <w:contextualSpacing/>
    </w:pPr>
    <w:rPr>
      <w:rFonts w:asciiTheme="majorHAnsi" w:hAnsiTheme="majorHAnsi"/>
      <w:color w:val="005689" w:themeColor="accent2"/>
      <w:sz w:val="28"/>
    </w:rPr>
  </w:style>
  <w:style w:type="paragraph" w:styleId="NoSpacing">
    <w:name w:val="No Spacing"/>
    <w:uiPriority w:val="1"/>
    <w:qFormat/>
    <w:rsid w:val="00D66FF9"/>
    <w:pPr>
      <w:spacing w:before="120" w:after="60" w:line="240" w:lineRule="auto"/>
      <w:contextualSpacing/>
    </w:pPr>
    <w:rPr>
      <w:rFonts w:eastAsiaTheme="minorHAnsi"/>
      <w:color w:val="000000" w:themeColor="text1"/>
      <w:sz w:val="20"/>
      <w:szCs w:val="20"/>
      <w:lang w:eastAsia="en-US"/>
    </w:rPr>
  </w:style>
  <w:style w:type="character" w:styleId="Strong">
    <w:name w:val="Strong"/>
    <w:basedOn w:val="DefaultParagraphFont"/>
    <w:uiPriority w:val="33"/>
    <w:qFormat/>
    <w:rsid w:val="00D66FF9"/>
    <w:rPr>
      <w:b/>
      <w:bCs/>
    </w:rPr>
  </w:style>
  <w:style w:type="table" w:styleId="TableGrid">
    <w:name w:val="Table Grid"/>
    <w:basedOn w:val="TableNormal"/>
    <w:uiPriority w:val="39"/>
    <w:rsid w:val="00D66FF9"/>
    <w:pPr>
      <w:spacing w:before="120" w:after="0" w:line="240" w:lineRule="auto"/>
    </w:pPr>
    <w:rPr>
      <w:rFonts w:eastAsiaTheme="minorHAnsi"/>
      <w:color w:val="000000" w:themeColor="text1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D66FF9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D66FF9"/>
    <w:pPr>
      <w:tabs>
        <w:tab w:val="right" w:pos="9628"/>
      </w:tabs>
      <w:spacing w:before="120"/>
      <w:contextualSpacing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D66FF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D66FF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2"/>
    <w:next w:val="Normal"/>
    <w:uiPriority w:val="39"/>
    <w:qFormat/>
    <w:rsid w:val="00D66FF9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66FF9"/>
    <w:rPr>
      <w:color w:val="808080"/>
    </w:rPr>
  </w:style>
  <w:style w:type="paragraph" w:styleId="Revision">
    <w:name w:val="Revision"/>
    <w:hidden/>
    <w:uiPriority w:val="99"/>
    <w:semiHidden/>
    <w:rsid w:val="00294366"/>
    <w:pPr>
      <w:spacing w:before="0" w:after="0" w:line="240" w:lineRule="auto"/>
    </w:pPr>
    <w:rPr>
      <w:rFonts w:eastAsiaTheme="minorHAnsi"/>
      <w:color w:val="000000" w:themeColor="text1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ihw.gov.au/australias-disability-strateg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ihw.gov.au/australias-disability-strate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sabilitygateway.gov.au/ad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488A4430304CF3AA0A68742367A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300FB-1CB3-43EA-97C5-095DAB674E6E}"/>
      </w:docPartPr>
      <w:docPartBody>
        <w:p w:rsidR="00997CD5" w:rsidRDefault="008F4708">
          <w:r w:rsidRPr="00D76C14">
            <w:rPr>
              <w:rStyle w:val="PlaceholderText"/>
            </w:rPr>
            <w:t>[Title]</w:t>
          </w:r>
        </w:p>
      </w:docPartBody>
    </w:docPart>
    <w:docPart>
      <w:docPartPr>
        <w:name w:val="B0527FB4F3A447D3A088CA95CEB01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AFE64-B620-4D7A-9870-F26F9CB5E9A0}"/>
      </w:docPartPr>
      <w:docPartBody>
        <w:p w:rsidR="00997CD5" w:rsidRDefault="008F4708">
          <w:r w:rsidRPr="00D76C1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unitoSans-Extra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unitoSans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68"/>
    <w:rsid w:val="0034400F"/>
    <w:rsid w:val="003B3968"/>
    <w:rsid w:val="00844D74"/>
    <w:rsid w:val="008F4708"/>
    <w:rsid w:val="00975341"/>
    <w:rsid w:val="00997CD5"/>
    <w:rsid w:val="009E4836"/>
    <w:rsid w:val="00A44398"/>
    <w:rsid w:val="00D0534E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68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9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SS ADS 2022">
      <a:dk1>
        <a:sysClr val="windowText" lastClr="000000"/>
      </a:dk1>
      <a:lt1>
        <a:sysClr val="window" lastClr="FFFFFF"/>
      </a:lt1>
      <a:dk2>
        <a:srgbClr val="00492C"/>
      </a:dk2>
      <a:lt2>
        <a:srgbClr val="EFECEA"/>
      </a:lt2>
      <a:accent1>
        <a:srgbClr val="573275"/>
      </a:accent1>
      <a:accent2>
        <a:srgbClr val="005689"/>
      </a:accent2>
      <a:accent3>
        <a:srgbClr val="7A0441"/>
      </a:accent3>
      <a:accent4>
        <a:srgbClr val="CD163F"/>
      </a:accent4>
      <a:accent5>
        <a:srgbClr val="180F5E"/>
      </a:accent5>
      <a:accent6>
        <a:srgbClr val="007054"/>
      </a:accent6>
      <a:hlink>
        <a:srgbClr val="005AFF"/>
      </a:hlink>
      <a:folHlink>
        <a:srgbClr val="005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52AF-1824-4E97-9BE8-ED20B7FF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Australia’s Disability Strategy 2021 – 2031</vt:lpstr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australiana sulla disabilità 2021 – 2031</dc:title>
  <dc:creator>Department of Social Services</dc:creator>
  <cp:lastModifiedBy>User</cp:lastModifiedBy>
  <cp:revision>10</cp:revision>
  <dcterms:created xsi:type="dcterms:W3CDTF">2022-12-16T03:55:00Z</dcterms:created>
  <dcterms:modified xsi:type="dcterms:W3CDTF">2022-12-28T01:06:00Z</dcterms:modified>
</cp:coreProperties>
</file>