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AC53" w14:textId="77777777" w:rsidR="00F3203A" w:rsidRDefault="00DA6E8E" w:rsidP="00D66FF9">
      <w:pPr>
        <w:rPr>
          <w:lang w:val="en-GB"/>
        </w:rPr>
      </w:pPr>
      <w:r>
        <w:rPr>
          <w:noProof/>
          <w:lang w:val="en-US" w:eastAsia="zh-CN"/>
        </w:rPr>
        <w:drawing>
          <wp:inline distT="0" distB="0" distL="0" distR="0" wp14:anchorId="43516A14" wp14:editId="070F6292">
            <wp:extent cx="2412000" cy="1200864"/>
            <wp:effectExtent l="0" t="0" r="7620" b="0"/>
            <wp:docPr id="1" name="Picture 1" descr="Sách lược Người khuyết tật Úc 2021-2031, Cùng nhau tạo ra một cộng đồng hòa nh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ách lược Người khuyết tật Úc 2021-2031, Cùng nhau tạo ra một cộng đồng hòa nhập"/>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en-GB"/>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EndPr/>
      <w:sdtContent>
        <w:p w14:paraId="78D5EAEE" w14:textId="5DDD7D79" w:rsidR="00D66FF9" w:rsidRDefault="008264EF" w:rsidP="00D66FF9">
          <w:pPr>
            <w:pStyle w:val="Title"/>
            <w:rPr>
              <w:lang w:val="en-GB"/>
            </w:rPr>
          </w:pPr>
          <w:r w:rsidRPr="008264EF">
            <w:rPr>
              <w:lang w:val="en-GB"/>
            </w:rPr>
            <w:t>Sách lược Người khuyết tật của Úc 2021 – 2031</w:t>
          </w:r>
        </w:p>
      </w:sdtContent>
    </w:sdt>
    <w:p w14:paraId="41A29330" w14:textId="22E0CD06" w:rsidR="00F3203A" w:rsidRDefault="00DA6E8E" w:rsidP="00D66FF9">
      <w:pPr>
        <w:pStyle w:val="Subtitle"/>
        <w:rPr>
          <w:lang w:val="vi"/>
        </w:rPr>
      </w:pPr>
      <w:r>
        <w:rPr>
          <w:lang w:val="vi"/>
        </w:rPr>
        <w:t>Tóm tắt Kế hoạch Cải tiến Dữ liệu</w:t>
      </w:r>
    </w:p>
    <w:p w14:paraId="25261222" w14:textId="204F9564" w:rsidR="008264EF" w:rsidRPr="008264EF" w:rsidRDefault="008264EF" w:rsidP="008264EF">
      <w:pPr>
        <w:spacing w:after="0"/>
        <w:rPr>
          <w:color w:val="005689"/>
        </w:rPr>
      </w:pPr>
      <w:r w:rsidRPr="008264EF">
        <w:rPr>
          <w:color w:val="005689"/>
        </w:rPr>
        <w:t>Vietnamese | Tiếng Việt</w:t>
      </w:r>
    </w:p>
    <w:p w14:paraId="14F5737A" w14:textId="77777777" w:rsidR="00D66FF9" w:rsidRPr="00D66FF9" w:rsidRDefault="00DA6E8E" w:rsidP="008264EF">
      <w:pPr>
        <w:pStyle w:val="TOCHeading"/>
        <w:spacing w:before="100"/>
        <w:rPr>
          <w:lang w:val="en-GB"/>
        </w:rPr>
      </w:pPr>
      <w:r>
        <w:rPr>
          <w:lang w:val="vi"/>
        </w:rPr>
        <w:t>Mục lục</w:t>
      </w:r>
    </w:p>
    <w:p w14:paraId="275BDD66" w14:textId="68C9CC37" w:rsidR="00A8614C" w:rsidRDefault="00DA6E8E">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lang w:val="vi"/>
          </w:rPr>
          <w:t>Giới thiệu</w:t>
        </w:r>
        <w:r>
          <w:rPr>
            <w:noProof/>
          </w:rPr>
          <w:tab/>
        </w:r>
        <w:r>
          <w:rPr>
            <w:noProof/>
          </w:rPr>
          <w:fldChar w:fldCharType="begin"/>
        </w:r>
        <w:r>
          <w:rPr>
            <w:noProof/>
          </w:rPr>
          <w:instrText xml:space="preserve"> PAGEREF _Toc256000000 \h </w:instrText>
        </w:r>
        <w:r>
          <w:rPr>
            <w:noProof/>
          </w:rPr>
        </w:r>
        <w:r>
          <w:rPr>
            <w:noProof/>
          </w:rPr>
          <w:fldChar w:fldCharType="separate"/>
        </w:r>
        <w:r w:rsidR="0059000C">
          <w:rPr>
            <w:noProof/>
          </w:rPr>
          <w:t>1</w:t>
        </w:r>
        <w:r>
          <w:rPr>
            <w:noProof/>
          </w:rPr>
          <w:fldChar w:fldCharType="end"/>
        </w:r>
      </w:hyperlink>
    </w:p>
    <w:p w14:paraId="0A494FE0" w14:textId="7E546E4A" w:rsidR="00A8614C" w:rsidRDefault="00340DC8">
      <w:pPr>
        <w:pStyle w:val="TOC2"/>
        <w:rPr>
          <w:rFonts w:asciiTheme="minorHAnsi" w:hAnsiTheme="minorHAnsi"/>
          <w:noProof/>
        </w:rPr>
      </w:pPr>
      <w:hyperlink w:anchor="_Toc256000001" w:history="1">
        <w:r w:rsidR="00DA6E8E">
          <w:rPr>
            <w:rStyle w:val="Hyperlink"/>
            <w:noProof/>
            <w:lang w:val="vi"/>
          </w:rPr>
          <w:t>Căn chỉnh</w:t>
        </w:r>
        <w:r w:rsidR="00DA6E8E">
          <w:rPr>
            <w:noProof/>
          </w:rPr>
          <w:tab/>
        </w:r>
        <w:r w:rsidR="00DA6E8E">
          <w:rPr>
            <w:noProof/>
          </w:rPr>
          <w:fldChar w:fldCharType="begin"/>
        </w:r>
        <w:r w:rsidR="00DA6E8E">
          <w:rPr>
            <w:noProof/>
          </w:rPr>
          <w:instrText xml:space="preserve"> PAGEREF _Toc256000001 \h </w:instrText>
        </w:r>
        <w:r w:rsidR="00DA6E8E">
          <w:rPr>
            <w:noProof/>
          </w:rPr>
        </w:r>
        <w:r w:rsidR="00DA6E8E">
          <w:rPr>
            <w:noProof/>
          </w:rPr>
          <w:fldChar w:fldCharType="separate"/>
        </w:r>
        <w:r w:rsidR="0059000C">
          <w:rPr>
            <w:noProof/>
          </w:rPr>
          <w:t>2</w:t>
        </w:r>
        <w:r w:rsidR="00DA6E8E">
          <w:rPr>
            <w:noProof/>
          </w:rPr>
          <w:fldChar w:fldCharType="end"/>
        </w:r>
      </w:hyperlink>
    </w:p>
    <w:p w14:paraId="3989F23B" w14:textId="5B21B17E" w:rsidR="00A8614C" w:rsidRDefault="00340DC8">
      <w:pPr>
        <w:pStyle w:val="TOC2"/>
        <w:rPr>
          <w:rFonts w:asciiTheme="minorHAnsi" w:hAnsiTheme="minorHAnsi"/>
          <w:noProof/>
        </w:rPr>
      </w:pPr>
      <w:hyperlink w:anchor="_Toc256000002" w:history="1">
        <w:r w:rsidR="00DA6E8E">
          <w:rPr>
            <w:rStyle w:val="Hyperlink"/>
            <w:noProof/>
            <w:lang w:val="vi"/>
          </w:rPr>
          <w:t>Dữ liệu</w:t>
        </w:r>
        <w:r w:rsidR="00DA6E8E">
          <w:rPr>
            <w:noProof/>
          </w:rPr>
          <w:tab/>
        </w:r>
        <w:r w:rsidR="00DA6E8E">
          <w:rPr>
            <w:noProof/>
          </w:rPr>
          <w:fldChar w:fldCharType="begin"/>
        </w:r>
        <w:r w:rsidR="00DA6E8E">
          <w:rPr>
            <w:noProof/>
          </w:rPr>
          <w:instrText xml:space="preserve"> PAGEREF _Toc256000002 \h </w:instrText>
        </w:r>
        <w:r w:rsidR="00DA6E8E">
          <w:rPr>
            <w:noProof/>
          </w:rPr>
        </w:r>
        <w:r w:rsidR="00DA6E8E">
          <w:rPr>
            <w:noProof/>
          </w:rPr>
          <w:fldChar w:fldCharType="separate"/>
        </w:r>
        <w:r w:rsidR="0059000C">
          <w:rPr>
            <w:noProof/>
          </w:rPr>
          <w:t>2</w:t>
        </w:r>
        <w:r w:rsidR="00DA6E8E">
          <w:rPr>
            <w:noProof/>
          </w:rPr>
          <w:fldChar w:fldCharType="end"/>
        </w:r>
      </w:hyperlink>
    </w:p>
    <w:p w14:paraId="7C1EA190" w14:textId="1EB28F30" w:rsidR="00A8614C" w:rsidRDefault="00340DC8">
      <w:pPr>
        <w:pStyle w:val="TOC2"/>
        <w:rPr>
          <w:rFonts w:asciiTheme="minorHAnsi" w:hAnsiTheme="minorHAnsi"/>
          <w:noProof/>
        </w:rPr>
      </w:pPr>
      <w:hyperlink w:anchor="_Toc256000003" w:history="1">
        <w:r w:rsidR="00DA6E8E">
          <w:rPr>
            <w:rStyle w:val="Hyperlink"/>
            <w:noProof/>
            <w:lang w:val="vi"/>
          </w:rPr>
          <w:t>Sự đa dạng và Giao thoa</w:t>
        </w:r>
        <w:r w:rsidR="00DA6E8E">
          <w:rPr>
            <w:noProof/>
          </w:rPr>
          <w:tab/>
        </w:r>
        <w:bookmarkStart w:id="0" w:name="_GoBack"/>
        <w:bookmarkEnd w:id="0"/>
        <w:r w:rsidR="00DA6E8E">
          <w:rPr>
            <w:noProof/>
          </w:rPr>
          <w:fldChar w:fldCharType="begin"/>
        </w:r>
        <w:r w:rsidR="00DA6E8E">
          <w:rPr>
            <w:noProof/>
          </w:rPr>
          <w:instrText xml:space="preserve"> PAGEREF _Toc256000003 \h </w:instrText>
        </w:r>
        <w:r w:rsidR="00DA6E8E">
          <w:rPr>
            <w:noProof/>
          </w:rPr>
        </w:r>
        <w:r w:rsidR="00DA6E8E">
          <w:rPr>
            <w:noProof/>
          </w:rPr>
          <w:fldChar w:fldCharType="separate"/>
        </w:r>
        <w:r w:rsidR="0059000C">
          <w:rPr>
            <w:noProof/>
          </w:rPr>
          <w:t>2</w:t>
        </w:r>
        <w:r w:rsidR="00DA6E8E">
          <w:rPr>
            <w:noProof/>
          </w:rPr>
          <w:fldChar w:fldCharType="end"/>
        </w:r>
      </w:hyperlink>
    </w:p>
    <w:p w14:paraId="3E29133D" w14:textId="61C7D6B7" w:rsidR="00A8614C" w:rsidRDefault="00340DC8">
      <w:pPr>
        <w:pStyle w:val="TOC2"/>
        <w:rPr>
          <w:rFonts w:asciiTheme="minorHAnsi" w:hAnsiTheme="minorHAnsi"/>
          <w:noProof/>
        </w:rPr>
      </w:pPr>
      <w:hyperlink w:anchor="_Toc256000004" w:history="1">
        <w:r w:rsidR="00DA6E8E">
          <w:rPr>
            <w:rStyle w:val="Hyperlink"/>
            <w:noProof/>
            <w:lang w:val="vi"/>
          </w:rPr>
          <w:t>Các Thước đo Tương lai trong Khung Kết quả</w:t>
        </w:r>
        <w:r w:rsidR="00DA6E8E">
          <w:rPr>
            <w:noProof/>
          </w:rPr>
          <w:tab/>
        </w:r>
        <w:r w:rsidR="00DA6E8E">
          <w:rPr>
            <w:noProof/>
          </w:rPr>
          <w:fldChar w:fldCharType="begin"/>
        </w:r>
        <w:r w:rsidR="00DA6E8E">
          <w:rPr>
            <w:noProof/>
          </w:rPr>
          <w:instrText xml:space="preserve"> PAGEREF _Toc256000004 \h </w:instrText>
        </w:r>
        <w:r w:rsidR="00DA6E8E">
          <w:rPr>
            <w:noProof/>
          </w:rPr>
        </w:r>
        <w:r w:rsidR="00DA6E8E">
          <w:rPr>
            <w:noProof/>
          </w:rPr>
          <w:fldChar w:fldCharType="separate"/>
        </w:r>
        <w:r w:rsidR="0059000C">
          <w:rPr>
            <w:noProof/>
          </w:rPr>
          <w:t>3</w:t>
        </w:r>
        <w:r w:rsidR="00DA6E8E">
          <w:rPr>
            <w:noProof/>
          </w:rPr>
          <w:fldChar w:fldCharType="end"/>
        </w:r>
      </w:hyperlink>
    </w:p>
    <w:p w14:paraId="48D3E3CD" w14:textId="6EDA9BC4" w:rsidR="00A8614C" w:rsidRDefault="00340DC8">
      <w:pPr>
        <w:pStyle w:val="TOC2"/>
        <w:rPr>
          <w:rFonts w:asciiTheme="minorHAnsi" w:hAnsiTheme="minorHAnsi"/>
          <w:noProof/>
        </w:rPr>
      </w:pPr>
      <w:hyperlink w:anchor="_Toc256000005" w:history="1">
        <w:r w:rsidR="00DA6E8E">
          <w:rPr>
            <w:rStyle w:val="Hyperlink"/>
            <w:noProof/>
            <w:lang w:val="vi"/>
          </w:rPr>
          <w:t>Các Thước đo vào Thời điểm Khởi động trong Khung Kết quả</w:t>
        </w:r>
        <w:r w:rsidR="00DA6E8E">
          <w:rPr>
            <w:noProof/>
          </w:rPr>
          <w:tab/>
        </w:r>
        <w:r w:rsidR="00DA6E8E">
          <w:rPr>
            <w:noProof/>
          </w:rPr>
          <w:fldChar w:fldCharType="begin"/>
        </w:r>
        <w:r w:rsidR="00DA6E8E">
          <w:rPr>
            <w:noProof/>
          </w:rPr>
          <w:instrText xml:space="preserve"> PAGEREF _Toc256000005 \h </w:instrText>
        </w:r>
        <w:r w:rsidR="00DA6E8E">
          <w:rPr>
            <w:noProof/>
          </w:rPr>
        </w:r>
        <w:r w:rsidR="00DA6E8E">
          <w:rPr>
            <w:noProof/>
          </w:rPr>
          <w:fldChar w:fldCharType="separate"/>
        </w:r>
        <w:r w:rsidR="0059000C">
          <w:rPr>
            <w:noProof/>
          </w:rPr>
          <w:t>3</w:t>
        </w:r>
        <w:r w:rsidR="00DA6E8E">
          <w:rPr>
            <w:noProof/>
          </w:rPr>
          <w:fldChar w:fldCharType="end"/>
        </w:r>
      </w:hyperlink>
    </w:p>
    <w:p w14:paraId="03D704BF" w14:textId="2CBDBBBD" w:rsidR="00A8614C" w:rsidRDefault="00340DC8">
      <w:pPr>
        <w:pStyle w:val="TOC2"/>
        <w:rPr>
          <w:rFonts w:asciiTheme="minorHAnsi" w:hAnsiTheme="minorHAnsi"/>
          <w:noProof/>
        </w:rPr>
      </w:pPr>
      <w:hyperlink w:anchor="_Toc256000006" w:history="1">
        <w:r w:rsidR="00DA6E8E">
          <w:rPr>
            <w:rStyle w:val="Hyperlink"/>
            <w:noProof/>
            <w:lang w:val="vi"/>
          </w:rPr>
          <w:t>Đường hướng cho tương lai</w:t>
        </w:r>
        <w:r w:rsidR="00DA6E8E">
          <w:rPr>
            <w:noProof/>
          </w:rPr>
          <w:tab/>
        </w:r>
        <w:r w:rsidR="00DA6E8E">
          <w:rPr>
            <w:noProof/>
          </w:rPr>
          <w:fldChar w:fldCharType="begin"/>
        </w:r>
        <w:r w:rsidR="00DA6E8E">
          <w:rPr>
            <w:noProof/>
          </w:rPr>
          <w:instrText xml:space="preserve"> PAGEREF _Toc256000006 \h </w:instrText>
        </w:r>
        <w:r w:rsidR="00DA6E8E">
          <w:rPr>
            <w:noProof/>
          </w:rPr>
        </w:r>
        <w:r w:rsidR="00DA6E8E">
          <w:rPr>
            <w:noProof/>
          </w:rPr>
          <w:fldChar w:fldCharType="separate"/>
        </w:r>
        <w:r w:rsidR="0059000C">
          <w:rPr>
            <w:noProof/>
          </w:rPr>
          <w:t>4</w:t>
        </w:r>
        <w:r w:rsidR="00DA6E8E">
          <w:rPr>
            <w:noProof/>
          </w:rPr>
          <w:fldChar w:fldCharType="end"/>
        </w:r>
      </w:hyperlink>
    </w:p>
    <w:p w14:paraId="6ADDBB9F" w14:textId="77777777" w:rsidR="00F3203A" w:rsidRDefault="00DA6E8E" w:rsidP="00D66FF9">
      <w:pPr>
        <w:pStyle w:val="Heading2"/>
        <w:rPr>
          <w:lang w:val="en-GB"/>
        </w:rPr>
      </w:pPr>
      <w:r>
        <w:rPr>
          <w:lang w:val="en-GB"/>
        </w:rPr>
        <w:fldChar w:fldCharType="end"/>
      </w:r>
      <w:bookmarkStart w:id="1" w:name="_Toc256000000"/>
      <w:r>
        <w:rPr>
          <w:lang w:val="vi"/>
        </w:rPr>
        <w:t>Giới thiệu</w:t>
      </w:r>
      <w:bookmarkEnd w:id="1"/>
    </w:p>
    <w:p w14:paraId="5773B15B" w14:textId="77777777" w:rsidR="00F3203A" w:rsidRPr="008673B6" w:rsidRDefault="00DA6E8E" w:rsidP="00D66FF9">
      <w:pPr>
        <w:pStyle w:val="IntroPara"/>
        <w:rPr>
          <w:lang w:val="vi"/>
        </w:rPr>
      </w:pPr>
      <w:r>
        <w:rPr>
          <w:lang w:val="vi"/>
        </w:rPr>
        <w:t xml:space="preserve">Mục đích của Kế hoạch Cải tiến Dữ liệu (DIP) trong </w:t>
      </w:r>
      <w:hyperlink r:id="rId9" w:history="1">
        <w:r>
          <w:rPr>
            <w:rStyle w:val="Hyperlink"/>
            <w:lang w:val="vi"/>
          </w:rPr>
          <w:t>Sách lược Người khuyết tật Úc</w:t>
        </w:r>
      </w:hyperlink>
      <w:r>
        <w:rPr>
          <w:lang w:val="vi"/>
        </w:rPr>
        <w:t xml:space="preserve"> (Sách lược) là để cải tiến dữ liệu cần thiết để theo dõi tiến độ so với Khung Kết quả Sách lược (Khung Kết quả)</w:t>
      </w:r>
      <w:r>
        <w:rPr>
          <w:rFonts w:ascii="NunitoSans-ExtraBold" w:hAnsi="NunitoSans-ExtraBold" w:cs="NunitoSans-ExtraBold"/>
          <w:lang w:val="vi"/>
        </w:rPr>
        <w:t>.</w:t>
      </w:r>
      <w:r>
        <w:rPr>
          <w:lang w:val="vi"/>
        </w:rPr>
        <w:t xml:space="preserve"> Khung Kết quả bao gồm 85 thước đo cho 7 Lĩnh vực Kết quả. 41 là thước đo liên quan đến hệ thống, 40 liên quan đến dân số và 4 liên quan đến thái độ cộng đồng. Chúng bao gồm các thước đo vào thời điểm khởi động đã có sẵn dữ liệu để báo cáo và các thước đo trong tương lai còn cần phát triển hay nối kết dữ liệu để báo cáo.</w:t>
      </w:r>
    </w:p>
    <w:p w14:paraId="0C67CDCC" w14:textId="23770A68" w:rsidR="00F3203A" w:rsidRDefault="00DA6E8E" w:rsidP="00D66FF9">
      <w:pPr>
        <w:rPr>
          <w:lang w:val="vi"/>
        </w:rPr>
      </w:pPr>
      <w:r>
        <w:rPr>
          <w:lang w:val="vi"/>
        </w:rPr>
        <w:t>Bộ Dịch vụ Xã hội (DSS) đã phát triển DIP sau khi trưng cầu ý kiến người khuyết tật và các cơ quan chính phủ Úc, tiểu bang và địa hạt. Các sắp xếp đa khu vực thẩm quyền là cần thiết để có thể cung cấp dữ liệu cho Khung Kết quả. Các quyết định cuối cùng liên quan đến cải tiến dữ liệu sẽ thuộc về các Bộ trưởng Cải cách Khuyết tật.</w:t>
      </w:r>
    </w:p>
    <w:p w14:paraId="28D6F885" w14:textId="77777777" w:rsidR="008673B6" w:rsidRPr="008673B6" w:rsidRDefault="008673B6" w:rsidP="00D66FF9">
      <w:pPr>
        <w:rPr>
          <w:lang w:val="vi"/>
        </w:rPr>
      </w:pPr>
    </w:p>
    <w:p w14:paraId="054EC781" w14:textId="77777777" w:rsidR="00F3203A" w:rsidRPr="008673B6" w:rsidRDefault="00DA6E8E" w:rsidP="00D66FF9">
      <w:pPr>
        <w:rPr>
          <w:lang w:val="vi"/>
        </w:rPr>
      </w:pPr>
      <w:r>
        <w:rPr>
          <w:lang w:val="vi"/>
        </w:rPr>
        <w:lastRenderedPageBreak/>
        <w:t>Tất cả các cấp chính phủ đã đồng ý làm việc chặt chẽ với người khuyết tật trong suốt quá trình triển khai Sách lược. Các quan điểm của người khuyết tật, của các bên liên quan trong lĩnh vực khuyết tật và các nhóm đa dạng trong lĩnh vực này sẽ được nghe và xem xét. Chúng tôi sẽ tiếp tục tham gia thảo luận với người khuyết tật và các nhóm giao thoa như những người khuyết tật First Nations (Người Thổ dân), người khuyết tật từ các cộng động đa dạng văn hoá và ngôn ngữ, và phụ nữ khuyết tật để đảm bảo bề rộng các quan điểm được xem xét và đưa vào.</w:t>
      </w:r>
    </w:p>
    <w:p w14:paraId="3A4862C6" w14:textId="77777777" w:rsidR="00F3203A" w:rsidRPr="008673B6" w:rsidRDefault="00DA6E8E" w:rsidP="002E6979">
      <w:pPr>
        <w:pStyle w:val="Heading2"/>
        <w:rPr>
          <w:lang w:val="vi"/>
        </w:rPr>
      </w:pPr>
      <w:bookmarkStart w:id="2" w:name="_Toc256000001"/>
      <w:r>
        <w:rPr>
          <w:lang w:val="vi"/>
        </w:rPr>
        <w:t>Căn chỉnh</w:t>
      </w:r>
      <w:bookmarkEnd w:id="2"/>
    </w:p>
    <w:p w14:paraId="060227A4" w14:textId="77777777" w:rsidR="00F3203A" w:rsidRPr="008673B6" w:rsidRDefault="00DA6E8E" w:rsidP="00D66FF9">
      <w:pPr>
        <w:rPr>
          <w:lang w:val="vi"/>
        </w:rPr>
      </w:pPr>
      <w:r>
        <w:rPr>
          <w:lang w:val="vi"/>
        </w:rPr>
        <w:t>DIP căn chỉnh với các văn bản sau:</w:t>
      </w:r>
    </w:p>
    <w:p w14:paraId="1BB76CA9" w14:textId="77777777" w:rsidR="00F3203A" w:rsidRPr="008673B6" w:rsidRDefault="00DA6E8E">
      <w:pPr>
        <w:pStyle w:val="Bullet1"/>
        <w:rPr>
          <w:lang w:val="vi"/>
        </w:rPr>
      </w:pPr>
      <w:r>
        <w:rPr>
          <w:lang w:val="vi"/>
        </w:rPr>
        <w:t>Sách lược Người khuyết tật của Úc 2021–2031</w:t>
      </w:r>
    </w:p>
    <w:p w14:paraId="66D05E11" w14:textId="77777777" w:rsidR="00F3203A" w:rsidRPr="008673B6" w:rsidRDefault="00DA6E8E">
      <w:pPr>
        <w:pStyle w:val="Bullet1"/>
        <w:rPr>
          <w:lang w:val="vi"/>
        </w:rPr>
      </w:pPr>
      <w:r>
        <w:rPr>
          <w:lang w:val="vi"/>
        </w:rPr>
        <w:t>Thoả thuận Quốc gia về Thu hẹp Khoảng cách.</w:t>
      </w:r>
    </w:p>
    <w:p w14:paraId="62B5A7BD" w14:textId="77777777" w:rsidR="00F3203A" w:rsidRPr="008673B6" w:rsidRDefault="00DA6E8E" w:rsidP="00D66FF9">
      <w:pPr>
        <w:pStyle w:val="Heading2"/>
        <w:rPr>
          <w:lang w:val="vi"/>
        </w:rPr>
      </w:pPr>
      <w:bookmarkStart w:id="3" w:name="_Toc256000002"/>
      <w:r>
        <w:rPr>
          <w:lang w:val="vi"/>
        </w:rPr>
        <w:t>Dữ liệu</w:t>
      </w:r>
      <w:bookmarkEnd w:id="3"/>
    </w:p>
    <w:p w14:paraId="6DF0D746" w14:textId="77777777" w:rsidR="00F3203A" w:rsidRPr="008673B6" w:rsidRDefault="00DA6E8E" w:rsidP="00D66FF9">
      <w:pPr>
        <w:rPr>
          <w:lang w:val="vi"/>
        </w:rPr>
      </w:pPr>
      <w:r>
        <w:rPr>
          <w:lang w:val="vi"/>
        </w:rPr>
        <w:t>Dữ liệu cho Khung Kết quả sẽ đến từ các nguồn khác nhau, bao gồm:</w:t>
      </w:r>
    </w:p>
    <w:p w14:paraId="4B7F7B8F" w14:textId="77777777" w:rsidR="00F3203A" w:rsidRPr="008673B6" w:rsidRDefault="00DA6E8E">
      <w:pPr>
        <w:pStyle w:val="Bullet1"/>
        <w:rPr>
          <w:lang w:val="vi"/>
        </w:rPr>
      </w:pPr>
      <w:r>
        <w:rPr>
          <w:lang w:val="vi"/>
        </w:rPr>
        <w:t>dữ liệu khảo sát, bao gồm từ Khảo sát Khuyết tật, Lão hoá và Người chăm sóc (SDAC), các khảo sát khác của ABS, và Khảo sát Sách lược Khuyết tật Úc (Khảo sát Sách lược) về thái độ cộng đồng đối với người khuyết tật</w:t>
      </w:r>
    </w:p>
    <w:p w14:paraId="74B402C6" w14:textId="77777777" w:rsidR="00F3203A" w:rsidRPr="008673B6" w:rsidRDefault="00DA6E8E">
      <w:pPr>
        <w:pStyle w:val="Bullet1"/>
        <w:rPr>
          <w:lang w:val="vi"/>
        </w:rPr>
      </w:pPr>
      <w:r>
        <w:rPr>
          <w:lang w:val="vi"/>
        </w:rPr>
        <w:t>dữ liệu hành chính, bao gồm từ Chương trình Bảo hiểm Khuyết tật Quốc gia (NDIS), và các bộ giáo dục và y tế tiểu bang và địa hạt</w:t>
      </w:r>
    </w:p>
    <w:p w14:paraId="38DB605D" w14:textId="77777777" w:rsidR="00F3203A" w:rsidRPr="008673B6" w:rsidRDefault="00DA6E8E">
      <w:pPr>
        <w:pStyle w:val="Bullet1"/>
        <w:rPr>
          <w:lang w:val="vi"/>
        </w:rPr>
      </w:pPr>
      <w:r>
        <w:rPr>
          <w:lang w:val="vi"/>
        </w:rPr>
        <w:t>nối kết các tập dữ liệu lại để cải tiến chất lượng và tính so sánh của dữ liệu để tạo ra bề rộng những hiểu biết mới qua các cơ chế bao gồm Tài sản Dữ liệu Khuyết tật Quốc gia (NDDA).</w:t>
      </w:r>
    </w:p>
    <w:p w14:paraId="530CA221" w14:textId="77777777" w:rsidR="00F3203A" w:rsidRPr="008673B6" w:rsidRDefault="00DA6E8E" w:rsidP="00D66FF9">
      <w:pPr>
        <w:rPr>
          <w:lang w:val="vi"/>
        </w:rPr>
      </w:pPr>
      <w:r>
        <w:rPr>
          <w:lang w:val="vi"/>
        </w:rPr>
        <w:t>Quản trị dữ liệu chất lượng cao sẽ cải tiến việc đưa ra quyết định và kích hoạt sự cộng tác giữa các cấp chính phủ Úc, tiểu bang và địa hạt. Nó sẽ giúp các cấp chính phủ đo độ ảnh hưởng của các dịch vụ được cung cấp cho người khuyết tật.</w:t>
      </w:r>
    </w:p>
    <w:p w14:paraId="26B4BDBB" w14:textId="7B2CC0F4" w:rsidR="00F3203A" w:rsidRDefault="00DA6E8E" w:rsidP="00D66FF9">
      <w:pPr>
        <w:pStyle w:val="Heading2"/>
        <w:rPr>
          <w:lang w:val="en-GB"/>
        </w:rPr>
      </w:pPr>
      <w:bookmarkStart w:id="4" w:name="_Toc256000003"/>
      <w:r>
        <w:rPr>
          <w:lang w:val="vi"/>
        </w:rPr>
        <w:t>Sự đa dạng và Giao thoa</w:t>
      </w:r>
      <w:bookmarkEnd w:id="4"/>
    </w:p>
    <w:p w14:paraId="7EDF7E6E" w14:textId="77777777" w:rsidR="00F3203A" w:rsidRPr="008673B6" w:rsidRDefault="00DA6E8E" w:rsidP="00D66FF9">
      <w:pPr>
        <w:rPr>
          <w:lang w:val="vi"/>
        </w:rPr>
      </w:pPr>
      <w:r>
        <w:rPr>
          <w:lang w:val="vi"/>
        </w:rPr>
        <w:t>Sách lược và DIP công nhận tầm quan trọng của việc hiểu, thừa nhận và tôn vinh sự đa dạng trong cộng đồng khuyết tật. Điều này bao gồm việc hiểu tính giao thoa, nghĩa là khả năng mọi người có thể gặp bất lợi do sự giao thoa giữa giới tính, tuổi tác, chủng tộc, văn hoá, nhận dạng giới tính, khuynh hướng giới tính, khiếm khuyết giác quan, tình trạng khuyết tật, vị trí kinh tế xã hội, tôn giáo của họ và các khía cạnh khác. Các khía cạnh này liên kết với nhau; mỗi khía cạnh tương hỗ khía cạnh khác và chúng có những hiệu ứng chồng chéo và kết hợp.</w:t>
      </w:r>
    </w:p>
    <w:p w14:paraId="5F023772" w14:textId="77777777" w:rsidR="00F3203A" w:rsidRPr="008673B6" w:rsidRDefault="00DA6E8E" w:rsidP="00D66FF9">
      <w:pPr>
        <w:rPr>
          <w:lang w:val="vi"/>
        </w:rPr>
      </w:pPr>
      <w:r>
        <w:rPr>
          <w:lang w:val="vi"/>
        </w:rPr>
        <w:t>Khi phát triển các nguồn dữ liệu mới cho các thước đo trong tương lai hay khi cải tiến dữ liệu cho các thước đo vào thời điểm khởi động, khả năng phân chia dữ liệu theo nhiều cách có thể là một điểm ưu tiên.</w:t>
      </w:r>
    </w:p>
    <w:p w14:paraId="7316096C" w14:textId="77777777" w:rsidR="00F3203A" w:rsidRPr="008673B6" w:rsidRDefault="00DA6E8E" w:rsidP="00D66FF9">
      <w:pPr>
        <w:pStyle w:val="Heading2"/>
        <w:rPr>
          <w:lang w:val="vi"/>
        </w:rPr>
      </w:pPr>
      <w:bookmarkStart w:id="5" w:name="_Toc256000004"/>
      <w:r>
        <w:rPr>
          <w:lang w:val="vi"/>
        </w:rPr>
        <w:lastRenderedPageBreak/>
        <w:t>Các Thước đo Tương lai trong Khung Kết quả</w:t>
      </w:r>
      <w:bookmarkEnd w:id="5"/>
    </w:p>
    <w:p w14:paraId="2F745B7D" w14:textId="77777777" w:rsidR="00F3203A" w:rsidRPr="008673B6" w:rsidRDefault="00DA6E8E" w:rsidP="00D66FF9">
      <w:pPr>
        <w:rPr>
          <w:lang w:val="vi"/>
        </w:rPr>
      </w:pPr>
      <w:r>
        <w:rPr>
          <w:lang w:val="vi"/>
        </w:rPr>
        <w:t>Khung Kết quả bao gồm các thước đo trong tương lai như một phần của cam kết cải tiến thước đo và tinh chỉnh Khung Kết quả trong suốt quá trình thực thi Sách lược.</w:t>
      </w:r>
    </w:p>
    <w:p w14:paraId="1DE68994" w14:textId="77777777" w:rsidR="00F3203A" w:rsidRPr="008673B6" w:rsidRDefault="00DA6E8E" w:rsidP="00D66FF9">
      <w:pPr>
        <w:rPr>
          <w:lang w:val="vi"/>
        </w:rPr>
      </w:pPr>
      <w:r>
        <w:rPr>
          <w:lang w:val="vi"/>
        </w:rPr>
        <w:t xml:space="preserve">Có 38 thước đo trong tương lai. Dữ liệu cho vài thước đo đã có từ khi khởi động Sách lược. Các dữ liệu khác cần có một số việc tiếp theo trước khi có thể báo cáo. </w:t>
      </w:r>
    </w:p>
    <w:p w14:paraId="3038AAF7" w14:textId="77777777" w:rsidR="00F3203A" w:rsidRPr="008673B6" w:rsidRDefault="00DA6E8E" w:rsidP="00D66FF9">
      <w:pPr>
        <w:rPr>
          <w:lang w:val="vi"/>
        </w:rPr>
      </w:pPr>
      <w:r>
        <w:rPr>
          <w:lang w:val="vi"/>
        </w:rPr>
        <w:t xml:space="preserve">Hai thước đo hiện đã có và sẽ được phát hành trên </w:t>
      </w:r>
      <w:hyperlink r:id="rId10" w:history="1">
        <w:r>
          <w:rPr>
            <w:rStyle w:val="Hyperlink"/>
            <w:lang w:val="vi"/>
          </w:rPr>
          <w:t>các trang mạng Khung Kết quả</w:t>
        </w:r>
      </w:hyperlink>
      <w:r>
        <w:rPr>
          <w:lang w:val="vi"/>
        </w:rPr>
        <w:t xml:space="preserve"> vào thời điểm cập nhật đầu tiên giữa năm 2023. Các thước đo này liên quan đến việc làm của người tham gia NDIS, và các nhân viên khuyết tật trong khối công.</w:t>
      </w:r>
    </w:p>
    <w:p w14:paraId="0903820D" w14:textId="77777777" w:rsidR="00F3203A" w:rsidRPr="005D7EEE" w:rsidRDefault="00DA6E8E" w:rsidP="00D66FF9">
      <w:pPr>
        <w:rPr>
          <w:spacing w:val="-2"/>
          <w:lang w:val="vi"/>
        </w:rPr>
      </w:pPr>
      <w:r w:rsidRPr="005D7EEE">
        <w:rPr>
          <w:spacing w:val="-2"/>
          <w:lang w:val="vi"/>
        </w:rPr>
        <w:t xml:space="preserve">Bốn thước đo sẽ được đúc kết từ Khảo sát Sách lược tập trung vào Lĩnh vực Kết quả Thái độ Cộng đồng. Việc thu thập dữ liệu cho Khảo sát Sách lược bắt đầu vào tháng Chín 2022 và sẽ kết thúc vào tháng Giêng 2023. Dữ liệu sẽ được biên soạn từ đầu năm 2023, tiếp theo là phân tích từ tháng Ba đến tháng Sáu 2023 và phát hành trên </w:t>
      </w:r>
      <w:hyperlink r:id="rId11" w:history="1">
        <w:r w:rsidRPr="005D7EEE">
          <w:rPr>
            <w:rStyle w:val="Hyperlink"/>
            <w:spacing w:val="-2"/>
            <w:lang w:val="vi"/>
          </w:rPr>
          <w:t>các trang mạng Khung Kết quả</w:t>
        </w:r>
      </w:hyperlink>
      <w:r w:rsidRPr="005D7EEE">
        <w:rPr>
          <w:spacing w:val="-2"/>
          <w:lang w:val="vi"/>
        </w:rPr>
        <w:t xml:space="preserve"> vào tháng Chín 2023.</w:t>
      </w:r>
    </w:p>
    <w:p w14:paraId="66A0E8AA" w14:textId="77777777" w:rsidR="00F3203A" w:rsidRPr="008673B6" w:rsidRDefault="00DA6E8E" w:rsidP="00D66FF9">
      <w:pPr>
        <w:rPr>
          <w:lang w:val="vi"/>
        </w:rPr>
      </w:pPr>
      <w:r>
        <w:rPr>
          <w:lang w:val="vi"/>
        </w:rPr>
        <w:t>4 thước đo tiếp theo sẽ có vào cuối năm 2023 hoặc 2024. 4 thước đo này sẽ được báo cáo qua kết nối với Dự án Tích hợp Dữ liệu Đa Ban ngành (MADIP). Các thước đo này liên quan đến độ dài thời gian và tái minh chứng trong hệ thống bảo vệ trẻ em, tử vong có thể tránh được trong bệnh viện và các ca nhập viện phi tự nguyện.</w:t>
      </w:r>
    </w:p>
    <w:p w14:paraId="460AA796" w14:textId="77777777" w:rsidR="00F3203A" w:rsidRPr="008673B6" w:rsidRDefault="00DA6E8E" w:rsidP="00D66FF9">
      <w:pPr>
        <w:rPr>
          <w:lang w:val="vi"/>
        </w:rPr>
      </w:pPr>
      <w:r>
        <w:rPr>
          <w:lang w:val="vi"/>
        </w:rPr>
        <w:t>Một thước đo sẽ sử dụng dữ liệu NDIS và liên quan đến sự thành công trong việc kết nối những người tham gia NDIS với các dịch vụ và hệ thống chính thống và trong cộng đồng. Việc báo cáo thước đo này có thể sẽ có từ năm 2026.</w:t>
      </w:r>
    </w:p>
    <w:p w14:paraId="21CBF990" w14:textId="77777777" w:rsidR="00F3203A" w:rsidRPr="008673B6" w:rsidRDefault="00DA6E8E" w:rsidP="00D66FF9">
      <w:pPr>
        <w:rPr>
          <w:lang w:val="vi"/>
        </w:rPr>
      </w:pPr>
      <w:r>
        <w:rPr>
          <w:lang w:val="vi"/>
        </w:rPr>
        <w:t>Dữ liệu cho 7 thước đo tiếp theo sẽ đòi hỏi liên kết dữ liệu phức tạp qua các tài sản dữ liệu NDDA hoặc đan chéo các lĩnh vực thẩm quyền tương tự. Chúng tôi hy vọng dữ liệu này sẽ có giữa hai năm 2024 và 2025.</w:t>
      </w:r>
    </w:p>
    <w:p w14:paraId="2931DB83" w14:textId="77777777" w:rsidR="00F3203A" w:rsidRPr="008673B6" w:rsidRDefault="00DA6E8E" w:rsidP="00D66FF9">
      <w:pPr>
        <w:rPr>
          <w:lang w:val="vi"/>
        </w:rPr>
      </w:pPr>
      <w:r>
        <w:rPr>
          <w:lang w:val="vi"/>
        </w:rPr>
        <w:t>Dữ liệu từ các câu hỏi khảo sát mới sẽ cần để báo cáo và theo dõi 12 thước đo. Dữ liệu này sẽ được thu thập bằng cách thêm câu hỏi vào một khảo sát đã có, như Khảo sát Sách lược hay SDAC, hoặc qua một khảo sát mới.</w:t>
      </w:r>
    </w:p>
    <w:p w14:paraId="78BEEE07" w14:textId="77777777" w:rsidR="00F3203A" w:rsidRPr="008673B6" w:rsidRDefault="00DA6E8E" w:rsidP="00D66FF9">
      <w:pPr>
        <w:rPr>
          <w:lang w:val="vi"/>
        </w:rPr>
      </w:pPr>
      <w:r>
        <w:rPr>
          <w:lang w:val="vi"/>
        </w:rPr>
        <w:t>Sự cộng tác về định nghĩa, phương pháp luận và quản lý hành chính là cần thiết để đáp ứng cho 8 thước đo còn lại trong tương lai. Các nhóm làm việc sẽ do DSS triệu tập phối hợp với các cơ quan Chính phủ Úc và các cấp chính phủ tiểu bang và địa hạt phù hợp. Việc lập kế hoạch cho các nhóm làm việc đã bắt đầu. Các nhóm làm việc dự tính sẽ kết thúc vào cuối năm 2023. Sau đó là một thời kỳ thu thập và báo cáo dữ liệu.</w:t>
      </w:r>
    </w:p>
    <w:p w14:paraId="4FBE80A6" w14:textId="77777777" w:rsidR="00F3203A" w:rsidRPr="008673B6" w:rsidRDefault="00DA6E8E" w:rsidP="00D66FF9">
      <w:pPr>
        <w:pStyle w:val="Heading2"/>
        <w:rPr>
          <w:rFonts w:ascii="NunitoSans-Regular" w:hAnsi="NunitoSans-Regular" w:cs="NunitoSans-Regular"/>
          <w:sz w:val="20"/>
          <w:szCs w:val="20"/>
          <w:lang w:val="vi"/>
        </w:rPr>
      </w:pPr>
      <w:bookmarkStart w:id="6" w:name="_Toc256000005"/>
      <w:r>
        <w:rPr>
          <w:lang w:val="vi"/>
        </w:rPr>
        <w:t>Các Thước đo vào Thời điểm Khởi động trong Khung Kết quả</w:t>
      </w:r>
      <w:bookmarkEnd w:id="6"/>
    </w:p>
    <w:p w14:paraId="5A5A2EC1" w14:textId="77777777" w:rsidR="00F3203A" w:rsidRPr="008673B6" w:rsidRDefault="00DA6E8E" w:rsidP="00D66FF9">
      <w:pPr>
        <w:rPr>
          <w:lang w:val="vi"/>
        </w:rPr>
      </w:pPr>
      <w:r>
        <w:rPr>
          <w:lang w:val="vi"/>
        </w:rPr>
        <w:t>Sự kết nối dữ liệu sẽ cải thiện một số thước đo vào thời điểm khởi động qua:</w:t>
      </w:r>
    </w:p>
    <w:p w14:paraId="50C082C5" w14:textId="77777777" w:rsidR="00F3203A" w:rsidRPr="008673B6" w:rsidRDefault="00DA6E8E">
      <w:pPr>
        <w:pStyle w:val="Bullet1"/>
        <w:rPr>
          <w:lang w:val="vi"/>
        </w:rPr>
      </w:pPr>
      <w:r>
        <w:rPr>
          <w:lang w:val="vi"/>
        </w:rPr>
        <w:t>cải tiến chất lượng dữ liệu sử dụng trong việc phân tích các thước đo</w:t>
      </w:r>
    </w:p>
    <w:p w14:paraId="0465A58C" w14:textId="77777777" w:rsidR="00F3203A" w:rsidRPr="008673B6" w:rsidRDefault="00DA6E8E">
      <w:pPr>
        <w:pStyle w:val="Bullet1"/>
        <w:rPr>
          <w:lang w:val="vi"/>
        </w:rPr>
      </w:pPr>
      <w:r>
        <w:rPr>
          <w:lang w:val="vi"/>
        </w:rPr>
        <w:t>cung cấp những hiểu biết mới mà trước đây không có</w:t>
      </w:r>
    </w:p>
    <w:p w14:paraId="4A8CA781" w14:textId="77777777" w:rsidR="00F3203A" w:rsidRPr="008673B6" w:rsidRDefault="00DA6E8E">
      <w:pPr>
        <w:pStyle w:val="Bullet1"/>
        <w:rPr>
          <w:lang w:val="vi"/>
        </w:rPr>
      </w:pPr>
      <w:r>
        <w:rPr>
          <w:lang w:val="vi"/>
        </w:rPr>
        <w:t xml:space="preserve">báo cáo các thước đo thường xuyên hơn </w:t>
      </w:r>
    </w:p>
    <w:p w14:paraId="1102C9D2" w14:textId="77777777" w:rsidR="00F3203A" w:rsidRPr="008673B6" w:rsidRDefault="00DA6E8E">
      <w:pPr>
        <w:pStyle w:val="Bullet1"/>
        <w:rPr>
          <w:lang w:val="vi"/>
        </w:rPr>
      </w:pPr>
      <w:r>
        <w:rPr>
          <w:lang w:val="vi"/>
        </w:rPr>
        <w:lastRenderedPageBreak/>
        <w:t xml:space="preserve">tạo điều kiện cho dân chúng truy cập các kết quả thước đo thích hợp với họ hơn - ví dụ, dựa trên vị trí địa lý, dạng khuyết tật của họ hay việc sử dụng các hỗ trợ khuyết tật. </w:t>
      </w:r>
    </w:p>
    <w:p w14:paraId="33053B7B" w14:textId="77777777" w:rsidR="00F3203A" w:rsidRPr="008673B6" w:rsidRDefault="00DA6E8E" w:rsidP="00D66FF9">
      <w:pPr>
        <w:rPr>
          <w:lang w:val="vi"/>
        </w:rPr>
      </w:pPr>
      <w:r>
        <w:rPr>
          <w:lang w:val="vi"/>
        </w:rPr>
        <w:t>Các thước đo vào thời điểm khởi động khác sẽ được cải thiện qua sự cộng tác giữa các cấp chính phủ Úc, tiểu bang và địa hạt. Việc này bao gồm việc thống nhất các định nghĩa chuẩn và các thực hành thu thập cho phép so sánh xuyên quốc gia.</w:t>
      </w:r>
    </w:p>
    <w:p w14:paraId="6AC7AE61" w14:textId="77777777" w:rsidR="00F3203A" w:rsidRPr="008673B6" w:rsidRDefault="00DA6E8E" w:rsidP="00D66FF9">
      <w:pPr>
        <w:pStyle w:val="Heading2"/>
        <w:rPr>
          <w:lang w:val="vi"/>
        </w:rPr>
      </w:pPr>
      <w:bookmarkStart w:id="7" w:name="_Toc256000006"/>
      <w:r>
        <w:rPr>
          <w:lang w:val="vi"/>
        </w:rPr>
        <w:t>Đường hướng cho tương lai</w:t>
      </w:r>
      <w:bookmarkEnd w:id="7"/>
    </w:p>
    <w:p w14:paraId="0979B122" w14:textId="77777777" w:rsidR="00F3203A" w:rsidRPr="008673B6" w:rsidRDefault="00DA6E8E" w:rsidP="00D66FF9">
      <w:pPr>
        <w:rPr>
          <w:lang w:val="vi"/>
        </w:rPr>
      </w:pPr>
      <w:r>
        <w:rPr>
          <w:lang w:val="vi"/>
        </w:rPr>
        <w:t>Tất cả các cấp chính phủ, làm việc chặt chẽ với người khuyết tật, sẽ tiếp tục phát triển dữ liệu cho các thước đo trong tương lai và cải tiến chất lượng và tính dễ sử dụng của dữ liệu về người khuyết tật trong suốt thời gian thực thi Sách lược.</w:t>
      </w:r>
    </w:p>
    <w:p w14:paraId="1C8D1C6D" w14:textId="77777777" w:rsidR="00F3203A" w:rsidRPr="008673B6" w:rsidRDefault="00DA6E8E" w:rsidP="00D66FF9">
      <w:pPr>
        <w:rPr>
          <w:lang w:val="vi"/>
        </w:rPr>
      </w:pPr>
      <w:r>
        <w:rPr>
          <w:lang w:val="vi"/>
        </w:rPr>
        <w:t>DIP sẽ được cập nhật để tương đồng với các điểm đánh giá của Sách lược. Đánh giá đầu tiên sẽ theo sau báo cáo cuối cùng của Uỷ ban Điều tra Tối cao về Bạo hành, Ngược đãi, Bỏ bê và Bóc lột Người Khuyết tật vào cuối năm 2023. Các đánh giá tiếp theo sẽ có vào năm 2025 và 2029.</w:t>
      </w:r>
    </w:p>
    <w:p w14:paraId="6C88487A" w14:textId="77777777" w:rsidR="00D66FF9" w:rsidRPr="008673B6" w:rsidRDefault="00D66FF9" w:rsidP="00D66FF9">
      <w:pPr>
        <w:rPr>
          <w:lang w:val="vi"/>
        </w:rPr>
      </w:pPr>
    </w:p>
    <w:sectPr w:rsidR="00D66FF9" w:rsidRPr="008673B6"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A9F6" w14:textId="77777777" w:rsidR="00340DC8" w:rsidRDefault="00340DC8">
      <w:pPr>
        <w:spacing w:before="0" w:after="0" w:line="240" w:lineRule="auto"/>
      </w:pPr>
      <w:r>
        <w:separator/>
      </w:r>
    </w:p>
  </w:endnote>
  <w:endnote w:type="continuationSeparator" w:id="0">
    <w:p w14:paraId="3CF8DB28" w14:textId="77777777" w:rsidR="00340DC8" w:rsidRDefault="00340D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498F" w14:textId="151F82FA" w:rsidR="00D66FF9" w:rsidRDefault="00DA6E8E">
    <w:pPr>
      <w:pStyle w:val="Footer"/>
    </w:pPr>
    <w:r>
      <w:fldChar w:fldCharType="begin"/>
    </w:r>
    <w:r>
      <w:rPr>
        <w:lang w:val="vi"/>
      </w:rPr>
      <w:instrText xml:space="preserve"> PAGE   \* MERGEFORMAT </w:instrText>
    </w:r>
    <w:r>
      <w:fldChar w:fldCharType="separate"/>
    </w:r>
    <w:r w:rsidR="0059000C">
      <w:rPr>
        <w:noProof/>
        <w:lang w:val="vi"/>
      </w:rPr>
      <w:t>1</w:t>
    </w:r>
    <w:r>
      <w:rPr>
        <w:noProof/>
      </w:rPr>
      <w:fldChar w:fldCharType="end"/>
    </w:r>
    <w:r>
      <w:rPr>
        <w:noProof/>
        <w:lang w:val="vi"/>
      </w:rPr>
      <w:tab/>
    </w:r>
    <w:sdt>
      <w:sdtPr>
        <w:rPr>
          <w:noProof/>
        </w:rPr>
        <w:alias w:val="Title"/>
        <w:id w:val="1605232220"/>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EndPr/>
      <w:sdtContent>
        <w:r w:rsidR="008264EF">
          <w:rPr>
            <w:noProof/>
          </w:rPr>
          <w:t>Sách lược Người khuyết tật của Úc 2021 – 2031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98F7" w14:textId="77777777" w:rsidR="00340DC8" w:rsidRDefault="00340DC8">
      <w:pPr>
        <w:spacing w:before="0" w:after="0" w:line="240" w:lineRule="auto"/>
      </w:pPr>
      <w:r>
        <w:separator/>
      </w:r>
    </w:p>
  </w:footnote>
  <w:footnote w:type="continuationSeparator" w:id="0">
    <w:p w14:paraId="38E5B208" w14:textId="77777777" w:rsidR="00340DC8" w:rsidRDefault="00340D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636A3346">
      <w:start w:val="1"/>
      <w:numFmt w:val="decimal"/>
      <w:lvlText w:val="%1."/>
      <w:lvlJc w:val="left"/>
      <w:pPr>
        <w:ind w:left="720" w:hanging="360"/>
      </w:pPr>
      <w:rPr>
        <w:rFonts w:hint="default"/>
        <w:caps w:val="0"/>
        <w:vanish w:val="0"/>
        <w:color w:val="000000" w:themeColor="text1"/>
      </w:rPr>
    </w:lvl>
    <w:lvl w:ilvl="1" w:tplc="79F2A9E8" w:tentative="1">
      <w:start w:val="1"/>
      <w:numFmt w:val="lowerLetter"/>
      <w:lvlText w:val="%2."/>
      <w:lvlJc w:val="left"/>
      <w:pPr>
        <w:ind w:left="1440" w:hanging="360"/>
      </w:pPr>
    </w:lvl>
    <w:lvl w:ilvl="2" w:tplc="999C8BB0" w:tentative="1">
      <w:start w:val="1"/>
      <w:numFmt w:val="lowerRoman"/>
      <w:lvlText w:val="%3."/>
      <w:lvlJc w:val="right"/>
      <w:pPr>
        <w:ind w:left="2160" w:hanging="180"/>
      </w:pPr>
    </w:lvl>
    <w:lvl w:ilvl="3" w:tplc="4D96D37E" w:tentative="1">
      <w:start w:val="1"/>
      <w:numFmt w:val="decimal"/>
      <w:lvlText w:val="%4."/>
      <w:lvlJc w:val="left"/>
      <w:pPr>
        <w:ind w:left="2880" w:hanging="360"/>
      </w:pPr>
    </w:lvl>
    <w:lvl w:ilvl="4" w:tplc="484875A8" w:tentative="1">
      <w:start w:val="1"/>
      <w:numFmt w:val="lowerLetter"/>
      <w:lvlText w:val="%5."/>
      <w:lvlJc w:val="left"/>
      <w:pPr>
        <w:ind w:left="3600" w:hanging="360"/>
      </w:pPr>
    </w:lvl>
    <w:lvl w:ilvl="5" w:tplc="19263542" w:tentative="1">
      <w:start w:val="1"/>
      <w:numFmt w:val="lowerRoman"/>
      <w:lvlText w:val="%6."/>
      <w:lvlJc w:val="right"/>
      <w:pPr>
        <w:ind w:left="4320" w:hanging="180"/>
      </w:pPr>
    </w:lvl>
    <w:lvl w:ilvl="6" w:tplc="B0AEB2BE" w:tentative="1">
      <w:start w:val="1"/>
      <w:numFmt w:val="decimal"/>
      <w:lvlText w:val="%7."/>
      <w:lvlJc w:val="left"/>
      <w:pPr>
        <w:ind w:left="5040" w:hanging="360"/>
      </w:pPr>
    </w:lvl>
    <w:lvl w:ilvl="7" w:tplc="BAF8668A" w:tentative="1">
      <w:start w:val="1"/>
      <w:numFmt w:val="lowerLetter"/>
      <w:lvlText w:val="%8."/>
      <w:lvlJc w:val="left"/>
      <w:pPr>
        <w:ind w:left="5760" w:hanging="360"/>
      </w:pPr>
    </w:lvl>
    <w:lvl w:ilvl="8" w:tplc="19005BDE"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0"/>
  </w:num>
  <w:num w:numId="4">
    <w:abstractNumId w:val="3"/>
  </w:num>
  <w:num w:numId="5">
    <w:abstractNumId w:val="4"/>
  </w:num>
  <w:num w:numId="6">
    <w:abstractNumId w:val="8"/>
  </w:num>
  <w:num w:numId="7">
    <w:abstractNumId w:val="6"/>
  </w:num>
  <w:num w:numId="8">
    <w:abstractNumId w:val="7"/>
  </w:num>
  <w:num w:numId="9">
    <w:abstractNumId w:val="9"/>
  </w:num>
  <w:num w:numId="10">
    <w:abstractNumId w:val="5"/>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79"/>
    <w:rsid w:val="000D275D"/>
    <w:rsid w:val="001155AD"/>
    <w:rsid w:val="001E0101"/>
    <w:rsid w:val="00270492"/>
    <w:rsid w:val="002A1454"/>
    <w:rsid w:val="002E6979"/>
    <w:rsid w:val="00340DC8"/>
    <w:rsid w:val="00411917"/>
    <w:rsid w:val="00566082"/>
    <w:rsid w:val="0059000C"/>
    <w:rsid w:val="005D7EEE"/>
    <w:rsid w:val="005E3863"/>
    <w:rsid w:val="00683008"/>
    <w:rsid w:val="007F79E8"/>
    <w:rsid w:val="008264EF"/>
    <w:rsid w:val="008673B6"/>
    <w:rsid w:val="00997CD5"/>
    <w:rsid w:val="009F621E"/>
    <w:rsid w:val="00A8614C"/>
    <w:rsid w:val="00C23CA4"/>
    <w:rsid w:val="00CB66CB"/>
    <w:rsid w:val="00D32A45"/>
    <w:rsid w:val="00D66FF9"/>
    <w:rsid w:val="00D76C14"/>
    <w:rsid w:val="00DA6E8E"/>
    <w:rsid w:val="00DD4AD9"/>
    <w:rsid w:val="00ED0BF6"/>
    <w:rsid w:val="00F3203A"/>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77A9C"/>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C23CA4"/>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E32A5D">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E32A5D">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8"/>
    <w:rsid w:val="0034400F"/>
    <w:rsid w:val="003B3968"/>
    <w:rsid w:val="00844D74"/>
    <w:rsid w:val="008E3F2B"/>
    <w:rsid w:val="00975341"/>
    <w:rsid w:val="00997CD5"/>
    <w:rsid w:val="00A44398"/>
    <w:rsid w:val="00E32A5D"/>
    <w:rsid w:val="00E6788F"/>
    <w:rsid w:val="00FB39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694CB-1BBA-4322-8DF6-38F94CED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Sách lược Người khuyết tật của Úc 2021 – 2031</dc:title>
  <dc:creator>Department of Social Services</dc:creator>
  <cp:lastModifiedBy>User</cp:lastModifiedBy>
  <cp:revision>10</cp:revision>
  <dcterms:created xsi:type="dcterms:W3CDTF">2022-12-16T03:55:00Z</dcterms:created>
  <dcterms:modified xsi:type="dcterms:W3CDTF">2022-12-28T01:07:00Z</dcterms:modified>
</cp:coreProperties>
</file>