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E1" w:rsidRDefault="00C9304E" w:rsidP="003F29E1">
      <w:pPr>
        <w:rPr>
          <w:lang w:val="en-GB"/>
        </w:rPr>
      </w:pPr>
      <w:r w:rsidRPr="00927308">
        <w:rPr>
          <w:noProof/>
        </w:rPr>
        <w:drawing>
          <wp:inline distT="0" distB="0" distL="0" distR="0">
            <wp:extent cx="2377440" cy="1181100"/>
            <wp:effectExtent l="0" t="0" r="0" b="0"/>
            <wp:docPr id="1" name="Picture 1" descr="Australia's Disability Strategy 2021-2031 -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s Disability Strategy 2021-2031 - Creating an inclusive community toge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181100"/>
                    </a:xfrm>
                    <a:prstGeom prst="rect">
                      <a:avLst/>
                    </a:prstGeom>
                    <a:noFill/>
                    <a:ln>
                      <a:noFill/>
                    </a:ln>
                  </pic:spPr>
                </pic:pic>
              </a:graphicData>
            </a:graphic>
          </wp:inline>
        </w:drawing>
      </w:r>
    </w:p>
    <w:p w:rsidR="000D4328" w:rsidRDefault="00EF1D2C" w:rsidP="003F29E1">
      <w:pPr>
        <w:pStyle w:val="Title"/>
        <w:rPr>
          <w:lang w:val="en-GB"/>
        </w:rPr>
      </w:pPr>
      <w:r>
        <w:rPr>
          <w:lang w:val="en-GB"/>
        </w:rPr>
        <w:t>Australia’s Disability Strategy 2021 – 2031</w:t>
      </w:r>
    </w:p>
    <w:p w:rsidR="000D4328" w:rsidRDefault="009243BD" w:rsidP="003F29E1">
      <w:pPr>
        <w:pStyle w:val="Subtitle"/>
        <w:rPr>
          <w:lang w:val="en-GB"/>
        </w:rPr>
      </w:pPr>
      <w:r>
        <w:rPr>
          <w:lang w:val="en-GB"/>
        </w:rPr>
        <w:t>Data Improvement Plan</w:t>
      </w:r>
    </w:p>
    <w:p w:rsidR="003F29E1" w:rsidRDefault="003F29E1">
      <w:pPr>
        <w:rPr>
          <w:rFonts w:ascii="NunitoSans-Regular" w:hAnsi="NunitoSans-Regular" w:cs="NunitoSans-Regular"/>
          <w:color w:val="000000"/>
          <w:lang w:val="en-GB"/>
        </w:rPr>
      </w:pPr>
      <w:r>
        <w:rPr>
          <w:lang w:val="en-GB"/>
        </w:rPr>
        <w:br w:type="page"/>
      </w:r>
    </w:p>
    <w:p w:rsidR="000D4328" w:rsidRDefault="009243BD" w:rsidP="003F29E1">
      <w:pPr>
        <w:rPr>
          <w:lang w:val="en-GB"/>
        </w:rPr>
      </w:pPr>
      <w:r>
        <w:rPr>
          <w:lang w:val="en-GB"/>
        </w:rPr>
        <w:lastRenderedPageBreak/>
        <w:t>This document, Australia’s Disability Strategy 2021–2031: Data Improvement Plan, is licensed under the Creative Commons Attribution 4.0 International License, with the exception of:</w:t>
      </w:r>
    </w:p>
    <w:p w:rsidR="000D4328" w:rsidRDefault="009243BD" w:rsidP="003F29E1">
      <w:pPr>
        <w:pStyle w:val="Bullet1"/>
        <w:rPr>
          <w:lang w:val="en-GB"/>
        </w:rPr>
      </w:pPr>
      <w:r>
        <w:rPr>
          <w:lang w:val="en-GB"/>
        </w:rPr>
        <w:t>The Australia’s Disability Strategy 2021–2031 logo and branding</w:t>
      </w:r>
    </w:p>
    <w:p w:rsidR="000D4328" w:rsidRDefault="009243BD" w:rsidP="003F29E1">
      <w:pPr>
        <w:pStyle w:val="Bullet1"/>
        <w:rPr>
          <w:lang w:val="en-GB"/>
        </w:rPr>
      </w:pPr>
      <w:r>
        <w:rPr>
          <w:lang w:val="en-GB"/>
        </w:rPr>
        <w:t>Any third-party material</w:t>
      </w:r>
    </w:p>
    <w:p w:rsidR="000D4328" w:rsidRDefault="009243BD" w:rsidP="003F29E1">
      <w:pPr>
        <w:pStyle w:val="Bullet1"/>
        <w:rPr>
          <w:lang w:val="en-GB"/>
        </w:rPr>
      </w:pPr>
      <w:r>
        <w:rPr>
          <w:lang w:val="en-GB"/>
        </w:rPr>
        <w:t>All images and/or photographs.</w:t>
      </w:r>
    </w:p>
    <w:p w:rsidR="003F29E1" w:rsidRDefault="009243BD" w:rsidP="003F29E1">
      <w:r>
        <w:rPr>
          <w:lang w:val="en-GB"/>
        </w:rPr>
        <w:t xml:space="preserve">More information on this CC By licence is set out at the Creative Commons website: </w:t>
      </w:r>
      <w:r w:rsidR="003F29E1">
        <w:rPr>
          <w:lang w:val="en-GB"/>
        </w:rPr>
        <w:br/>
      </w:r>
      <w:hyperlink r:id="rId8" w:history="1">
        <w:r w:rsidR="003F29E1" w:rsidRPr="00D76C14">
          <w:rPr>
            <w:rStyle w:val="Hyperlink"/>
          </w:rPr>
          <w:t>https://creativecommons.org/licenses/by/4.0/legalcode</w:t>
        </w:r>
      </w:hyperlink>
    </w:p>
    <w:p w:rsidR="000D4328" w:rsidRPr="003F29E1" w:rsidRDefault="009243BD" w:rsidP="00466983">
      <w:pPr>
        <w:pStyle w:val="Heading3"/>
      </w:pPr>
      <w:r w:rsidRPr="003F29E1">
        <w:t>Attribution</w:t>
      </w:r>
    </w:p>
    <w:p w:rsidR="000D4328" w:rsidRDefault="009243BD" w:rsidP="003F29E1">
      <w:pPr>
        <w:rPr>
          <w:lang w:val="en-GB"/>
        </w:rPr>
      </w:pPr>
      <w:r>
        <w:rPr>
          <w:lang w:val="en-GB"/>
        </w:rPr>
        <w:t>Use of all or part of this document must include the following attribution: ©</w:t>
      </w:r>
      <w:r w:rsidR="00AA769E">
        <w:rPr>
          <w:lang w:val="en-GB"/>
        </w:rPr>
        <w:t xml:space="preserve"> </w:t>
      </w:r>
      <w:r>
        <w:rPr>
          <w:lang w:val="en-GB"/>
        </w:rPr>
        <w:t>Commonwealth</w:t>
      </w:r>
      <w:r w:rsidR="00AA769E">
        <w:rPr>
          <w:lang w:val="en-GB"/>
        </w:rPr>
        <w:t xml:space="preserve"> </w:t>
      </w:r>
      <w:r>
        <w:rPr>
          <w:lang w:val="en-GB"/>
        </w:rPr>
        <w:t>of</w:t>
      </w:r>
      <w:r w:rsidR="00AA769E">
        <w:rPr>
          <w:lang w:val="en-GB"/>
        </w:rPr>
        <w:t xml:space="preserve"> </w:t>
      </w:r>
      <w:r>
        <w:rPr>
          <w:lang w:val="en-GB"/>
        </w:rPr>
        <w:t>Australia (</w:t>
      </w:r>
      <w:hyperlink r:id="rId9" w:history="1">
        <w:r>
          <w:rPr>
            <w:rStyle w:val="Hyperlink"/>
            <w:lang w:val="en-GB"/>
          </w:rPr>
          <w:t>Department of Social Services</w:t>
        </w:r>
      </w:hyperlink>
      <w:r>
        <w:rPr>
          <w:lang w:val="en-GB"/>
        </w:rPr>
        <w:t>) 2022</w:t>
      </w:r>
    </w:p>
    <w:p w:rsidR="000D4328" w:rsidRDefault="009243BD" w:rsidP="003F29E1">
      <w:pPr>
        <w:rPr>
          <w:lang w:val="en-GB"/>
        </w:rPr>
      </w:pPr>
      <w:r>
        <w:rPr>
          <w:lang w:val="en-GB"/>
        </w:rPr>
        <w:t>Enquiries about copyright arrangements and any use of this information can be sent to the Department of Social Services:</w:t>
      </w:r>
    </w:p>
    <w:p w:rsidR="000D4328" w:rsidRPr="003F29E1" w:rsidRDefault="009243BD" w:rsidP="003F29E1">
      <w:pPr>
        <w:rPr>
          <w:rStyle w:val="Hyperlink"/>
          <w:lang w:val="en-GB"/>
        </w:rPr>
      </w:pPr>
      <w:r>
        <w:rPr>
          <w:lang w:val="en-GB"/>
        </w:rPr>
        <w:t xml:space="preserve">By email: </w:t>
      </w:r>
      <w:r>
        <w:rPr>
          <w:lang w:val="en-GB"/>
        </w:rPr>
        <w:br/>
      </w:r>
      <w:hyperlink r:id="rId10" w:history="1">
        <w:r w:rsidR="003F29E1" w:rsidRPr="00D76C14">
          <w:rPr>
            <w:rStyle w:val="Hyperlink"/>
            <w:lang w:val="en-GB"/>
          </w:rPr>
          <w:t>copyright@dss.gov.au</w:t>
        </w:r>
      </w:hyperlink>
    </w:p>
    <w:p w:rsidR="000D4328" w:rsidRDefault="009243BD" w:rsidP="003F29E1">
      <w:pPr>
        <w:rPr>
          <w:lang w:val="en-GB"/>
        </w:rPr>
      </w:pPr>
      <w:r>
        <w:rPr>
          <w:lang w:val="en-GB"/>
        </w:rPr>
        <w:t xml:space="preserve">By post: </w:t>
      </w:r>
      <w:r>
        <w:rPr>
          <w:lang w:val="en-GB"/>
        </w:rPr>
        <w:br/>
        <w:t xml:space="preserve">Communications and Media </w:t>
      </w:r>
      <w:r>
        <w:rPr>
          <w:lang w:val="en-GB"/>
        </w:rPr>
        <w:br/>
        <w:t xml:space="preserve">Department of Social Services </w:t>
      </w:r>
      <w:r>
        <w:rPr>
          <w:lang w:val="en-GB"/>
        </w:rPr>
        <w:br/>
        <w:t xml:space="preserve">GPO Box 9820 </w:t>
      </w:r>
      <w:r>
        <w:rPr>
          <w:lang w:val="en-GB"/>
        </w:rPr>
        <w:br/>
        <w:t>Canberra ACT 2601</w:t>
      </w:r>
    </w:p>
    <w:p w:rsidR="00241DAF" w:rsidRDefault="00241DAF" w:rsidP="003F29E1">
      <w:pPr>
        <w:rPr>
          <w:lang w:val="en-GB"/>
        </w:rPr>
      </w:pPr>
      <w:r>
        <w:rPr>
          <w:lang w:val="en-GB"/>
        </w:rPr>
        <w:br w:type="page"/>
      </w:r>
    </w:p>
    <w:p w:rsidR="00241DAF" w:rsidRDefault="003F29E1" w:rsidP="003F29E1">
      <w:pPr>
        <w:pStyle w:val="TOCHeading"/>
        <w:rPr>
          <w:lang w:val="en-GB"/>
        </w:rPr>
      </w:pPr>
      <w:r>
        <w:rPr>
          <w:lang w:val="en-GB"/>
        </w:rPr>
        <w:lastRenderedPageBreak/>
        <w:t>Contents</w:t>
      </w:r>
    </w:p>
    <w:p w:rsidR="00FB234C" w:rsidRDefault="00466983">
      <w:pPr>
        <w:pStyle w:val="TOC1"/>
        <w:rPr>
          <w:rFonts w:asciiTheme="minorHAnsi" w:hAnsiTheme="minorHAnsi"/>
          <w:b w:val="0"/>
          <w:noProof/>
          <w:sz w:val="22"/>
        </w:rPr>
      </w:pPr>
      <w:r>
        <w:rPr>
          <w:lang w:val="en-GB"/>
        </w:rPr>
        <w:fldChar w:fldCharType="begin"/>
      </w:r>
      <w:r>
        <w:rPr>
          <w:lang w:val="en-GB"/>
        </w:rPr>
        <w:instrText xml:space="preserve"> TOC \h \z \t "Heading 1,1,Heading 2,2,Appendix Numbered,2,Heading 1 Numbered,1,Heading 2 Numbered,2,Table Title,3" </w:instrText>
      </w:r>
      <w:r>
        <w:rPr>
          <w:lang w:val="en-GB"/>
        </w:rPr>
        <w:fldChar w:fldCharType="separate"/>
      </w:r>
      <w:hyperlink w:anchor="_Toc121849750" w:history="1">
        <w:r w:rsidR="00FB234C" w:rsidRPr="00384AEA">
          <w:rPr>
            <w:rStyle w:val="Hyperlink"/>
            <w:noProof/>
            <w:lang w:val="en-GB"/>
          </w:rPr>
          <w:t>1. Introduction</w:t>
        </w:r>
        <w:r w:rsidR="00FB234C">
          <w:rPr>
            <w:noProof/>
            <w:webHidden/>
          </w:rPr>
          <w:tab/>
        </w:r>
        <w:r w:rsidR="00FB234C">
          <w:rPr>
            <w:noProof/>
            <w:webHidden/>
          </w:rPr>
          <w:fldChar w:fldCharType="begin"/>
        </w:r>
        <w:r w:rsidR="00FB234C">
          <w:rPr>
            <w:noProof/>
            <w:webHidden/>
          </w:rPr>
          <w:instrText xml:space="preserve"> PAGEREF _Toc121849750 \h </w:instrText>
        </w:r>
        <w:r w:rsidR="00FB234C">
          <w:rPr>
            <w:noProof/>
            <w:webHidden/>
          </w:rPr>
        </w:r>
        <w:r w:rsidR="00FB234C">
          <w:rPr>
            <w:noProof/>
            <w:webHidden/>
          </w:rPr>
          <w:fldChar w:fldCharType="separate"/>
        </w:r>
        <w:r w:rsidR="00FB234C">
          <w:rPr>
            <w:noProof/>
            <w:webHidden/>
          </w:rPr>
          <w:t>4</w:t>
        </w:r>
        <w:r w:rsidR="00FB234C">
          <w:rPr>
            <w:noProof/>
            <w:webHidden/>
          </w:rPr>
          <w:fldChar w:fldCharType="end"/>
        </w:r>
      </w:hyperlink>
    </w:p>
    <w:p w:rsidR="00FB234C" w:rsidRDefault="00A905F9">
      <w:pPr>
        <w:pStyle w:val="TOC2"/>
        <w:rPr>
          <w:rFonts w:asciiTheme="minorHAnsi" w:hAnsiTheme="minorHAnsi"/>
          <w:noProof/>
          <w:color w:val="auto"/>
        </w:rPr>
      </w:pPr>
      <w:hyperlink w:anchor="_Toc121849751" w:history="1">
        <w:r w:rsidR="00FB234C" w:rsidRPr="00384AEA">
          <w:rPr>
            <w:rStyle w:val="Hyperlink"/>
            <w:noProof/>
            <w:lang w:val="en-GB"/>
          </w:rPr>
          <w:t>1.1 Purpose</w:t>
        </w:r>
        <w:r w:rsidR="00FB234C">
          <w:rPr>
            <w:noProof/>
            <w:webHidden/>
          </w:rPr>
          <w:tab/>
        </w:r>
        <w:r w:rsidR="00FB234C">
          <w:rPr>
            <w:noProof/>
            <w:webHidden/>
          </w:rPr>
          <w:fldChar w:fldCharType="begin"/>
        </w:r>
        <w:r w:rsidR="00FB234C">
          <w:rPr>
            <w:noProof/>
            <w:webHidden/>
          </w:rPr>
          <w:instrText xml:space="preserve"> PAGEREF _Toc121849751 \h </w:instrText>
        </w:r>
        <w:r w:rsidR="00FB234C">
          <w:rPr>
            <w:noProof/>
            <w:webHidden/>
          </w:rPr>
        </w:r>
        <w:r w:rsidR="00FB234C">
          <w:rPr>
            <w:noProof/>
            <w:webHidden/>
          </w:rPr>
          <w:fldChar w:fldCharType="separate"/>
        </w:r>
        <w:r w:rsidR="00FB234C">
          <w:rPr>
            <w:noProof/>
            <w:webHidden/>
          </w:rPr>
          <w:t>4</w:t>
        </w:r>
        <w:r w:rsidR="00FB234C">
          <w:rPr>
            <w:noProof/>
            <w:webHidden/>
          </w:rPr>
          <w:fldChar w:fldCharType="end"/>
        </w:r>
      </w:hyperlink>
    </w:p>
    <w:p w:rsidR="00FB234C" w:rsidRDefault="00A905F9">
      <w:pPr>
        <w:pStyle w:val="TOC2"/>
        <w:rPr>
          <w:rFonts w:asciiTheme="minorHAnsi" w:hAnsiTheme="minorHAnsi"/>
          <w:noProof/>
          <w:color w:val="auto"/>
        </w:rPr>
      </w:pPr>
      <w:hyperlink w:anchor="_Toc121849752" w:history="1">
        <w:r w:rsidR="00FB234C" w:rsidRPr="00384AEA">
          <w:rPr>
            <w:rStyle w:val="Hyperlink"/>
            <w:noProof/>
            <w:lang w:val="en-GB"/>
          </w:rPr>
          <w:t>1.2 Background</w:t>
        </w:r>
        <w:r w:rsidR="00FB234C">
          <w:rPr>
            <w:noProof/>
            <w:webHidden/>
          </w:rPr>
          <w:tab/>
        </w:r>
        <w:r w:rsidR="00FB234C">
          <w:rPr>
            <w:noProof/>
            <w:webHidden/>
          </w:rPr>
          <w:fldChar w:fldCharType="begin"/>
        </w:r>
        <w:r w:rsidR="00FB234C">
          <w:rPr>
            <w:noProof/>
            <w:webHidden/>
          </w:rPr>
          <w:instrText xml:space="preserve"> PAGEREF _Toc121849752 \h </w:instrText>
        </w:r>
        <w:r w:rsidR="00FB234C">
          <w:rPr>
            <w:noProof/>
            <w:webHidden/>
          </w:rPr>
        </w:r>
        <w:r w:rsidR="00FB234C">
          <w:rPr>
            <w:noProof/>
            <w:webHidden/>
          </w:rPr>
          <w:fldChar w:fldCharType="separate"/>
        </w:r>
        <w:r w:rsidR="00FB234C">
          <w:rPr>
            <w:noProof/>
            <w:webHidden/>
          </w:rPr>
          <w:t>4</w:t>
        </w:r>
        <w:r w:rsidR="00FB234C">
          <w:rPr>
            <w:noProof/>
            <w:webHidden/>
          </w:rPr>
          <w:fldChar w:fldCharType="end"/>
        </w:r>
      </w:hyperlink>
    </w:p>
    <w:p w:rsidR="00FB234C" w:rsidRDefault="00A905F9">
      <w:pPr>
        <w:pStyle w:val="TOC3"/>
        <w:rPr>
          <w:noProof/>
          <w:color w:val="auto"/>
        </w:rPr>
      </w:pPr>
      <w:hyperlink w:anchor="_Toc121849753" w:history="1">
        <w:r w:rsidR="00FB234C" w:rsidRPr="00384AEA">
          <w:rPr>
            <w:rStyle w:val="Hyperlink"/>
            <w:noProof/>
            <w:lang w:val="en-GB"/>
          </w:rPr>
          <w:t>Table 1: Outcome Areas of the Strategy</w:t>
        </w:r>
        <w:r w:rsidR="00FB234C">
          <w:rPr>
            <w:noProof/>
            <w:webHidden/>
          </w:rPr>
          <w:tab/>
        </w:r>
        <w:r w:rsidR="00FB234C">
          <w:rPr>
            <w:noProof/>
            <w:webHidden/>
          </w:rPr>
          <w:fldChar w:fldCharType="begin"/>
        </w:r>
        <w:r w:rsidR="00FB234C">
          <w:rPr>
            <w:noProof/>
            <w:webHidden/>
          </w:rPr>
          <w:instrText xml:space="preserve"> PAGEREF _Toc121849753 \h </w:instrText>
        </w:r>
        <w:r w:rsidR="00FB234C">
          <w:rPr>
            <w:noProof/>
            <w:webHidden/>
          </w:rPr>
        </w:r>
        <w:r w:rsidR="00FB234C">
          <w:rPr>
            <w:noProof/>
            <w:webHidden/>
          </w:rPr>
          <w:fldChar w:fldCharType="separate"/>
        </w:r>
        <w:r w:rsidR="00FB234C">
          <w:rPr>
            <w:noProof/>
            <w:webHidden/>
          </w:rPr>
          <w:t>5</w:t>
        </w:r>
        <w:r w:rsidR="00FB234C">
          <w:rPr>
            <w:noProof/>
            <w:webHidden/>
          </w:rPr>
          <w:fldChar w:fldCharType="end"/>
        </w:r>
      </w:hyperlink>
    </w:p>
    <w:p w:rsidR="00FB234C" w:rsidRDefault="00A905F9">
      <w:pPr>
        <w:pStyle w:val="TOC2"/>
        <w:rPr>
          <w:rFonts w:asciiTheme="minorHAnsi" w:hAnsiTheme="minorHAnsi"/>
          <w:noProof/>
          <w:color w:val="auto"/>
        </w:rPr>
      </w:pPr>
      <w:hyperlink w:anchor="_Toc121849754" w:history="1">
        <w:r w:rsidR="00FB234C" w:rsidRPr="00384AEA">
          <w:rPr>
            <w:rStyle w:val="Hyperlink"/>
            <w:noProof/>
            <w:lang w:val="en-GB"/>
          </w:rPr>
          <w:t>1.3 Development</w:t>
        </w:r>
        <w:r w:rsidR="00FB234C">
          <w:rPr>
            <w:noProof/>
            <w:webHidden/>
          </w:rPr>
          <w:tab/>
        </w:r>
        <w:r w:rsidR="00FB234C">
          <w:rPr>
            <w:noProof/>
            <w:webHidden/>
          </w:rPr>
          <w:fldChar w:fldCharType="begin"/>
        </w:r>
        <w:r w:rsidR="00FB234C">
          <w:rPr>
            <w:noProof/>
            <w:webHidden/>
          </w:rPr>
          <w:instrText xml:space="preserve"> PAGEREF _Toc121849754 \h </w:instrText>
        </w:r>
        <w:r w:rsidR="00FB234C">
          <w:rPr>
            <w:noProof/>
            <w:webHidden/>
          </w:rPr>
        </w:r>
        <w:r w:rsidR="00FB234C">
          <w:rPr>
            <w:noProof/>
            <w:webHidden/>
          </w:rPr>
          <w:fldChar w:fldCharType="separate"/>
        </w:r>
        <w:r w:rsidR="00FB234C">
          <w:rPr>
            <w:noProof/>
            <w:webHidden/>
          </w:rPr>
          <w:t>5</w:t>
        </w:r>
        <w:r w:rsidR="00FB234C">
          <w:rPr>
            <w:noProof/>
            <w:webHidden/>
          </w:rPr>
          <w:fldChar w:fldCharType="end"/>
        </w:r>
      </w:hyperlink>
    </w:p>
    <w:p w:rsidR="00FB234C" w:rsidRDefault="00A905F9">
      <w:pPr>
        <w:pStyle w:val="TOC1"/>
        <w:rPr>
          <w:rFonts w:asciiTheme="minorHAnsi" w:hAnsiTheme="minorHAnsi"/>
          <w:b w:val="0"/>
          <w:noProof/>
          <w:sz w:val="22"/>
        </w:rPr>
      </w:pPr>
      <w:hyperlink w:anchor="_Toc121849755" w:history="1">
        <w:r w:rsidR="00FB234C" w:rsidRPr="00384AEA">
          <w:rPr>
            <w:rStyle w:val="Hyperlink"/>
            <w:noProof/>
            <w:lang w:val="en-GB"/>
          </w:rPr>
          <w:t>2. Objectives</w:t>
        </w:r>
        <w:r w:rsidR="00FB234C">
          <w:rPr>
            <w:noProof/>
            <w:webHidden/>
          </w:rPr>
          <w:tab/>
        </w:r>
        <w:r w:rsidR="00FB234C">
          <w:rPr>
            <w:noProof/>
            <w:webHidden/>
          </w:rPr>
          <w:fldChar w:fldCharType="begin"/>
        </w:r>
        <w:r w:rsidR="00FB234C">
          <w:rPr>
            <w:noProof/>
            <w:webHidden/>
          </w:rPr>
          <w:instrText xml:space="preserve"> PAGEREF _Toc121849755 \h </w:instrText>
        </w:r>
        <w:r w:rsidR="00FB234C">
          <w:rPr>
            <w:noProof/>
            <w:webHidden/>
          </w:rPr>
        </w:r>
        <w:r w:rsidR="00FB234C">
          <w:rPr>
            <w:noProof/>
            <w:webHidden/>
          </w:rPr>
          <w:fldChar w:fldCharType="separate"/>
        </w:r>
        <w:r w:rsidR="00FB234C">
          <w:rPr>
            <w:noProof/>
            <w:webHidden/>
          </w:rPr>
          <w:t>6</w:t>
        </w:r>
        <w:r w:rsidR="00FB234C">
          <w:rPr>
            <w:noProof/>
            <w:webHidden/>
          </w:rPr>
          <w:fldChar w:fldCharType="end"/>
        </w:r>
      </w:hyperlink>
    </w:p>
    <w:p w:rsidR="00FB234C" w:rsidRDefault="00A905F9">
      <w:pPr>
        <w:pStyle w:val="TOC2"/>
        <w:rPr>
          <w:rFonts w:asciiTheme="minorHAnsi" w:hAnsiTheme="minorHAnsi"/>
          <w:noProof/>
          <w:color w:val="auto"/>
        </w:rPr>
      </w:pPr>
      <w:hyperlink w:anchor="_Toc121849756" w:history="1">
        <w:r w:rsidR="00FB234C" w:rsidRPr="00384AEA">
          <w:rPr>
            <w:rStyle w:val="Hyperlink"/>
            <w:noProof/>
            <w:lang w:val="en-GB"/>
          </w:rPr>
          <w:t>2.1 Scope</w:t>
        </w:r>
        <w:r w:rsidR="00FB234C">
          <w:rPr>
            <w:noProof/>
            <w:webHidden/>
          </w:rPr>
          <w:tab/>
        </w:r>
        <w:r w:rsidR="00FB234C">
          <w:rPr>
            <w:noProof/>
            <w:webHidden/>
          </w:rPr>
          <w:fldChar w:fldCharType="begin"/>
        </w:r>
        <w:r w:rsidR="00FB234C">
          <w:rPr>
            <w:noProof/>
            <w:webHidden/>
          </w:rPr>
          <w:instrText xml:space="preserve"> PAGEREF _Toc121849756 \h </w:instrText>
        </w:r>
        <w:r w:rsidR="00FB234C">
          <w:rPr>
            <w:noProof/>
            <w:webHidden/>
          </w:rPr>
        </w:r>
        <w:r w:rsidR="00FB234C">
          <w:rPr>
            <w:noProof/>
            <w:webHidden/>
          </w:rPr>
          <w:fldChar w:fldCharType="separate"/>
        </w:r>
        <w:r w:rsidR="00FB234C">
          <w:rPr>
            <w:noProof/>
            <w:webHidden/>
          </w:rPr>
          <w:t>6</w:t>
        </w:r>
        <w:r w:rsidR="00FB234C">
          <w:rPr>
            <w:noProof/>
            <w:webHidden/>
          </w:rPr>
          <w:fldChar w:fldCharType="end"/>
        </w:r>
      </w:hyperlink>
    </w:p>
    <w:p w:rsidR="00FB234C" w:rsidRDefault="00A905F9">
      <w:pPr>
        <w:pStyle w:val="TOC2"/>
        <w:rPr>
          <w:rFonts w:asciiTheme="minorHAnsi" w:hAnsiTheme="minorHAnsi"/>
          <w:noProof/>
          <w:color w:val="auto"/>
        </w:rPr>
      </w:pPr>
      <w:hyperlink w:anchor="_Toc121849757" w:history="1">
        <w:r w:rsidR="00FB234C" w:rsidRPr="00384AEA">
          <w:rPr>
            <w:rStyle w:val="Hyperlink"/>
            <w:noProof/>
            <w:lang w:val="en-GB"/>
          </w:rPr>
          <w:t>2.2 Review Points</w:t>
        </w:r>
        <w:r w:rsidR="00FB234C">
          <w:rPr>
            <w:noProof/>
            <w:webHidden/>
          </w:rPr>
          <w:tab/>
        </w:r>
        <w:r w:rsidR="00FB234C">
          <w:rPr>
            <w:noProof/>
            <w:webHidden/>
          </w:rPr>
          <w:fldChar w:fldCharType="begin"/>
        </w:r>
        <w:r w:rsidR="00FB234C">
          <w:rPr>
            <w:noProof/>
            <w:webHidden/>
          </w:rPr>
          <w:instrText xml:space="preserve"> PAGEREF _Toc121849757 \h </w:instrText>
        </w:r>
        <w:r w:rsidR="00FB234C">
          <w:rPr>
            <w:noProof/>
            <w:webHidden/>
          </w:rPr>
        </w:r>
        <w:r w:rsidR="00FB234C">
          <w:rPr>
            <w:noProof/>
            <w:webHidden/>
          </w:rPr>
          <w:fldChar w:fldCharType="separate"/>
        </w:r>
        <w:r w:rsidR="00FB234C">
          <w:rPr>
            <w:noProof/>
            <w:webHidden/>
          </w:rPr>
          <w:t>6</w:t>
        </w:r>
        <w:r w:rsidR="00FB234C">
          <w:rPr>
            <w:noProof/>
            <w:webHidden/>
          </w:rPr>
          <w:fldChar w:fldCharType="end"/>
        </w:r>
      </w:hyperlink>
    </w:p>
    <w:p w:rsidR="00FB234C" w:rsidRDefault="00A905F9">
      <w:pPr>
        <w:pStyle w:val="TOC3"/>
        <w:rPr>
          <w:noProof/>
          <w:color w:val="auto"/>
        </w:rPr>
      </w:pPr>
      <w:hyperlink w:anchor="_Toc121849758" w:history="1">
        <w:r w:rsidR="00FB234C" w:rsidRPr="00384AEA">
          <w:rPr>
            <w:rStyle w:val="Hyperlink"/>
            <w:noProof/>
            <w:lang w:val="en-GB"/>
          </w:rPr>
          <w:t>Table 2: Review Points</w:t>
        </w:r>
        <w:r w:rsidR="00FB234C">
          <w:rPr>
            <w:noProof/>
            <w:webHidden/>
          </w:rPr>
          <w:tab/>
        </w:r>
        <w:r w:rsidR="00FB234C">
          <w:rPr>
            <w:noProof/>
            <w:webHidden/>
          </w:rPr>
          <w:fldChar w:fldCharType="begin"/>
        </w:r>
        <w:r w:rsidR="00FB234C">
          <w:rPr>
            <w:noProof/>
            <w:webHidden/>
          </w:rPr>
          <w:instrText xml:space="preserve"> PAGEREF _Toc121849758 \h </w:instrText>
        </w:r>
        <w:r w:rsidR="00FB234C">
          <w:rPr>
            <w:noProof/>
            <w:webHidden/>
          </w:rPr>
        </w:r>
        <w:r w:rsidR="00FB234C">
          <w:rPr>
            <w:noProof/>
            <w:webHidden/>
          </w:rPr>
          <w:fldChar w:fldCharType="separate"/>
        </w:r>
        <w:r w:rsidR="00FB234C">
          <w:rPr>
            <w:noProof/>
            <w:webHidden/>
          </w:rPr>
          <w:t>7</w:t>
        </w:r>
        <w:r w:rsidR="00FB234C">
          <w:rPr>
            <w:noProof/>
            <w:webHidden/>
          </w:rPr>
          <w:fldChar w:fldCharType="end"/>
        </w:r>
      </w:hyperlink>
    </w:p>
    <w:p w:rsidR="00FB234C" w:rsidRDefault="00A905F9">
      <w:pPr>
        <w:pStyle w:val="TOC1"/>
        <w:rPr>
          <w:rFonts w:asciiTheme="minorHAnsi" w:hAnsiTheme="minorHAnsi"/>
          <w:b w:val="0"/>
          <w:noProof/>
          <w:sz w:val="22"/>
        </w:rPr>
      </w:pPr>
      <w:hyperlink w:anchor="_Toc121849759" w:history="1">
        <w:r w:rsidR="00FB234C" w:rsidRPr="00384AEA">
          <w:rPr>
            <w:rStyle w:val="Hyperlink"/>
            <w:noProof/>
            <w:lang w:val="en-GB"/>
          </w:rPr>
          <w:t>3. Data Management</w:t>
        </w:r>
        <w:r w:rsidR="00FB234C">
          <w:rPr>
            <w:noProof/>
            <w:webHidden/>
          </w:rPr>
          <w:tab/>
        </w:r>
        <w:r w:rsidR="00FB234C">
          <w:rPr>
            <w:noProof/>
            <w:webHidden/>
          </w:rPr>
          <w:fldChar w:fldCharType="begin"/>
        </w:r>
        <w:r w:rsidR="00FB234C">
          <w:rPr>
            <w:noProof/>
            <w:webHidden/>
          </w:rPr>
          <w:instrText xml:space="preserve"> PAGEREF _Toc121849759 \h </w:instrText>
        </w:r>
        <w:r w:rsidR="00FB234C">
          <w:rPr>
            <w:noProof/>
            <w:webHidden/>
          </w:rPr>
        </w:r>
        <w:r w:rsidR="00FB234C">
          <w:rPr>
            <w:noProof/>
            <w:webHidden/>
          </w:rPr>
          <w:fldChar w:fldCharType="separate"/>
        </w:r>
        <w:r w:rsidR="00FB234C">
          <w:rPr>
            <w:noProof/>
            <w:webHidden/>
          </w:rPr>
          <w:t>8</w:t>
        </w:r>
        <w:r w:rsidR="00FB234C">
          <w:rPr>
            <w:noProof/>
            <w:webHidden/>
          </w:rPr>
          <w:fldChar w:fldCharType="end"/>
        </w:r>
      </w:hyperlink>
    </w:p>
    <w:p w:rsidR="00FB234C" w:rsidRDefault="00A905F9">
      <w:pPr>
        <w:pStyle w:val="TOC2"/>
        <w:rPr>
          <w:rFonts w:asciiTheme="minorHAnsi" w:hAnsiTheme="minorHAnsi"/>
          <w:noProof/>
          <w:color w:val="auto"/>
        </w:rPr>
      </w:pPr>
      <w:hyperlink w:anchor="_Toc121849760" w:history="1">
        <w:r w:rsidR="00FB234C" w:rsidRPr="00384AEA">
          <w:rPr>
            <w:rStyle w:val="Hyperlink"/>
            <w:noProof/>
            <w:lang w:val="en-GB"/>
          </w:rPr>
          <w:t>3.1 Data Governance</w:t>
        </w:r>
        <w:r w:rsidR="00FB234C">
          <w:rPr>
            <w:noProof/>
            <w:webHidden/>
          </w:rPr>
          <w:tab/>
        </w:r>
        <w:r w:rsidR="00FB234C">
          <w:rPr>
            <w:noProof/>
            <w:webHidden/>
          </w:rPr>
          <w:fldChar w:fldCharType="begin"/>
        </w:r>
        <w:r w:rsidR="00FB234C">
          <w:rPr>
            <w:noProof/>
            <w:webHidden/>
          </w:rPr>
          <w:instrText xml:space="preserve"> PAGEREF _Toc121849760 \h </w:instrText>
        </w:r>
        <w:r w:rsidR="00FB234C">
          <w:rPr>
            <w:noProof/>
            <w:webHidden/>
          </w:rPr>
        </w:r>
        <w:r w:rsidR="00FB234C">
          <w:rPr>
            <w:noProof/>
            <w:webHidden/>
          </w:rPr>
          <w:fldChar w:fldCharType="separate"/>
        </w:r>
        <w:r w:rsidR="00FB234C">
          <w:rPr>
            <w:noProof/>
            <w:webHidden/>
          </w:rPr>
          <w:t>8</w:t>
        </w:r>
        <w:r w:rsidR="00FB234C">
          <w:rPr>
            <w:noProof/>
            <w:webHidden/>
          </w:rPr>
          <w:fldChar w:fldCharType="end"/>
        </w:r>
      </w:hyperlink>
    </w:p>
    <w:p w:rsidR="00FB234C" w:rsidRDefault="00A905F9">
      <w:pPr>
        <w:pStyle w:val="TOC2"/>
        <w:rPr>
          <w:rFonts w:asciiTheme="minorHAnsi" w:hAnsiTheme="minorHAnsi"/>
          <w:noProof/>
          <w:color w:val="auto"/>
        </w:rPr>
      </w:pPr>
      <w:hyperlink w:anchor="_Toc121849761" w:history="1">
        <w:r w:rsidR="00FB234C" w:rsidRPr="00384AEA">
          <w:rPr>
            <w:rStyle w:val="Hyperlink"/>
            <w:noProof/>
            <w:lang w:val="en-GB"/>
          </w:rPr>
          <w:t>3.2 Data Quality</w:t>
        </w:r>
        <w:r w:rsidR="00FB234C">
          <w:rPr>
            <w:noProof/>
            <w:webHidden/>
          </w:rPr>
          <w:tab/>
        </w:r>
        <w:r w:rsidR="00FB234C">
          <w:rPr>
            <w:noProof/>
            <w:webHidden/>
          </w:rPr>
          <w:fldChar w:fldCharType="begin"/>
        </w:r>
        <w:r w:rsidR="00FB234C">
          <w:rPr>
            <w:noProof/>
            <w:webHidden/>
          </w:rPr>
          <w:instrText xml:space="preserve"> PAGEREF _Toc121849761 \h </w:instrText>
        </w:r>
        <w:r w:rsidR="00FB234C">
          <w:rPr>
            <w:noProof/>
            <w:webHidden/>
          </w:rPr>
        </w:r>
        <w:r w:rsidR="00FB234C">
          <w:rPr>
            <w:noProof/>
            <w:webHidden/>
          </w:rPr>
          <w:fldChar w:fldCharType="separate"/>
        </w:r>
        <w:r w:rsidR="00FB234C">
          <w:rPr>
            <w:noProof/>
            <w:webHidden/>
          </w:rPr>
          <w:t>8</w:t>
        </w:r>
        <w:r w:rsidR="00FB234C">
          <w:rPr>
            <w:noProof/>
            <w:webHidden/>
          </w:rPr>
          <w:fldChar w:fldCharType="end"/>
        </w:r>
      </w:hyperlink>
    </w:p>
    <w:p w:rsidR="00FB234C" w:rsidRDefault="00A905F9">
      <w:pPr>
        <w:pStyle w:val="TOC3"/>
        <w:rPr>
          <w:noProof/>
          <w:color w:val="auto"/>
        </w:rPr>
      </w:pPr>
      <w:hyperlink w:anchor="_Toc121849762" w:history="1">
        <w:r w:rsidR="00FB234C" w:rsidRPr="00384AEA">
          <w:rPr>
            <w:rStyle w:val="Hyperlink"/>
            <w:noProof/>
          </w:rPr>
          <w:t>Table 3: Data Quality Dimensions</w:t>
        </w:r>
        <w:r w:rsidR="00FB234C">
          <w:rPr>
            <w:noProof/>
            <w:webHidden/>
          </w:rPr>
          <w:tab/>
        </w:r>
        <w:r w:rsidR="00FB234C">
          <w:rPr>
            <w:noProof/>
            <w:webHidden/>
          </w:rPr>
          <w:fldChar w:fldCharType="begin"/>
        </w:r>
        <w:r w:rsidR="00FB234C">
          <w:rPr>
            <w:noProof/>
            <w:webHidden/>
          </w:rPr>
          <w:instrText xml:space="preserve"> PAGEREF _Toc121849762 \h </w:instrText>
        </w:r>
        <w:r w:rsidR="00FB234C">
          <w:rPr>
            <w:noProof/>
            <w:webHidden/>
          </w:rPr>
        </w:r>
        <w:r w:rsidR="00FB234C">
          <w:rPr>
            <w:noProof/>
            <w:webHidden/>
          </w:rPr>
          <w:fldChar w:fldCharType="separate"/>
        </w:r>
        <w:r w:rsidR="00FB234C">
          <w:rPr>
            <w:noProof/>
            <w:webHidden/>
          </w:rPr>
          <w:t>9</w:t>
        </w:r>
        <w:r w:rsidR="00FB234C">
          <w:rPr>
            <w:noProof/>
            <w:webHidden/>
          </w:rPr>
          <w:fldChar w:fldCharType="end"/>
        </w:r>
      </w:hyperlink>
    </w:p>
    <w:p w:rsidR="00FB234C" w:rsidRDefault="00A905F9">
      <w:pPr>
        <w:pStyle w:val="TOC1"/>
        <w:rPr>
          <w:rFonts w:asciiTheme="minorHAnsi" w:hAnsiTheme="minorHAnsi"/>
          <w:b w:val="0"/>
          <w:noProof/>
          <w:sz w:val="22"/>
        </w:rPr>
      </w:pPr>
      <w:hyperlink w:anchor="_Toc121849763" w:history="1">
        <w:r w:rsidR="00FB234C" w:rsidRPr="00384AEA">
          <w:rPr>
            <w:rStyle w:val="Hyperlink"/>
            <w:noProof/>
            <w:lang w:val="en-GB"/>
          </w:rPr>
          <w:t>4. Diversity and Intersectionality</w:t>
        </w:r>
        <w:r w:rsidR="00FB234C">
          <w:rPr>
            <w:noProof/>
            <w:webHidden/>
          </w:rPr>
          <w:tab/>
        </w:r>
        <w:r w:rsidR="00FB234C">
          <w:rPr>
            <w:noProof/>
            <w:webHidden/>
          </w:rPr>
          <w:fldChar w:fldCharType="begin"/>
        </w:r>
        <w:r w:rsidR="00FB234C">
          <w:rPr>
            <w:noProof/>
            <w:webHidden/>
          </w:rPr>
          <w:instrText xml:space="preserve"> PAGEREF _Toc121849763 \h </w:instrText>
        </w:r>
        <w:r w:rsidR="00FB234C">
          <w:rPr>
            <w:noProof/>
            <w:webHidden/>
          </w:rPr>
        </w:r>
        <w:r w:rsidR="00FB234C">
          <w:rPr>
            <w:noProof/>
            <w:webHidden/>
          </w:rPr>
          <w:fldChar w:fldCharType="separate"/>
        </w:r>
        <w:r w:rsidR="00FB234C">
          <w:rPr>
            <w:noProof/>
            <w:webHidden/>
          </w:rPr>
          <w:t>10</w:t>
        </w:r>
        <w:r w:rsidR="00FB234C">
          <w:rPr>
            <w:noProof/>
            <w:webHidden/>
          </w:rPr>
          <w:fldChar w:fldCharType="end"/>
        </w:r>
      </w:hyperlink>
    </w:p>
    <w:p w:rsidR="00FB234C" w:rsidRDefault="00A905F9">
      <w:pPr>
        <w:pStyle w:val="TOC1"/>
        <w:rPr>
          <w:rFonts w:asciiTheme="minorHAnsi" w:hAnsiTheme="minorHAnsi"/>
          <w:b w:val="0"/>
          <w:noProof/>
          <w:sz w:val="22"/>
        </w:rPr>
      </w:pPr>
      <w:hyperlink w:anchor="_Toc121849764" w:history="1">
        <w:r w:rsidR="00FB234C" w:rsidRPr="00384AEA">
          <w:rPr>
            <w:rStyle w:val="Hyperlink"/>
            <w:noProof/>
            <w:lang w:val="en-GB"/>
          </w:rPr>
          <w:t>5. Closing the Gap and Australia’s Disability Strategy</w:t>
        </w:r>
        <w:r w:rsidR="00FB234C">
          <w:rPr>
            <w:noProof/>
            <w:webHidden/>
          </w:rPr>
          <w:tab/>
        </w:r>
        <w:r w:rsidR="00FB234C">
          <w:rPr>
            <w:noProof/>
            <w:webHidden/>
          </w:rPr>
          <w:fldChar w:fldCharType="begin"/>
        </w:r>
        <w:r w:rsidR="00FB234C">
          <w:rPr>
            <w:noProof/>
            <w:webHidden/>
          </w:rPr>
          <w:instrText xml:space="preserve"> PAGEREF _Toc121849764 \h </w:instrText>
        </w:r>
        <w:r w:rsidR="00FB234C">
          <w:rPr>
            <w:noProof/>
            <w:webHidden/>
          </w:rPr>
        </w:r>
        <w:r w:rsidR="00FB234C">
          <w:rPr>
            <w:noProof/>
            <w:webHidden/>
          </w:rPr>
          <w:fldChar w:fldCharType="separate"/>
        </w:r>
        <w:r w:rsidR="00FB234C">
          <w:rPr>
            <w:noProof/>
            <w:webHidden/>
          </w:rPr>
          <w:t>12</w:t>
        </w:r>
        <w:r w:rsidR="00FB234C">
          <w:rPr>
            <w:noProof/>
            <w:webHidden/>
          </w:rPr>
          <w:fldChar w:fldCharType="end"/>
        </w:r>
      </w:hyperlink>
    </w:p>
    <w:p w:rsidR="00FB234C" w:rsidRDefault="00A905F9">
      <w:pPr>
        <w:pStyle w:val="TOC1"/>
        <w:rPr>
          <w:rFonts w:asciiTheme="minorHAnsi" w:hAnsiTheme="minorHAnsi"/>
          <w:b w:val="0"/>
          <w:noProof/>
          <w:sz w:val="22"/>
        </w:rPr>
      </w:pPr>
      <w:hyperlink w:anchor="_Toc121849765" w:history="1">
        <w:r w:rsidR="00FB234C" w:rsidRPr="00384AEA">
          <w:rPr>
            <w:rStyle w:val="Hyperlink"/>
            <w:noProof/>
            <w:lang w:val="en-GB"/>
          </w:rPr>
          <w:t>6. Data</w:t>
        </w:r>
        <w:r w:rsidR="00FB234C">
          <w:rPr>
            <w:noProof/>
            <w:webHidden/>
          </w:rPr>
          <w:tab/>
        </w:r>
        <w:r w:rsidR="00FB234C">
          <w:rPr>
            <w:noProof/>
            <w:webHidden/>
          </w:rPr>
          <w:fldChar w:fldCharType="begin"/>
        </w:r>
        <w:r w:rsidR="00FB234C">
          <w:rPr>
            <w:noProof/>
            <w:webHidden/>
          </w:rPr>
          <w:instrText xml:space="preserve"> PAGEREF _Toc121849765 \h </w:instrText>
        </w:r>
        <w:r w:rsidR="00FB234C">
          <w:rPr>
            <w:noProof/>
            <w:webHidden/>
          </w:rPr>
        </w:r>
        <w:r w:rsidR="00FB234C">
          <w:rPr>
            <w:noProof/>
            <w:webHidden/>
          </w:rPr>
          <w:fldChar w:fldCharType="separate"/>
        </w:r>
        <w:r w:rsidR="00FB234C">
          <w:rPr>
            <w:noProof/>
            <w:webHidden/>
          </w:rPr>
          <w:t>13</w:t>
        </w:r>
        <w:r w:rsidR="00FB234C">
          <w:rPr>
            <w:noProof/>
            <w:webHidden/>
          </w:rPr>
          <w:fldChar w:fldCharType="end"/>
        </w:r>
      </w:hyperlink>
    </w:p>
    <w:p w:rsidR="00FB234C" w:rsidRDefault="00A905F9">
      <w:pPr>
        <w:pStyle w:val="TOC2"/>
        <w:rPr>
          <w:rFonts w:asciiTheme="minorHAnsi" w:hAnsiTheme="minorHAnsi"/>
          <w:noProof/>
          <w:color w:val="auto"/>
        </w:rPr>
      </w:pPr>
      <w:hyperlink w:anchor="_Toc121849766" w:history="1">
        <w:r w:rsidR="00FB234C" w:rsidRPr="00384AEA">
          <w:rPr>
            <w:rStyle w:val="Hyperlink"/>
            <w:noProof/>
            <w:lang w:val="en-GB"/>
          </w:rPr>
          <w:t>6.1 Survey of Disability, Ageing and Carers (SDAC)</w:t>
        </w:r>
        <w:r w:rsidR="00FB234C">
          <w:rPr>
            <w:noProof/>
            <w:webHidden/>
          </w:rPr>
          <w:tab/>
        </w:r>
        <w:r w:rsidR="00FB234C">
          <w:rPr>
            <w:noProof/>
            <w:webHidden/>
          </w:rPr>
          <w:fldChar w:fldCharType="begin"/>
        </w:r>
        <w:r w:rsidR="00FB234C">
          <w:rPr>
            <w:noProof/>
            <w:webHidden/>
          </w:rPr>
          <w:instrText xml:space="preserve"> PAGEREF _Toc121849766 \h </w:instrText>
        </w:r>
        <w:r w:rsidR="00FB234C">
          <w:rPr>
            <w:noProof/>
            <w:webHidden/>
          </w:rPr>
        </w:r>
        <w:r w:rsidR="00FB234C">
          <w:rPr>
            <w:noProof/>
            <w:webHidden/>
          </w:rPr>
          <w:fldChar w:fldCharType="separate"/>
        </w:r>
        <w:r w:rsidR="00FB234C">
          <w:rPr>
            <w:noProof/>
            <w:webHidden/>
          </w:rPr>
          <w:t>13</w:t>
        </w:r>
        <w:r w:rsidR="00FB234C">
          <w:rPr>
            <w:noProof/>
            <w:webHidden/>
          </w:rPr>
          <w:fldChar w:fldCharType="end"/>
        </w:r>
      </w:hyperlink>
    </w:p>
    <w:p w:rsidR="00FB234C" w:rsidRDefault="00A905F9">
      <w:pPr>
        <w:pStyle w:val="TOC2"/>
        <w:rPr>
          <w:rFonts w:asciiTheme="minorHAnsi" w:hAnsiTheme="minorHAnsi"/>
          <w:noProof/>
          <w:color w:val="auto"/>
        </w:rPr>
      </w:pPr>
      <w:hyperlink w:anchor="_Toc121849767" w:history="1">
        <w:r w:rsidR="00FB234C" w:rsidRPr="00384AEA">
          <w:rPr>
            <w:rStyle w:val="Hyperlink"/>
            <w:noProof/>
            <w:lang w:val="en-GB"/>
          </w:rPr>
          <w:t>6.2 Administrative Data Collections</w:t>
        </w:r>
        <w:r w:rsidR="00FB234C">
          <w:rPr>
            <w:noProof/>
            <w:webHidden/>
          </w:rPr>
          <w:tab/>
        </w:r>
        <w:r w:rsidR="00FB234C">
          <w:rPr>
            <w:noProof/>
            <w:webHidden/>
          </w:rPr>
          <w:fldChar w:fldCharType="begin"/>
        </w:r>
        <w:r w:rsidR="00FB234C">
          <w:rPr>
            <w:noProof/>
            <w:webHidden/>
          </w:rPr>
          <w:instrText xml:space="preserve"> PAGEREF _Toc121849767 \h </w:instrText>
        </w:r>
        <w:r w:rsidR="00FB234C">
          <w:rPr>
            <w:noProof/>
            <w:webHidden/>
          </w:rPr>
        </w:r>
        <w:r w:rsidR="00FB234C">
          <w:rPr>
            <w:noProof/>
            <w:webHidden/>
          </w:rPr>
          <w:fldChar w:fldCharType="separate"/>
        </w:r>
        <w:r w:rsidR="00FB234C">
          <w:rPr>
            <w:noProof/>
            <w:webHidden/>
          </w:rPr>
          <w:t>13</w:t>
        </w:r>
        <w:r w:rsidR="00FB234C">
          <w:rPr>
            <w:noProof/>
            <w:webHidden/>
          </w:rPr>
          <w:fldChar w:fldCharType="end"/>
        </w:r>
      </w:hyperlink>
    </w:p>
    <w:p w:rsidR="00FB234C" w:rsidRDefault="00A905F9">
      <w:pPr>
        <w:pStyle w:val="TOC2"/>
        <w:rPr>
          <w:rFonts w:asciiTheme="minorHAnsi" w:hAnsiTheme="minorHAnsi"/>
          <w:noProof/>
          <w:color w:val="auto"/>
        </w:rPr>
      </w:pPr>
      <w:hyperlink w:anchor="_Toc121849768" w:history="1">
        <w:r w:rsidR="00FB234C" w:rsidRPr="00384AEA">
          <w:rPr>
            <w:rStyle w:val="Hyperlink"/>
            <w:noProof/>
            <w:lang w:val="en-GB"/>
          </w:rPr>
          <w:t>6.3 Australia’s Disability Strategy Survey</w:t>
        </w:r>
        <w:r w:rsidR="00FB234C">
          <w:rPr>
            <w:noProof/>
            <w:webHidden/>
          </w:rPr>
          <w:tab/>
        </w:r>
        <w:r w:rsidR="00FB234C">
          <w:rPr>
            <w:noProof/>
            <w:webHidden/>
          </w:rPr>
          <w:fldChar w:fldCharType="begin"/>
        </w:r>
        <w:r w:rsidR="00FB234C">
          <w:rPr>
            <w:noProof/>
            <w:webHidden/>
          </w:rPr>
          <w:instrText xml:space="preserve"> PAGEREF _Toc121849768 \h </w:instrText>
        </w:r>
        <w:r w:rsidR="00FB234C">
          <w:rPr>
            <w:noProof/>
            <w:webHidden/>
          </w:rPr>
        </w:r>
        <w:r w:rsidR="00FB234C">
          <w:rPr>
            <w:noProof/>
            <w:webHidden/>
          </w:rPr>
          <w:fldChar w:fldCharType="separate"/>
        </w:r>
        <w:r w:rsidR="00FB234C">
          <w:rPr>
            <w:noProof/>
            <w:webHidden/>
          </w:rPr>
          <w:t>13</w:t>
        </w:r>
        <w:r w:rsidR="00FB234C">
          <w:rPr>
            <w:noProof/>
            <w:webHidden/>
          </w:rPr>
          <w:fldChar w:fldCharType="end"/>
        </w:r>
      </w:hyperlink>
    </w:p>
    <w:p w:rsidR="00FB234C" w:rsidRDefault="00A905F9">
      <w:pPr>
        <w:pStyle w:val="TOC2"/>
        <w:rPr>
          <w:rFonts w:asciiTheme="minorHAnsi" w:hAnsiTheme="minorHAnsi"/>
          <w:noProof/>
          <w:color w:val="auto"/>
        </w:rPr>
      </w:pPr>
      <w:hyperlink w:anchor="_Toc121849769" w:history="1">
        <w:r w:rsidR="00FB234C" w:rsidRPr="00384AEA">
          <w:rPr>
            <w:rStyle w:val="Hyperlink"/>
            <w:noProof/>
            <w:lang w:val="en-GB"/>
          </w:rPr>
          <w:t>6.4 Other Survey Data</w:t>
        </w:r>
        <w:r w:rsidR="00FB234C">
          <w:rPr>
            <w:noProof/>
            <w:webHidden/>
          </w:rPr>
          <w:tab/>
        </w:r>
        <w:r w:rsidR="00FB234C">
          <w:rPr>
            <w:noProof/>
            <w:webHidden/>
          </w:rPr>
          <w:fldChar w:fldCharType="begin"/>
        </w:r>
        <w:r w:rsidR="00FB234C">
          <w:rPr>
            <w:noProof/>
            <w:webHidden/>
          </w:rPr>
          <w:instrText xml:space="preserve"> PAGEREF _Toc121849769 \h </w:instrText>
        </w:r>
        <w:r w:rsidR="00FB234C">
          <w:rPr>
            <w:noProof/>
            <w:webHidden/>
          </w:rPr>
        </w:r>
        <w:r w:rsidR="00FB234C">
          <w:rPr>
            <w:noProof/>
            <w:webHidden/>
          </w:rPr>
          <w:fldChar w:fldCharType="separate"/>
        </w:r>
        <w:r w:rsidR="00FB234C">
          <w:rPr>
            <w:noProof/>
            <w:webHidden/>
          </w:rPr>
          <w:t>14</w:t>
        </w:r>
        <w:r w:rsidR="00FB234C">
          <w:rPr>
            <w:noProof/>
            <w:webHidden/>
          </w:rPr>
          <w:fldChar w:fldCharType="end"/>
        </w:r>
      </w:hyperlink>
    </w:p>
    <w:p w:rsidR="00FB234C" w:rsidRDefault="00A905F9">
      <w:pPr>
        <w:pStyle w:val="TOC2"/>
        <w:rPr>
          <w:rFonts w:asciiTheme="minorHAnsi" w:hAnsiTheme="minorHAnsi"/>
          <w:noProof/>
          <w:color w:val="auto"/>
        </w:rPr>
      </w:pPr>
      <w:hyperlink w:anchor="_Toc121849770" w:history="1">
        <w:r w:rsidR="00FB234C" w:rsidRPr="00384AEA">
          <w:rPr>
            <w:rStyle w:val="Hyperlink"/>
            <w:noProof/>
            <w:lang w:val="en-GB"/>
          </w:rPr>
          <w:t>6.5 Data Linkage</w:t>
        </w:r>
        <w:r w:rsidR="00FB234C">
          <w:rPr>
            <w:noProof/>
            <w:webHidden/>
          </w:rPr>
          <w:tab/>
        </w:r>
        <w:r w:rsidR="00FB234C">
          <w:rPr>
            <w:noProof/>
            <w:webHidden/>
          </w:rPr>
          <w:fldChar w:fldCharType="begin"/>
        </w:r>
        <w:r w:rsidR="00FB234C">
          <w:rPr>
            <w:noProof/>
            <w:webHidden/>
          </w:rPr>
          <w:instrText xml:space="preserve"> PAGEREF _Toc121849770 \h </w:instrText>
        </w:r>
        <w:r w:rsidR="00FB234C">
          <w:rPr>
            <w:noProof/>
            <w:webHidden/>
          </w:rPr>
        </w:r>
        <w:r w:rsidR="00FB234C">
          <w:rPr>
            <w:noProof/>
            <w:webHidden/>
          </w:rPr>
          <w:fldChar w:fldCharType="separate"/>
        </w:r>
        <w:r w:rsidR="00FB234C">
          <w:rPr>
            <w:noProof/>
            <w:webHidden/>
          </w:rPr>
          <w:t>14</w:t>
        </w:r>
        <w:r w:rsidR="00FB234C">
          <w:rPr>
            <w:noProof/>
            <w:webHidden/>
          </w:rPr>
          <w:fldChar w:fldCharType="end"/>
        </w:r>
      </w:hyperlink>
    </w:p>
    <w:p w:rsidR="00FB234C" w:rsidRDefault="00A905F9">
      <w:pPr>
        <w:pStyle w:val="TOC2"/>
        <w:rPr>
          <w:rFonts w:asciiTheme="minorHAnsi" w:hAnsiTheme="minorHAnsi"/>
          <w:noProof/>
          <w:color w:val="auto"/>
        </w:rPr>
      </w:pPr>
      <w:hyperlink w:anchor="_Toc121849771" w:history="1">
        <w:r w:rsidR="00FB234C" w:rsidRPr="00384AEA">
          <w:rPr>
            <w:rStyle w:val="Hyperlink"/>
            <w:noProof/>
            <w:lang w:val="en-GB"/>
          </w:rPr>
          <w:t>6.6 National Disability Data Asset</w:t>
        </w:r>
        <w:r w:rsidR="00FB234C">
          <w:rPr>
            <w:noProof/>
            <w:webHidden/>
          </w:rPr>
          <w:tab/>
        </w:r>
        <w:r w:rsidR="00FB234C">
          <w:rPr>
            <w:noProof/>
            <w:webHidden/>
          </w:rPr>
          <w:fldChar w:fldCharType="begin"/>
        </w:r>
        <w:r w:rsidR="00FB234C">
          <w:rPr>
            <w:noProof/>
            <w:webHidden/>
          </w:rPr>
          <w:instrText xml:space="preserve"> PAGEREF _Toc121849771 \h </w:instrText>
        </w:r>
        <w:r w:rsidR="00FB234C">
          <w:rPr>
            <w:noProof/>
            <w:webHidden/>
          </w:rPr>
        </w:r>
        <w:r w:rsidR="00FB234C">
          <w:rPr>
            <w:noProof/>
            <w:webHidden/>
          </w:rPr>
          <w:fldChar w:fldCharType="separate"/>
        </w:r>
        <w:r w:rsidR="00FB234C">
          <w:rPr>
            <w:noProof/>
            <w:webHidden/>
          </w:rPr>
          <w:t>15</w:t>
        </w:r>
        <w:r w:rsidR="00FB234C">
          <w:rPr>
            <w:noProof/>
            <w:webHidden/>
          </w:rPr>
          <w:fldChar w:fldCharType="end"/>
        </w:r>
      </w:hyperlink>
    </w:p>
    <w:p w:rsidR="00FB234C" w:rsidRDefault="00A905F9">
      <w:pPr>
        <w:pStyle w:val="TOC2"/>
        <w:rPr>
          <w:rFonts w:asciiTheme="minorHAnsi" w:hAnsiTheme="minorHAnsi"/>
          <w:noProof/>
          <w:color w:val="auto"/>
        </w:rPr>
      </w:pPr>
      <w:hyperlink w:anchor="_Toc121849772" w:history="1">
        <w:r w:rsidR="00FB234C" w:rsidRPr="00384AEA">
          <w:rPr>
            <w:rStyle w:val="Hyperlink"/>
            <w:noProof/>
            <w:lang w:val="en-GB"/>
          </w:rPr>
          <w:t>6.7 Data Dictionary</w:t>
        </w:r>
        <w:r w:rsidR="00FB234C">
          <w:rPr>
            <w:noProof/>
            <w:webHidden/>
          </w:rPr>
          <w:tab/>
        </w:r>
        <w:r w:rsidR="00FB234C">
          <w:rPr>
            <w:noProof/>
            <w:webHidden/>
          </w:rPr>
          <w:fldChar w:fldCharType="begin"/>
        </w:r>
        <w:r w:rsidR="00FB234C">
          <w:rPr>
            <w:noProof/>
            <w:webHidden/>
          </w:rPr>
          <w:instrText xml:space="preserve"> PAGEREF _Toc121849772 \h </w:instrText>
        </w:r>
        <w:r w:rsidR="00FB234C">
          <w:rPr>
            <w:noProof/>
            <w:webHidden/>
          </w:rPr>
        </w:r>
        <w:r w:rsidR="00FB234C">
          <w:rPr>
            <w:noProof/>
            <w:webHidden/>
          </w:rPr>
          <w:fldChar w:fldCharType="separate"/>
        </w:r>
        <w:r w:rsidR="00FB234C">
          <w:rPr>
            <w:noProof/>
            <w:webHidden/>
          </w:rPr>
          <w:t>15</w:t>
        </w:r>
        <w:r w:rsidR="00FB234C">
          <w:rPr>
            <w:noProof/>
            <w:webHidden/>
          </w:rPr>
          <w:fldChar w:fldCharType="end"/>
        </w:r>
      </w:hyperlink>
    </w:p>
    <w:p w:rsidR="00FB234C" w:rsidRDefault="00A905F9">
      <w:pPr>
        <w:pStyle w:val="TOC1"/>
        <w:rPr>
          <w:rFonts w:asciiTheme="minorHAnsi" w:hAnsiTheme="minorHAnsi"/>
          <w:b w:val="0"/>
          <w:noProof/>
          <w:sz w:val="22"/>
        </w:rPr>
      </w:pPr>
      <w:hyperlink w:anchor="_Toc121849773" w:history="1">
        <w:r w:rsidR="00FB234C" w:rsidRPr="00384AEA">
          <w:rPr>
            <w:rStyle w:val="Hyperlink"/>
            <w:noProof/>
            <w:lang w:val="en-GB"/>
          </w:rPr>
          <w:t>7. Future Measures in the Outcomes Framework</w:t>
        </w:r>
        <w:r w:rsidR="00FB234C">
          <w:rPr>
            <w:noProof/>
            <w:webHidden/>
          </w:rPr>
          <w:tab/>
        </w:r>
        <w:r w:rsidR="00FB234C">
          <w:rPr>
            <w:noProof/>
            <w:webHidden/>
          </w:rPr>
          <w:fldChar w:fldCharType="begin"/>
        </w:r>
        <w:r w:rsidR="00FB234C">
          <w:rPr>
            <w:noProof/>
            <w:webHidden/>
          </w:rPr>
          <w:instrText xml:space="preserve"> PAGEREF _Toc121849773 \h </w:instrText>
        </w:r>
        <w:r w:rsidR="00FB234C">
          <w:rPr>
            <w:noProof/>
            <w:webHidden/>
          </w:rPr>
        </w:r>
        <w:r w:rsidR="00FB234C">
          <w:rPr>
            <w:noProof/>
            <w:webHidden/>
          </w:rPr>
          <w:fldChar w:fldCharType="separate"/>
        </w:r>
        <w:r w:rsidR="00FB234C">
          <w:rPr>
            <w:noProof/>
            <w:webHidden/>
          </w:rPr>
          <w:t>16</w:t>
        </w:r>
        <w:r w:rsidR="00FB234C">
          <w:rPr>
            <w:noProof/>
            <w:webHidden/>
          </w:rPr>
          <w:fldChar w:fldCharType="end"/>
        </w:r>
      </w:hyperlink>
    </w:p>
    <w:p w:rsidR="00FB234C" w:rsidRDefault="00A905F9">
      <w:pPr>
        <w:pStyle w:val="TOC2"/>
        <w:rPr>
          <w:rFonts w:asciiTheme="minorHAnsi" w:hAnsiTheme="minorHAnsi"/>
          <w:noProof/>
          <w:color w:val="auto"/>
        </w:rPr>
      </w:pPr>
      <w:hyperlink w:anchor="_Toc121849774" w:history="1">
        <w:r w:rsidR="00FB234C" w:rsidRPr="00384AEA">
          <w:rPr>
            <w:rStyle w:val="Hyperlink"/>
            <w:noProof/>
            <w:lang w:val="en-GB"/>
          </w:rPr>
          <w:t>7.1 Availability</w:t>
        </w:r>
        <w:r w:rsidR="00FB234C">
          <w:rPr>
            <w:noProof/>
            <w:webHidden/>
          </w:rPr>
          <w:tab/>
        </w:r>
        <w:r w:rsidR="00FB234C">
          <w:rPr>
            <w:noProof/>
            <w:webHidden/>
          </w:rPr>
          <w:fldChar w:fldCharType="begin"/>
        </w:r>
        <w:r w:rsidR="00FB234C">
          <w:rPr>
            <w:noProof/>
            <w:webHidden/>
          </w:rPr>
          <w:instrText xml:space="preserve"> PAGEREF _Toc121849774 \h </w:instrText>
        </w:r>
        <w:r w:rsidR="00FB234C">
          <w:rPr>
            <w:noProof/>
            <w:webHidden/>
          </w:rPr>
        </w:r>
        <w:r w:rsidR="00FB234C">
          <w:rPr>
            <w:noProof/>
            <w:webHidden/>
          </w:rPr>
          <w:fldChar w:fldCharType="separate"/>
        </w:r>
        <w:r w:rsidR="00FB234C">
          <w:rPr>
            <w:noProof/>
            <w:webHidden/>
          </w:rPr>
          <w:t>16</w:t>
        </w:r>
        <w:r w:rsidR="00FB234C">
          <w:rPr>
            <w:noProof/>
            <w:webHidden/>
          </w:rPr>
          <w:fldChar w:fldCharType="end"/>
        </w:r>
      </w:hyperlink>
    </w:p>
    <w:p w:rsidR="00FB234C" w:rsidRDefault="00A905F9">
      <w:pPr>
        <w:pStyle w:val="TOC3"/>
        <w:rPr>
          <w:noProof/>
          <w:color w:val="auto"/>
        </w:rPr>
      </w:pPr>
      <w:hyperlink w:anchor="_Toc121849775" w:history="1">
        <w:r w:rsidR="00FB234C" w:rsidRPr="00384AEA">
          <w:rPr>
            <w:rStyle w:val="Hyperlink"/>
            <w:noProof/>
            <w:lang w:val="en-GB"/>
          </w:rPr>
          <w:t>Table 4: Future Measures with known availability dates</w:t>
        </w:r>
        <w:r w:rsidR="00FB234C">
          <w:rPr>
            <w:noProof/>
            <w:webHidden/>
          </w:rPr>
          <w:tab/>
        </w:r>
        <w:r w:rsidR="00FB234C">
          <w:rPr>
            <w:noProof/>
            <w:webHidden/>
          </w:rPr>
          <w:fldChar w:fldCharType="begin"/>
        </w:r>
        <w:r w:rsidR="00FB234C">
          <w:rPr>
            <w:noProof/>
            <w:webHidden/>
          </w:rPr>
          <w:instrText xml:space="preserve"> PAGEREF _Toc121849775 \h </w:instrText>
        </w:r>
        <w:r w:rsidR="00FB234C">
          <w:rPr>
            <w:noProof/>
            <w:webHidden/>
          </w:rPr>
        </w:r>
        <w:r w:rsidR="00FB234C">
          <w:rPr>
            <w:noProof/>
            <w:webHidden/>
          </w:rPr>
          <w:fldChar w:fldCharType="separate"/>
        </w:r>
        <w:r w:rsidR="00FB234C">
          <w:rPr>
            <w:noProof/>
            <w:webHidden/>
          </w:rPr>
          <w:t>18</w:t>
        </w:r>
        <w:r w:rsidR="00FB234C">
          <w:rPr>
            <w:noProof/>
            <w:webHidden/>
          </w:rPr>
          <w:fldChar w:fldCharType="end"/>
        </w:r>
      </w:hyperlink>
    </w:p>
    <w:p w:rsidR="00FB234C" w:rsidRDefault="00A905F9">
      <w:pPr>
        <w:pStyle w:val="TOC3"/>
        <w:rPr>
          <w:noProof/>
          <w:color w:val="auto"/>
        </w:rPr>
      </w:pPr>
      <w:hyperlink w:anchor="_Toc121849776" w:history="1">
        <w:r w:rsidR="00FB234C" w:rsidRPr="00384AEA">
          <w:rPr>
            <w:rStyle w:val="Hyperlink"/>
            <w:noProof/>
            <w:lang w:val="en-GB"/>
          </w:rPr>
          <w:t>Table 5: Future Measures requiring complex data linkage</w:t>
        </w:r>
        <w:r w:rsidR="00FB234C">
          <w:rPr>
            <w:noProof/>
            <w:webHidden/>
          </w:rPr>
          <w:tab/>
        </w:r>
        <w:r w:rsidR="00FB234C">
          <w:rPr>
            <w:noProof/>
            <w:webHidden/>
          </w:rPr>
          <w:fldChar w:fldCharType="begin"/>
        </w:r>
        <w:r w:rsidR="00FB234C">
          <w:rPr>
            <w:noProof/>
            <w:webHidden/>
          </w:rPr>
          <w:instrText xml:space="preserve"> PAGEREF _Toc121849776 \h </w:instrText>
        </w:r>
        <w:r w:rsidR="00FB234C">
          <w:rPr>
            <w:noProof/>
            <w:webHidden/>
          </w:rPr>
        </w:r>
        <w:r w:rsidR="00FB234C">
          <w:rPr>
            <w:noProof/>
            <w:webHidden/>
          </w:rPr>
          <w:fldChar w:fldCharType="separate"/>
        </w:r>
        <w:r w:rsidR="00FB234C">
          <w:rPr>
            <w:noProof/>
            <w:webHidden/>
          </w:rPr>
          <w:t>19</w:t>
        </w:r>
        <w:r w:rsidR="00FB234C">
          <w:rPr>
            <w:noProof/>
            <w:webHidden/>
          </w:rPr>
          <w:fldChar w:fldCharType="end"/>
        </w:r>
      </w:hyperlink>
    </w:p>
    <w:p w:rsidR="00FB234C" w:rsidRDefault="00A905F9">
      <w:pPr>
        <w:pStyle w:val="TOC3"/>
        <w:rPr>
          <w:noProof/>
          <w:color w:val="auto"/>
        </w:rPr>
      </w:pPr>
      <w:hyperlink w:anchor="_Toc121849777" w:history="1">
        <w:r w:rsidR="00FB234C" w:rsidRPr="00384AEA">
          <w:rPr>
            <w:rStyle w:val="Hyperlink"/>
            <w:noProof/>
            <w:lang w:val="en-GB"/>
          </w:rPr>
          <w:t>Table 6: Future Measures requiring survey data</w:t>
        </w:r>
        <w:r w:rsidR="00FB234C">
          <w:rPr>
            <w:noProof/>
            <w:webHidden/>
          </w:rPr>
          <w:tab/>
        </w:r>
        <w:r w:rsidR="00FB234C">
          <w:rPr>
            <w:noProof/>
            <w:webHidden/>
          </w:rPr>
          <w:fldChar w:fldCharType="begin"/>
        </w:r>
        <w:r w:rsidR="00FB234C">
          <w:rPr>
            <w:noProof/>
            <w:webHidden/>
          </w:rPr>
          <w:instrText xml:space="preserve"> PAGEREF _Toc121849777 \h </w:instrText>
        </w:r>
        <w:r w:rsidR="00FB234C">
          <w:rPr>
            <w:noProof/>
            <w:webHidden/>
          </w:rPr>
        </w:r>
        <w:r w:rsidR="00FB234C">
          <w:rPr>
            <w:noProof/>
            <w:webHidden/>
          </w:rPr>
          <w:fldChar w:fldCharType="separate"/>
        </w:r>
        <w:r w:rsidR="00FB234C">
          <w:rPr>
            <w:noProof/>
            <w:webHidden/>
          </w:rPr>
          <w:t>20</w:t>
        </w:r>
        <w:r w:rsidR="00FB234C">
          <w:rPr>
            <w:noProof/>
            <w:webHidden/>
          </w:rPr>
          <w:fldChar w:fldCharType="end"/>
        </w:r>
      </w:hyperlink>
    </w:p>
    <w:p w:rsidR="00FB234C" w:rsidRDefault="00A905F9">
      <w:pPr>
        <w:pStyle w:val="TOC3"/>
        <w:rPr>
          <w:noProof/>
          <w:color w:val="auto"/>
        </w:rPr>
      </w:pPr>
      <w:hyperlink w:anchor="_Toc121849778" w:history="1">
        <w:r w:rsidR="00FB234C" w:rsidRPr="00384AEA">
          <w:rPr>
            <w:rStyle w:val="Hyperlink"/>
            <w:noProof/>
            <w:lang w:val="en-GB"/>
          </w:rPr>
          <w:t>Table 7: Future Measures requiring further collaborative work</w:t>
        </w:r>
        <w:r w:rsidR="00FB234C">
          <w:rPr>
            <w:noProof/>
            <w:webHidden/>
          </w:rPr>
          <w:tab/>
        </w:r>
        <w:r w:rsidR="00FB234C">
          <w:rPr>
            <w:noProof/>
            <w:webHidden/>
          </w:rPr>
          <w:fldChar w:fldCharType="begin"/>
        </w:r>
        <w:r w:rsidR="00FB234C">
          <w:rPr>
            <w:noProof/>
            <w:webHidden/>
          </w:rPr>
          <w:instrText xml:space="preserve"> PAGEREF _Toc121849778 \h </w:instrText>
        </w:r>
        <w:r w:rsidR="00FB234C">
          <w:rPr>
            <w:noProof/>
            <w:webHidden/>
          </w:rPr>
        </w:r>
        <w:r w:rsidR="00FB234C">
          <w:rPr>
            <w:noProof/>
            <w:webHidden/>
          </w:rPr>
          <w:fldChar w:fldCharType="separate"/>
        </w:r>
        <w:r w:rsidR="00FB234C">
          <w:rPr>
            <w:noProof/>
            <w:webHidden/>
          </w:rPr>
          <w:t>22</w:t>
        </w:r>
        <w:r w:rsidR="00FB234C">
          <w:rPr>
            <w:noProof/>
            <w:webHidden/>
          </w:rPr>
          <w:fldChar w:fldCharType="end"/>
        </w:r>
      </w:hyperlink>
    </w:p>
    <w:p w:rsidR="00FB234C" w:rsidRDefault="00A905F9">
      <w:pPr>
        <w:pStyle w:val="TOC1"/>
        <w:rPr>
          <w:rFonts w:asciiTheme="minorHAnsi" w:hAnsiTheme="minorHAnsi"/>
          <w:b w:val="0"/>
          <w:noProof/>
          <w:sz w:val="22"/>
        </w:rPr>
      </w:pPr>
      <w:hyperlink w:anchor="_Toc121849779" w:history="1">
        <w:r w:rsidR="00FB234C" w:rsidRPr="00384AEA">
          <w:rPr>
            <w:rStyle w:val="Hyperlink"/>
            <w:noProof/>
            <w:lang w:val="en-GB"/>
          </w:rPr>
          <w:t>8. Launch Measures in the Outcomes Framework</w:t>
        </w:r>
        <w:r w:rsidR="00FB234C">
          <w:rPr>
            <w:noProof/>
            <w:webHidden/>
          </w:rPr>
          <w:tab/>
        </w:r>
        <w:r w:rsidR="00FB234C">
          <w:rPr>
            <w:noProof/>
            <w:webHidden/>
          </w:rPr>
          <w:fldChar w:fldCharType="begin"/>
        </w:r>
        <w:r w:rsidR="00FB234C">
          <w:rPr>
            <w:noProof/>
            <w:webHidden/>
          </w:rPr>
          <w:instrText xml:space="preserve"> PAGEREF _Toc121849779 \h </w:instrText>
        </w:r>
        <w:r w:rsidR="00FB234C">
          <w:rPr>
            <w:noProof/>
            <w:webHidden/>
          </w:rPr>
        </w:r>
        <w:r w:rsidR="00FB234C">
          <w:rPr>
            <w:noProof/>
            <w:webHidden/>
          </w:rPr>
          <w:fldChar w:fldCharType="separate"/>
        </w:r>
        <w:r w:rsidR="00FB234C">
          <w:rPr>
            <w:noProof/>
            <w:webHidden/>
          </w:rPr>
          <w:t>23</w:t>
        </w:r>
        <w:r w:rsidR="00FB234C">
          <w:rPr>
            <w:noProof/>
            <w:webHidden/>
          </w:rPr>
          <w:fldChar w:fldCharType="end"/>
        </w:r>
      </w:hyperlink>
    </w:p>
    <w:p w:rsidR="00FB234C" w:rsidRDefault="00A905F9">
      <w:pPr>
        <w:pStyle w:val="TOC2"/>
        <w:rPr>
          <w:rFonts w:asciiTheme="minorHAnsi" w:hAnsiTheme="minorHAnsi"/>
          <w:noProof/>
          <w:color w:val="auto"/>
        </w:rPr>
      </w:pPr>
      <w:hyperlink w:anchor="_Toc121849780" w:history="1">
        <w:r w:rsidR="00FB234C" w:rsidRPr="00384AEA">
          <w:rPr>
            <w:rStyle w:val="Hyperlink"/>
            <w:noProof/>
            <w:lang w:val="en-GB"/>
          </w:rPr>
          <w:t>8.1 Improving Launch Measures through Linkage</w:t>
        </w:r>
        <w:r w:rsidR="00FB234C">
          <w:rPr>
            <w:noProof/>
            <w:webHidden/>
          </w:rPr>
          <w:tab/>
        </w:r>
        <w:r w:rsidR="00FB234C">
          <w:rPr>
            <w:noProof/>
            <w:webHidden/>
          </w:rPr>
          <w:fldChar w:fldCharType="begin"/>
        </w:r>
        <w:r w:rsidR="00FB234C">
          <w:rPr>
            <w:noProof/>
            <w:webHidden/>
          </w:rPr>
          <w:instrText xml:space="preserve"> PAGEREF _Toc121849780 \h </w:instrText>
        </w:r>
        <w:r w:rsidR="00FB234C">
          <w:rPr>
            <w:noProof/>
            <w:webHidden/>
          </w:rPr>
        </w:r>
        <w:r w:rsidR="00FB234C">
          <w:rPr>
            <w:noProof/>
            <w:webHidden/>
          </w:rPr>
          <w:fldChar w:fldCharType="separate"/>
        </w:r>
        <w:r w:rsidR="00FB234C">
          <w:rPr>
            <w:noProof/>
            <w:webHidden/>
          </w:rPr>
          <w:t>23</w:t>
        </w:r>
        <w:r w:rsidR="00FB234C">
          <w:rPr>
            <w:noProof/>
            <w:webHidden/>
          </w:rPr>
          <w:fldChar w:fldCharType="end"/>
        </w:r>
      </w:hyperlink>
    </w:p>
    <w:p w:rsidR="00FB234C" w:rsidRDefault="00A905F9">
      <w:pPr>
        <w:pStyle w:val="TOC3"/>
        <w:rPr>
          <w:noProof/>
          <w:color w:val="auto"/>
        </w:rPr>
      </w:pPr>
      <w:hyperlink w:anchor="_Toc121849781" w:history="1">
        <w:r w:rsidR="00FB234C" w:rsidRPr="00384AEA">
          <w:rPr>
            <w:rStyle w:val="Hyperlink"/>
            <w:noProof/>
            <w:lang w:val="en-GB"/>
          </w:rPr>
          <w:t>Table 8: Launch Measures amenable to data linkage</w:t>
        </w:r>
        <w:r w:rsidR="00FB234C">
          <w:rPr>
            <w:noProof/>
            <w:webHidden/>
          </w:rPr>
          <w:tab/>
        </w:r>
        <w:r w:rsidR="00FB234C">
          <w:rPr>
            <w:noProof/>
            <w:webHidden/>
          </w:rPr>
          <w:fldChar w:fldCharType="begin"/>
        </w:r>
        <w:r w:rsidR="00FB234C">
          <w:rPr>
            <w:noProof/>
            <w:webHidden/>
          </w:rPr>
          <w:instrText xml:space="preserve"> PAGEREF _Toc121849781 \h </w:instrText>
        </w:r>
        <w:r w:rsidR="00FB234C">
          <w:rPr>
            <w:noProof/>
            <w:webHidden/>
          </w:rPr>
        </w:r>
        <w:r w:rsidR="00FB234C">
          <w:rPr>
            <w:noProof/>
            <w:webHidden/>
          </w:rPr>
          <w:fldChar w:fldCharType="separate"/>
        </w:r>
        <w:r w:rsidR="00FB234C">
          <w:rPr>
            <w:noProof/>
            <w:webHidden/>
          </w:rPr>
          <w:t>24</w:t>
        </w:r>
        <w:r w:rsidR="00FB234C">
          <w:rPr>
            <w:noProof/>
            <w:webHidden/>
          </w:rPr>
          <w:fldChar w:fldCharType="end"/>
        </w:r>
      </w:hyperlink>
    </w:p>
    <w:p w:rsidR="00FB234C" w:rsidRDefault="00A905F9">
      <w:pPr>
        <w:pStyle w:val="TOC2"/>
        <w:rPr>
          <w:rFonts w:asciiTheme="minorHAnsi" w:hAnsiTheme="minorHAnsi"/>
          <w:noProof/>
          <w:color w:val="auto"/>
        </w:rPr>
      </w:pPr>
      <w:hyperlink w:anchor="_Toc121849782" w:history="1">
        <w:r w:rsidR="00FB234C" w:rsidRPr="00384AEA">
          <w:rPr>
            <w:rStyle w:val="Hyperlink"/>
            <w:noProof/>
            <w:lang w:val="en-GB"/>
          </w:rPr>
          <w:t>8.2 Improving Launch Measures through Collaborative Work</w:t>
        </w:r>
        <w:r w:rsidR="00FB234C">
          <w:rPr>
            <w:noProof/>
            <w:webHidden/>
          </w:rPr>
          <w:tab/>
        </w:r>
        <w:r w:rsidR="00FB234C">
          <w:rPr>
            <w:noProof/>
            <w:webHidden/>
          </w:rPr>
          <w:fldChar w:fldCharType="begin"/>
        </w:r>
        <w:r w:rsidR="00FB234C">
          <w:rPr>
            <w:noProof/>
            <w:webHidden/>
          </w:rPr>
          <w:instrText xml:space="preserve"> PAGEREF _Toc121849782 \h </w:instrText>
        </w:r>
        <w:r w:rsidR="00FB234C">
          <w:rPr>
            <w:noProof/>
            <w:webHidden/>
          </w:rPr>
        </w:r>
        <w:r w:rsidR="00FB234C">
          <w:rPr>
            <w:noProof/>
            <w:webHidden/>
          </w:rPr>
          <w:fldChar w:fldCharType="separate"/>
        </w:r>
        <w:r w:rsidR="00FB234C">
          <w:rPr>
            <w:noProof/>
            <w:webHidden/>
          </w:rPr>
          <w:t>26</w:t>
        </w:r>
        <w:r w:rsidR="00FB234C">
          <w:rPr>
            <w:noProof/>
            <w:webHidden/>
          </w:rPr>
          <w:fldChar w:fldCharType="end"/>
        </w:r>
      </w:hyperlink>
    </w:p>
    <w:p w:rsidR="00FB234C" w:rsidRDefault="00A905F9">
      <w:pPr>
        <w:pStyle w:val="TOC3"/>
        <w:rPr>
          <w:noProof/>
          <w:color w:val="auto"/>
        </w:rPr>
      </w:pPr>
      <w:hyperlink w:anchor="_Toc121849783" w:history="1">
        <w:r w:rsidR="00FB234C" w:rsidRPr="00384AEA">
          <w:rPr>
            <w:rStyle w:val="Hyperlink"/>
            <w:noProof/>
            <w:lang w:val="en-GB"/>
          </w:rPr>
          <w:t>Table 9: Launch Measures amenable to collaborative work</w:t>
        </w:r>
        <w:r w:rsidR="00FB234C">
          <w:rPr>
            <w:noProof/>
            <w:webHidden/>
          </w:rPr>
          <w:tab/>
        </w:r>
        <w:r w:rsidR="00FB234C">
          <w:rPr>
            <w:noProof/>
            <w:webHidden/>
          </w:rPr>
          <w:fldChar w:fldCharType="begin"/>
        </w:r>
        <w:r w:rsidR="00FB234C">
          <w:rPr>
            <w:noProof/>
            <w:webHidden/>
          </w:rPr>
          <w:instrText xml:space="preserve"> PAGEREF _Toc121849783 \h </w:instrText>
        </w:r>
        <w:r w:rsidR="00FB234C">
          <w:rPr>
            <w:noProof/>
            <w:webHidden/>
          </w:rPr>
        </w:r>
        <w:r w:rsidR="00FB234C">
          <w:rPr>
            <w:noProof/>
            <w:webHidden/>
          </w:rPr>
          <w:fldChar w:fldCharType="separate"/>
        </w:r>
        <w:r w:rsidR="00FB234C">
          <w:rPr>
            <w:noProof/>
            <w:webHidden/>
          </w:rPr>
          <w:t>26</w:t>
        </w:r>
        <w:r w:rsidR="00FB234C">
          <w:rPr>
            <w:noProof/>
            <w:webHidden/>
          </w:rPr>
          <w:fldChar w:fldCharType="end"/>
        </w:r>
      </w:hyperlink>
    </w:p>
    <w:p w:rsidR="00FB234C" w:rsidRDefault="00A905F9">
      <w:pPr>
        <w:pStyle w:val="TOC1"/>
        <w:rPr>
          <w:rFonts w:asciiTheme="minorHAnsi" w:hAnsiTheme="minorHAnsi"/>
          <w:b w:val="0"/>
          <w:noProof/>
          <w:sz w:val="22"/>
        </w:rPr>
      </w:pPr>
      <w:hyperlink w:anchor="_Toc121849784" w:history="1">
        <w:r w:rsidR="00FB234C" w:rsidRPr="00384AEA">
          <w:rPr>
            <w:rStyle w:val="Hyperlink"/>
            <w:noProof/>
            <w:lang w:val="en-GB"/>
          </w:rPr>
          <w:t>9. Australian, State and Territory Government Commitments</w:t>
        </w:r>
        <w:r w:rsidR="00FB234C">
          <w:rPr>
            <w:noProof/>
            <w:webHidden/>
          </w:rPr>
          <w:tab/>
        </w:r>
        <w:r w:rsidR="00FB234C">
          <w:rPr>
            <w:noProof/>
            <w:webHidden/>
          </w:rPr>
          <w:fldChar w:fldCharType="begin"/>
        </w:r>
        <w:r w:rsidR="00FB234C">
          <w:rPr>
            <w:noProof/>
            <w:webHidden/>
          </w:rPr>
          <w:instrText xml:space="preserve"> PAGEREF _Toc121849784 \h </w:instrText>
        </w:r>
        <w:r w:rsidR="00FB234C">
          <w:rPr>
            <w:noProof/>
            <w:webHidden/>
          </w:rPr>
        </w:r>
        <w:r w:rsidR="00FB234C">
          <w:rPr>
            <w:noProof/>
            <w:webHidden/>
          </w:rPr>
          <w:fldChar w:fldCharType="separate"/>
        </w:r>
        <w:r w:rsidR="00FB234C">
          <w:rPr>
            <w:noProof/>
            <w:webHidden/>
          </w:rPr>
          <w:t>28</w:t>
        </w:r>
        <w:r w:rsidR="00FB234C">
          <w:rPr>
            <w:noProof/>
            <w:webHidden/>
          </w:rPr>
          <w:fldChar w:fldCharType="end"/>
        </w:r>
      </w:hyperlink>
    </w:p>
    <w:p w:rsidR="00FB234C" w:rsidRDefault="00A905F9">
      <w:pPr>
        <w:pStyle w:val="TOC2"/>
        <w:rPr>
          <w:rFonts w:asciiTheme="minorHAnsi" w:hAnsiTheme="minorHAnsi"/>
          <w:noProof/>
          <w:color w:val="auto"/>
        </w:rPr>
      </w:pPr>
      <w:hyperlink w:anchor="_Toc121849785" w:history="1">
        <w:r w:rsidR="00FB234C" w:rsidRPr="00384AEA">
          <w:rPr>
            <w:rStyle w:val="Hyperlink"/>
            <w:noProof/>
            <w:lang w:val="en-GB"/>
          </w:rPr>
          <w:t>9.1 Australian Government</w:t>
        </w:r>
        <w:r w:rsidR="00FB234C">
          <w:rPr>
            <w:noProof/>
            <w:webHidden/>
          </w:rPr>
          <w:tab/>
        </w:r>
        <w:r w:rsidR="00FB234C">
          <w:rPr>
            <w:noProof/>
            <w:webHidden/>
          </w:rPr>
          <w:fldChar w:fldCharType="begin"/>
        </w:r>
        <w:r w:rsidR="00FB234C">
          <w:rPr>
            <w:noProof/>
            <w:webHidden/>
          </w:rPr>
          <w:instrText xml:space="preserve"> PAGEREF _Toc121849785 \h </w:instrText>
        </w:r>
        <w:r w:rsidR="00FB234C">
          <w:rPr>
            <w:noProof/>
            <w:webHidden/>
          </w:rPr>
        </w:r>
        <w:r w:rsidR="00FB234C">
          <w:rPr>
            <w:noProof/>
            <w:webHidden/>
          </w:rPr>
          <w:fldChar w:fldCharType="separate"/>
        </w:r>
        <w:r w:rsidR="00FB234C">
          <w:rPr>
            <w:noProof/>
            <w:webHidden/>
          </w:rPr>
          <w:t>28</w:t>
        </w:r>
        <w:r w:rsidR="00FB234C">
          <w:rPr>
            <w:noProof/>
            <w:webHidden/>
          </w:rPr>
          <w:fldChar w:fldCharType="end"/>
        </w:r>
      </w:hyperlink>
    </w:p>
    <w:p w:rsidR="00FB234C" w:rsidRDefault="00A905F9">
      <w:pPr>
        <w:pStyle w:val="TOC2"/>
        <w:rPr>
          <w:rFonts w:asciiTheme="minorHAnsi" w:hAnsiTheme="minorHAnsi"/>
          <w:noProof/>
          <w:color w:val="auto"/>
        </w:rPr>
      </w:pPr>
      <w:hyperlink w:anchor="_Toc121849786" w:history="1">
        <w:r w:rsidR="00FB234C" w:rsidRPr="00384AEA">
          <w:rPr>
            <w:rStyle w:val="Hyperlink"/>
            <w:noProof/>
            <w:lang w:val="en-GB"/>
          </w:rPr>
          <w:t>9.2 State and Territory Governments</w:t>
        </w:r>
        <w:r w:rsidR="00FB234C">
          <w:rPr>
            <w:noProof/>
            <w:webHidden/>
          </w:rPr>
          <w:tab/>
        </w:r>
        <w:r w:rsidR="00FB234C">
          <w:rPr>
            <w:noProof/>
            <w:webHidden/>
          </w:rPr>
          <w:fldChar w:fldCharType="begin"/>
        </w:r>
        <w:r w:rsidR="00FB234C">
          <w:rPr>
            <w:noProof/>
            <w:webHidden/>
          </w:rPr>
          <w:instrText xml:space="preserve"> PAGEREF _Toc121849786 \h </w:instrText>
        </w:r>
        <w:r w:rsidR="00FB234C">
          <w:rPr>
            <w:noProof/>
            <w:webHidden/>
          </w:rPr>
        </w:r>
        <w:r w:rsidR="00FB234C">
          <w:rPr>
            <w:noProof/>
            <w:webHidden/>
          </w:rPr>
          <w:fldChar w:fldCharType="separate"/>
        </w:r>
        <w:r w:rsidR="00FB234C">
          <w:rPr>
            <w:noProof/>
            <w:webHidden/>
          </w:rPr>
          <w:t>28</w:t>
        </w:r>
        <w:r w:rsidR="00FB234C">
          <w:rPr>
            <w:noProof/>
            <w:webHidden/>
          </w:rPr>
          <w:fldChar w:fldCharType="end"/>
        </w:r>
      </w:hyperlink>
    </w:p>
    <w:p w:rsidR="003F29E1" w:rsidRDefault="00466983" w:rsidP="00FB234C">
      <w:pPr>
        <w:rPr>
          <w:lang w:val="en-GB"/>
        </w:rPr>
      </w:pPr>
      <w:r>
        <w:rPr>
          <w:lang w:val="en-GB"/>
        </w:rPr>
        <w:fldChar w:fldCharType="end"/>
      </w:r>
    </w:p>
    <w:p w:rsidR="00241DAF" w:rsidRDefault="00241DAF" w:rsidP="003F5EAC">
      <w:pPr>
        <w:pStyle w:val="Heading1"/>
        <w:rPr>
          <w:lang w:val="en-GB"/>
        </w:rPr>
      </w:pPr>
      <w:bookmarkStart w:id="0" w:name="_Toc121849750"/>
      <w:r>
        <w:rPr>
          <w:lang w:val="en-GB"/>
        </w:rPr>
        <w:lastRenderedPageBreak/>
        <w:t>1. Introduction</w:t>
      </w:r>
      <w:bookmarkEnd w:id="0"/>
    </w:p>
    <w:p w:rsidR="00241DAF" w:rsidRDefault="00241DAF" w:rsidP="003F5EAC">
      <w:pPr>
        <w:pStyle w:val="Heading2"/>
        <w:rPr>
          <w:lang w:val="en-GB"/>
        </w:rPr>
      </w:pPr>
      <w:bookmarkStart w:id="1" w:name="_Toc121849751"/>
      <w:r>
        <w:rPr>
          <w:lang w:val="en-GB"/>
        </w:rPr>
        <w:t>1.1</w:t>
      </w:r>
      <w:r w:rsidR="00466983">
        <w:rPr>
          <w:lang w:val="en-GB"/>
        </w:rPr>
        <w:t xml:space="preserve"> </w:t>
      </w:r>
      <w:r>
        <w:rPr>
          <w:lang w:val="en-GB"/>
        </w:rPr>
        <w:t>Purpose</w:t>
      </w:r>
      <w:bookmarkEnd w:id="1"/>
    </w:p>
    <w:p w:rsidR="00241DAF" w:rsidRDefault="00241DAF" w:rsidP="003F5EAC">
      <w:pPr>
        <w:rPr>
          <w:lang w:val="en-GB"/>
        </w:rPr>
      </w:pPr>
      <w:r>
        <w:rPr>
          <w:lang w:val="en-GB"/>
        </w:rPr>
        <w:t xml:space="preserve">The purpose of </w:t>
      </w:r>
      <w:hyperlink r:id="rId11" w:history="1">
        <w:r>
          <w:rPr>
            <w:rStyle w:val="Hyperlink"/>
            <w:lang w:val="en-GB"/>
          </w:rPr>
          <w:t>Australia’s Disability Strategy</w:t>
        </w:r>
      </w:hyperlink>
      <w:r>
        <w:rPr>
          <w:lang w:val="en-GB"/>
        </w:rPr>
        <w:t xml:space="preserve"> (the Strategy) Data Improvement Plan (DIP) is to improve the data needed to track progress against the </w:t>
      </w:r>
      <w:hyperlink r:id="rId12" w:history="1">
        <w:r>
          <w:rPr>
            <w:rStyle w:val="Hyperlink"/>
            <w:lang w:val="en-GB"/>
          </w:rPr>
          <w:t>Strategy Outcomes Framework</w:t>
        </w:r>
      </w:hyperlink>
      <w:r>
        <w:rPr>
          <w:lang w:val="en-GB"/>
        </w:rPr>
        <w:t xml:space="preserve"> (Outcomes Framework), with a focus on collecting data for future measures. </w:t>
      </w:r>
    </w:p>
    <w:p w:rsidR="00241DAF" w:rsidRDefault="00241DAF" w:rsidP="003F5EAC">
      <w:pPr>
        <w:rPr>
          <w:lang w:val="en-GB"/>
        </w:rPr>
      </w:pPr>
      <w:r>
        <w:rPr>
          <w:lang w:val="en-GB"/>
        </w:rPr>
        <w:t>The Outcomes Framework consists of 85 measures across 7 Outcome Areas. Forty-one are systems measures, 40 are population measures and 4 are community attitudes measures. Launch</w:t>
      </w:r>
      <w:r w:rsidR="00AA769E">
        <w:rPr>
          <w:lang w:val="en-GB"/>
        </w:rPr>
        <w:t xml:space="preserve"> </w:t>
      </w:r>
      <w:r>
        <w:rPr>
          <w:lang w:val="en-GB"/>
        </w:rPr>
        <w:t>measures already have data available to report against them. Future measures require data to be developed or linked in order to report against them. Some launch measures will be replaced by future measures that report against the same outcome.</w:t>
      </w:r>
    </w:p>
    <w:p w:rsidR="00241DAF" w:rsidRDefault="00241DAF" w:rsidP="003F5EAC">
      <w:pPr>
        <w:rPr>
          <w:lang w:val="en-GB"/>
        </w:rPr>
      </w:pPr>
      <w:r>
        <w:rPr>
          <w:lang w:val="en-GB"/>
        </w:rPr>
        <w:t>The data used to report against the Outcomes Framework will support evaluations to inform policy and program development. The DIP outlines the data improvement activities all levels of</w:t>
      </w:r>
      <w:r w:rsidR="00AA769E">
        <w:rPr>
          <w:lang w:val="en-GB"/>
        </w:rPr>
        <w:t xml:space="preserve"> </w:t>
      </w:r>
      <w:r>
        <w:rPr>
          <w:lang w:val="en-GB"/>
        </w:rPr>
        <w:t>governments have agreed to undertake to measure the impact of the Strategy on improving outcomes for people with disability.</w:t>
      </w:r>
    </w:p>
    <w:p w:rsidR="00241DAF" w:rsidRDefault="00241DAF" w:rsidP="003F5EAC">
      <w:pPr>
        <w:rPr>
          <w:lang w:val="en-GB"/>
        </w:rPr>
      </w:pPr>
      <w:r>
        <w:rPr>
          <w:lang w:val="en-GB"/>
        </w:rPr>
        <w:t xml:space="preserve">This document will be updated in line with the review points detailed in section 2.2. </w:t>
      </w:r>
    </w:p>
    <w:p w:rsidR="00241DAF" w:rsidRDefault="00241DAF" w:rsidP="003F5EAC">
      <w:pPr>
        <w:pStyle w:val="Heading2"/>
        <w:rPr>
          <w:lang w:val="en-GB"/>
        </w:rPr>
      </w:pPr>
      <w:bookmarkStart w:id="2" w:name="_Toc121849752"/>
      <w:r>
        <w:rPr>
          <w:lang w:val="en-GB"/>
        </w:rPr>
        <w:t>1.2</w:t>
      </w:r>
      <w:r w:rsidR="00466983">
        <w:rPr>
          <w:lang w:val="en-GB"/>
        </w:rPr>
        <w:t xml:space="preserve"> </w:t>
      </w:r>
      <w:r>
        <w:rPr>
          <w:lang w:val="en-GB"/>
        </w:rPr>
        <w:t>Background</w:t>
      </w:r>
      <w:bookmarkEnd w:id="2"/>
    </w:p>
    <w:p w:rsidR="00241DAF" w:rsidRDefault="00241DAF" w:rsidP="003F5EAC">
      <w:pPr>
        <w:rPr>
          <w:lang w:val="en-GB"/>
        </w:rPr>
      </w:pPr>
      <w:r>
        <w:rPr>
          <w:lang w:val="en-GB"/>
        </w:rPr>
        <w:t>On 3 December 2021, the Strategy was launched by all levels of government. The Strategy’s vision is for an inclusive Australian society that ensures people with disability can fulfil their potential as equal members of the community.</w:t>
      </w:r>
    </w:p>
    <w:p w:rsidR="00241DAF" w:rsidRDefault="00241DAF" w:rsidP="003F5EAC">
      <w:pPr>
        <w:rPr>
          <w:lang w:val="en-GB"/>
        </w:rPr>
      </w:pPr>
      <w:r>
        <w:rPr>
          <w:lang w:val="en-GB"/>
        </w:rPr>
        <w:t xml:space="preserve">The Outcomes Framework is a key part of the Strategy. It tracks, reports and measures the outcomes for people with disability across all 7 Outcome Areas of the Strategy. All levels of government are committed to collecting and sharing data to better monitor and report outcomes for people with disability in order to drive change. </w:t>
      </w:r>
    </w:p>
    <w:p w:rsidR="00241DAF" w:rsidRDefault="00241DAF" w:rsidP="003F5EAC">
      <w:pPr>
        <w:rPr>
          <w:lang w:val="en-GB"/>
        </w:rPr>
      </w:pPr>
      <w:r>
        <w:rPr>
          <w:lang w:val="en-GB"/>
        </w:rPr>
        <w:t xml:space="preserve">The Outcome Areas are based on areas people with disability have said need improvement to achieve the Strategy’s vision. They set out where governments at all levels, working with people with disability, the community and business, will focus to deliver the required change. </w:t>
      </w:r>
    </w:p>
    <w:p w:rsidR="00241DAF" w:rsidRDefault="00241DAF" w:rsidP="003F5EAC">
      <w:pPr>
        <w:rPr>
          <w:lang w:val="en-GB"/>
        </w:rPr>
      </w:pPr>
      <w:r>
        <w:rPr>
          <w:lang w:val="en-GB"/>
        </w:rPr>
        <w:t>By delivering against the policy priorities under each Outcome Area, governments will help ensure all aspects of Australian life become more inclusive of people with disability.</w:t>
      </w:r>
    </w:p>
    <w:p w:rsidR="00241DAF" w:rsidRDefault="00241DAF" w:rsidP="003F5EAC">
      <w:pPr>
        <w:pStyle w:val="TableTitle"/>
        <w:rPr>
          <w:lang w:val="en-GB"/>
        </w:rPr>
      </w:pPr>
      <w:bookmarkStart w:id="3" w:name="_Toc121849753"/>
      <w:r>
        <w:rPr>
          <w:lang w:val="en-GB"/>
        </w:rPr>
        <w:lastRenderedPageBreak/>
        <w:t>Outcome Areas of the Strategy</w:t>
      </w:r>
      <w:bookmarkEnd w:id="3"/>
    </w:p>
    <w:p w:rsidR="00241DAF" w:rsidRPr="003F5EAC" w:rsidRDefault="00241DAF" w:rsidP="003F5EAC">
      <w:pPr>
        <w:pStyle w:val="List1Numbered1"/>
        <w:pBdr>
          <w:top w:val="single" w:sz="24" w:space="12" w:color="FFFFFF" w:themeColor="background1"/>
          <w:left w:val="single" w:sz="24" w:space="12" w:color="FFFFFF" w:themeColor="background1"/>
          <w:bottom w:val="single" w:sz="24" w:space="12" w:color="FFFFFF" w:themeColor="background1"/>
          <w:right w:val="single" w:sz="24" w:space="12" w:color="FFFFFF" w:themeColor="background1"/>
          <w:between w:val="single" w:sz="24" w:space="12" w:color="FFFFFF" w:themeColor="background1"/>
        </w:pBdr>
        <w:shd w:val="clear" w:color="auto" w:fill="573275" w:themeFill="accent1"/>
        <w:spacing w:after="240" w:line="240" w:lineRule="auto"/>
        <w:ind w:left="568"/>
        <w:contextualSpacing/>
        <w:rPr>
          <w:b/>
          <w:bCs/>
          <w:color w:val="FFFFFF" w:themeColor="background1"/>
          <w:lang w:val="en-GB"/>
        </w:rPr>
      </w:pPr>
      <w:r w:rsidRPr="003F5EAC">
        <w:rPr>
          <w:b/>
          <w:bCs/>
          <w:color w:val="FFFFFF" w:themeColor="background1"/>
          <w:lang w:val="en-GB"/>
        </w:rPr>
        <w:t>Employment and Financial Security</w:t>
      </w:r>
    </w:p>
    <w:p w:rsidR="00241DAF" w:rsidRPr="003F5EAC" w:rsidRDefault="00241DAF" w:rsidP="003F5EAC">
      <w:pPr>
        <w:pStyle w:val="List1Numbered1"/>
        <w:pBdr>
          <w:top w:val="single" w:sz="24" w:space="12" w:color="FFFFFF" w:themeColor="background1"/>
          <w:left w:val="single" w:sz="24" w:space="12" w:color="FFFFFF" w:themeColor="background1"/>
          <w:bottom w:val="single" w:sz="24" w:space="12" w:color="FFFFFF" w:themeColor="background1"/>
          <w:right w:val="single" w:sz="24" w:space="12" w:color="FFFFFF" w:themeColor="background1"/>
          <w:between w:val="single" w:sz="24" w:space="12" w:color="FFFFFF" w:themeColor="background1"/>
        </w:pBdr>
        <w:shd w:val="clear" w:color="auto" w:fill="005689" w:themeFill="accent2"/>
        <w:spacing w:after="240" w:line="240" w:lineRule="auto"/>
        <w:ind w:left="568"/>
        <w:contextualSpacing/>
        <w:rPr>
          <w:b/>
          <w:bCs/>
          <w:color w:val="FFFFFF" w:themeColor="background1"/>
          <w:lang w:val="en-GB"/>
        </w:rPr>
      </w:pPr>
      <w:r w:rsidRPr="003F5EAC">
        <w:rPr>
          <w:b/>
          <w:bCs/>
          <w:color w:val="FFFFFF" w:themeColor="background1"/>
          <w:lang w:val="en-GB"/>
        </w:rPr>
        <w:t>Inclusive Homes and Communities</w:t>
      </w:r>
    </w:p>
    <w:p w:rsidR="00241DAF" w:rsidRPr="003F5EAC" w:rsidRDefault="00241DAF" w:rsidP="003F5EAC">
      <w:pPr>
        <w:pStyle w:val="List1Numbered1"/>
        <w:pBdr>
          <w:top w:val="single" w:sz="24" w:space="12" w:color="FFFFFF" w:themeColor="background1"/>
          <w:left w:val="single" w:sz="24" w:space="12" w:color="FFFFFF" w:themeColor="background1"/>
          <w:bottom w:val="single" w:sz="24" w:space="12" w:color="FFFFFF" w:themeColor="background1"/>
          <w:right w:val="single" w:sz="24" w:space="12" w:color="FFFFFF" w:themeColor="background1"/>
          <w:between w:val="single" w:sz="24" w:space="12" w:color="FFFFFF" w:themeColor="background1"/>
        </w:pBdr>
        <w:shd w:val="clear" w:color="auto" w:fill="00492C" w:themeFill="text2"/>
        <w:spacing w:after="240" w:line="240" w:lineRule="auto"/>
        <w:ind w:left="568"/>
        <w:contextualSpacing/>
        <w:rPr>
          <w:b/>
          <w:bCs/>
          <w:color w:val="FFFFFF" w:themeColor="background1"/>
          <w:lang w:val="en-GB"/>
        </w:rPr>
      </w:pPr>
      <w:r w:rsidRPr="003F5EAC">
        <w:rPr>
          <w:b/>
          <w:bCs/>
          <w:color w:val="FFFFFF" w:themeColor="background1"/>
          <w:lang w:val="en-GB"/>
        </w:rPr>
        <w:t>Safety, Rights and Justice</w:t>
      </w:r>
    </w:p>
    <w:p w:rsidR="00241DAF" w:rsidRPr="003F5EAC" w:rsidRDefault="00241DAF" w:rsidP="003F5EAC">
      <w:pPr>
        <w:pStyle w:val="List1Numbered1"/>
        <w:pBdr>
          <w:top w:val="single" w:sz="24" w:space="12" w:color="FFFFFF" w:themeColor="background1"/>
          <w:left w:val="single" w:sz="24" w:space="12" w:color="FFFFFF" w:themeColor="background1"/>
          <w:bottom w:val="single" w:sz="24" w:space="12" w:color="FFFFFF" w:themeColor="background1"/>
          <w:right w:val="single" w:sz="24" w:space="12" w:color="FFFFFF" w:themeColor="background1"/>
          <w:between w:val="single" w:sz="24" w:space="12" w:color="FFFFFF" w:themeColor="background1"/>
        </w:pBdr>
        <w:shd w:val="clear" w:color="auto" w:fill="7A0441" w:themeFill="accent3"/>
        <w:spacing w:after="240" w:line="240" w:lineRule="auto"/>
        <w:ind w:left="568"/>
        <w:contextualSpacing/>
        <w:rPr>
          <w:b/>
          <w:bCs/>
          <w:color w:val="FFFFFF" w:themeColor="background1"/>
          <w:lang w:val="en-GB"/>
        </w:rPr>
      </w:pPr>
      <w:r w:rsidRPr="003F5EAC">
        <w:rPr>
          <w:b/>
          <w:bCs/>
          <w:color w:val="FFFFFF" w:themeColor="background1"/>
          <w:lang w:val="en-GB"/>
        </w:rPr>
        <w:t>Personal and Community Support</w:t>
      </w:r>
    </w:p>
    <w:p w:rsidR="00241DAF" w:rsidRPr="003F5EAC" w:rsidRDefault="00241DAF" w:rsidP="003F5EAC">
      <w:pPr>
        <w:pStyle w:val="List1Numbered1"/>
        <w:pBdr>
          <w:top w:val="single" w:sz="24" w:space="12" w:color="FFFFFF" w:themeColor="background1"/>
          <w:left w:val="single" w:sz="24" w:space="12" w:color="FFFFFF" w:themeColor="background1"/>
          <w:bottom w:val="single" w:sz="24" w:space="12" w:color="FFFFFF" w:themeColor="background1"/>
          <w:right w:val="single" w:sz="24" w:space="12" w:color="FFFFFF" w:themeColor="background1"/>
          <w:between w:val="single" w:sz="24" w:space="12" w:color="FFFFFF" w:themeColor="background1"/>
        </w:pBdr>
        <w:shd w:val="clear" w:color="auto" w:fill="CD163F" w:themeFill="accent4"/>
        <w:spacing w:after="240" w:line="240" w:lineRule="auto"/>
        <w:ind w:left="568"/>
        <w:contextualSpacing/>
        <w:rPr>
          <w:b/>
          <w:bCs/>
          <w:color w:val="FFFFFF" w:themeColor="background1"/>
          <w:lang w:val="en-GB"/>
        </w:rPr>
      </w:pPr>
      <w:r w:rsidRPr="003F5EAC">
        <w:rPr>
          <w:b/>
          <w:bCs/>
          <w:color w:val="FFFFFF" w:themeColor="background1"/>
          <w:lang w:val="en-GB"/>
        </w:rPr>
        <w:t>Education and Learning</w:t>
      </w:r>
    </w:p>
    <w:p w:rsidR="00241DAF" w:rsidRPr="003F5EAC" w:rsidRDefault="00241DAF" w:rsidP="003F5EAC">
      <w:pPr>
        <w:pStyle w:val="List1Numbered1"/>
        <w:pBdr>
          <w:top w:val="single" w:sz="24" w:space="12" w:color="FFFFFF" w:themeColor="background1"/>
          <w:left w:val="single" w:sz="24" w:space="12" w:color="FFFFFF" w:themeColor="background1"/>
          <w:bottom w:val="single" w:sz="24" w:space="12" w:color="FFFFFF" w:themeColor="background1"/>
          <w:right w:val="single" w:sz="24" w:space="12" w:color="FFFFFF" w:themeColor="background1"/>
          <w:between w:val="single" w:sz="24" w:space="12" w:color="FFFFFF" w:themeColor="background1"/>
        </w:pBdr>
        <w:shd w:val="clear" w:color="auto" w:fill="180F5E" w:themeFill="accent5"/>
        <w:spacing w:after="240" w:line="240" w:lineRule="auto"/>
        <w:ind w:left="568"/>
        <w:contextualSpacing/>
        <w:rPr>
          <w:b/>
          <w:bCs/>
          <w:color w:val="FFFFFF" w:themeColor="background1"/>
          <w:lang w:val="en-GB"/>
        </w:rPr>
      </w:pPr>
      <w:r w:rsidRPr="003F5EAC">
        <w:rPr>
          <w:b/>
          <w:bCs/>
          <w:color w:val="FFFFFF" w:themeColor="background1"/>
          <w:lang w:val="en-GB"/>
        </w:rPr>
        <w:t>Health and Wellbeing</w:t>
      </w:r>
    </w:p>
    <w:p w:rsidR="00241DAF" w:rsidRPr="003F5EAC" w:rsidRDefault="00241DAF" w:rsidP="003F5EAC">
      <w:pPr>
        <w:pStyle w:val="List1Numbered1"/>
        <w:pBdr>
          <w:top w:val="single" w:sz="24" w:space="12" w:color="FFFFFF" w:themeColor="background1"/>
          <w:left w:val="single" w:sz="24" w:space="12" w:color="FFFFFF" w:themeColor="background1"/>
          <w:bottom w:val="single" w:sz="24" w:space="12" w:color="FFFFFF" w:themeColor="background1"/>
          <w:right w:val="single" w:sz="24" w:space="12" w:color="FFFFFF" w:themeColor="background1"/>
          <w:between w:val="single" w:sz="24" w:space="12" w:color="FFFFFF" w:themeColor="background1"/>
        </w:pBdr>
        <w:shd w:val="clear" w:color="auto" w:fill="007054" w:themeFill="accent6"/>
        <w:spacing w:after="240" w:line="240" w:lineRule="auto"/>
        <w:ind w:left="568"/>
        <w:contextualSpacing/>
        <w:rPr>
          <w:b/>
          <w:bCs/>
          <w:color w:val="FFFFFF" w:themeColor="background1"/>
          <w:lang w:val="en-GB"/>
        </w:rPr>
      </w:pPr>
      <w:r w:rsidRPr="003F5EAC">
        <w:rPr>
          <w:b/>
          <w:bCs/>
          <w:color w:val="FFFFFF" w:themeColor="background1"/>
          <w:lang w:val="en-GB"/>
        </w:rPr>
        <w:t>Community Attitudes</w:t>
      </w:r>
    </w:p>
    <w:p w:rsidR="00241DAF" w:rsidRDefault="00241DAF" w:rsidP="003F5EAC">
      <w:pPr>
        <w:rPr>
          <w:lang w:val="en-GB"/>
        </w:rPr>
      </w:pPr>
      <w:r>
        <w:rPr>
          <w:lang w:val="en-GB"/>
        </w:rPr>
        <w:t xml:space="preserve">The Australian Institute of Health and Welfare (AIHW) will design, host and update the </w:t>
      </w:r>
      <w:hyperlink r:id="rId13" w:history="1">
        <w:r>
          <w:rPr>
            <w:rStyle w:val="Hyperlink"/>
            <w:spacing w:val="-1"/>
            <w:lang w:val="en-GB"/>
          </w:rPr>
          <w:t>Outcomes Framework webpages</w:t>
        </w:r>
      </w:hyperlink>
      <w:r>
        <w:rPr>
          <w:lang w:val="en-GB"/>
        </w:rPr>
        <w:t xml:space="preserve"> (including a dashboard) to manage and present the data and to produce annual reports. The AIHW is working with disability access and user experience specialists to ensure the data is as accessible and interactive as possible. The webpages will track changes in</w:t>
      </w:r>
      <w:r w:rsidR="00AA769E">
        <w:rPr>
          <w:lang w:val="en-GB"/>
        </w:rPr>
        <w:t xml:space="preserve"> </w:t>
      </w:r>
      <w:r>
        <w:rPr>
          <w:lang w:val="en-GB"/>
        </w:rPr>
        <w:t>outcomes over time for people with disability through quarterly updates as additional data is</w:t>
      </w:r>
      <w:r w:rsidR="00AA769E">
        <w:rPr>
          <w:lang w:val="en-GB"/>
        </w:rPr>
        <w:t xml:space="preserve"> </w:t>
      </w:r>
      <w:r>
        <w:rPr>
          <w:lang w:val="en-GB"/>
        </w:rPr>
        <w:t xml:space="preserve">available. </w:t>
      </w:r>
    </w:p>
    <w:p w:rsidR="00241DAF" w:rsidRDefault="00241DAF" w:rsidP="003F5EAC">
      <w:pPr>
        <w:rPr>
          <w:lang w:val="en-GB"/>
        </w:rPr>
      </w:pPr>
      <w:r>
        <w:rPr>
          <w:lang w:val="en-GB"/>
        </w:rPr>
        <w:t>An extensive design and testing process including input from people with disability has been completed. The Outcomes Framework webpages will be publicly launched in December 2022. A</w:t>
      </w:r>
      <w:r w:rsidR="00AA769E">
        <w:rPr>
          <w:lang w:val="en-GB"/>
        </w:rPr>
        <w:t xml:space="preserve"> </w:t>
      </w:r>
      <w:r>
        <w:rPr>
          <w:lang w:val="en-GB"/>
        </w:rPr>
        <w:t>combined baseline and first annual report is scheduled for release in February 2023.</w:t>
      </w:r>
    </w:p>
    <w:p w:rsidR="00241DAF" w:rsidRDefault="00241DAF" w:rsidP="003F5EAC">
      <w:pPr>
        <w:pStyle w:val="Heading2"/>
        <w:rPr>
          <w:lang w:val="en-GB"/>
        </w:rPr>
      </w:pPr>
      <w:bookmarkStart w:id="4" w:name="_Toc121849754"/>
      <w:r>
        <w:rPr>
          <w:lang w:val="en-GB"/>
        </w:rPr>
        <w:t>1.3</w:t>
      </w:r>
      <w:r w:rsidR="00466983">
        <w:rPr>
          <w:lang w:val="en-GB"/>
        </w:rPr>
        <w:t xml:space="preserve"> </w:t>
      </w:r>
      <w:r>
        <w:rPr>
          <w:lang w:val="en-GB"/>
        </w:rPr>
        <w:t>Development</w:t>
      </w:r>
      <w:bookmarkEnd w:id="4"/>
    </w:p>
    <w:p w:rsidR="00241DAF" w:rsidRDefault="00241DAF" w:rsidP="003F5EAC">
      <w:pPr>
        <w:rPr>
          <w:lang w:val="en-GB"/>
        </w:rPr>
      </w:pPr>
      <w:r>
        <w:rPr>
          <w:lang w:val="en-GB"/>
        </w:rPr>
        <w:t>The Department of Social Services (DSS) has developed the DIP in consultation with people with</w:t>
      </w:r>
      <w:r w:rsidR="00AA769E">
        <w:rPr>
          <w:lang w:val="en-GB"/>
        </w:rPr>
        <w:t xml:space="preserve"> </w:t>
      </w:r>
      <w:r>
        <w:rPr>
          <w:lang w:val="en-GB"/>
        </w:rPr>
        <w:t xml:space="preserve">disability and Australian, state and territory government agencies. </w:t>
      </w:r>
    </w:p>
    <w:p w:rsidR="00241DAF" w:rsidRDefault="00241DAF" w:rsidP="003F5EAC">
      <w:pPr>
        <w:rPr>
          <w:lang w:val="en-GB"/>
        </w:rPr>
      </w:pPr>
      <w:r>
        <w:rPr>
          <w:lang w:val="en-GB"/>
        </w:rPr>
        <w:t>The DIP has been endorsed by Disability Reform Ministers.</w:t>
      </w:r>
    </w:p>
    <w:p w:rsidR="00241DAF" w:rsidRDefault="00241DAF" w:rsidP="003F5EAC">
      <w:pPr>
        <w:rPr>
          <w:lang w:val="en-GB"/>
        </w:rPr>
      </w:pPr>
      <w:r>
        <w:rPr>
          <w:lang w:val="en-GB"/>
        </w:rPr>
        <w:t xml:space="preserve">Revisions of the DIP will be developed and endorsed through the same mechanisms. </w:t>
      </w:r>
    </w:p>
    <w:p w:rsidR="00241DAF" w:rsidRDefault="00241DAF" w:rsidP="003F5EAC">
      <w:pPr>
        <w:pStyle w:val="Heading1"/>
        <w:rPr>
          <w:lang w:val="en-GB"/>
        </w:rPr>
      </w:pPr>
      <w:bookmarkStart w:id="5" w:name="_Toc121849755"/>
      <w:r>
        <w:rPr>
          <w:lang w:val="en-GB"/>
        </w:rPr>
        <w:lastRenderedPageBreak/>
        <w:t>2. Objectives</w:t>
      </w:r>
      <w:bookmarkEnd w:id="5"/>
    </w:p>
    <w:p w:rsidR="00241DAF" w:rsidRDefault="00241DAF" w:rsidP="003F5EAC">
      <w:pPr>
        <w:rPr>
          <w:lang w:val="en-GB"/>
        </w:rPr>
      </w:pPr>
      <w:r>
        <w:rPr>
          <w:lang w:val="en-GB"/>
        </w:rPr>
        <w:t>As part of the Strategy, governments agreed to work collaboratively to develop a comprehensive DIP in 2022. The DIP will:</w:t>
      </w:r>
    </w:p>
    <w:p w:rsidR="00241DAF" w:rsidRDefault="00241DAF" w:rsidP="003F5EAC">
      <w:pPr>
        <w:pStyle w:val="Bullet1"/>
        <w:rPr>
          <w:lang w:val="en-GB"/>
        </w:rPr>
      </w:pPr>
      <w:r>
        <w:rPr>
          <w:lang w:val="en-GB"/>
        </w:rPr>
        <w:t>ensure data needed to measure outcomes for people with disability is collected, shared and improved over the life of the Strategy</w:t>
      </w:r>
    </w:p>
    <w:p w:rsidR="00241DAF" w:rsidRDefault="00241DAF" w:rsidP="003F5EAC">
      <w:pPr>
        <w:pStyle w:val="Bullet1"/>
        <w:rPr>
          <w:lang w:val="en-GB"/>
        </w:rPr>
      </w:pPr>
      <w:r>
        <w:rPr>
          <w:lang w:val="en-GB"/>
        </w:rPr>
        <w:t xml:space="preserve">identify where data needs to be linked between systems to improve our understanding of the impact of the Strategy </w:t>
      </w:r>
    </w:p>
    <w:p w:rsidR="00241DAF" w:rsidRDefault="00241DAF" w:rsidP="003F5EAC">
      <w:pPr>
        <w:pStyle w:val="Bullet1"/>
        <w:rPr>
          <w:lang w:val="en-GB"/>
        </w:rPr>
      </w:pPr>
      <w:r>
        <w:rPr>
          <w:lang w:val="en-GB"/>
        </w:rPr>
        <w:t>consider how linked, de-identified data can help develop data for future measures and deliver deeper insights into pathways taken and outcomes achieved.</w:t>
      </w:r>
    </w:p>
    <w:p w:rsidR="00241DAF" w:rsidRPr="003F5EAC" w:rsidRDefault="00241DAF" w:rsidP="003F5EAC">
      <w:pPr>
        <w:rPr>
          <w:lang w:val="en-GB"/>
        </w:rPr>
      </w:pPr>
      <w:r>
        <w:rPr>
          <w:lang w:val="en-GB"/>
        </w:rPr>
        <w:t xml:space="preserve">The DIP has been developed in consultation with Australian, state and territory governments and </w:t>
      </w:r>
      <w:hyperlink r:id="rId14" w:history="1">
        <w:r w:rsidRPr="003F5EAC">
          <w:rPr>
            <w:rStyle w:val="Hyperlink"/>
            <w:lang w:val="en-GB"/>
          </w:rPr>
          <w:t>Disability Representative Organisations</w:t>
        </w:r>
      </w:hyperlink>
      <w:r w:rsidRPr="003F5EAC">
        <w:rPr>
          <w:lang w:val="en-GB"/>
        </w:rPr>
        <w:t>.</w:t>
      </w:r>
    </w:p>
    <w:p w:rsidR="00241DAF" w:rsidRDefault="00241DAF" w:rsidP="003F5EAC">
      <w:pPr>
        <w:pStyle w:val="Heading2"/>
        <w:rPr>
          <w:lang w:val="en-GB"/>
        </w:rPr>
      </w:pPr>
      <w:bookmarkStart w:id="6" w:name="_Toc121849756"/>
      <w:r>
        <w:rPr>
          <w:lang w:val="en-GB"/>
        </w:rPr>
        <w:t>2.1</w:t>
      </w:r>
      <w:r w:rsidR="00466983">
        <w:rPr>
          <w:lang w:val="en-GB"/>
        </w:rPr>
        <w:t xml:space="preserve"> </w:t>
      </w:r>
      <w:r>
        <w:rPr>
          <w:lang w:val="en-GB"/>
        </w:rPr>
        <w:t>Scope</w:t>
      </w:r>
      <w:bookmarkEnd w:id="6"/>
    </w:p>
    <w:p w:rsidR="00241DAF" w:rsidRDefault="00241DAF" w:rsidP="003F5EAC">
      <w:pPr>
        <w:rPr>
          <w:lang w:val="en-GB"/>
        </w:rPr>
      </w:pPr>
      <w:r>
        <w:rPr>
          <w:lang w:val="en-GB"/>
        </w:rPr>
        <w:t>Actions under the DIP include:</w:t>
      </w:r>
    </w:p>
    <w:p w:rsidR="00241DAF" w:rsidRDefault="00241DAF" w:rsidP="003F5EAC">
      <w:pPr>
        <w:pStyle w:val="Bullet1"/>
        <w:rPr>
          <w:lang w:val="en-GB"/>
        </w:rPr>
      </w:pPr>
      <w:r>
        <w:rPr>
          <w:lang w:val="en-GB"/>
        </w:rPr>
        <w:t>identifying data sources for the Outcomes Framework future measures</w:t>
      </w:r>
    </w:p>
    <w:p w:rsidR="00241DAF" w:rsidRDefault="00241DAF" w:rsidP="003F5EAC">
      <w:pPr>
        <w:pStyle w:val="Bullet1"/>
        <w:rPr>
          <w:lang w:val="en-GB"/>
        </w:rPr>
      </w:pPr>
      <w:r>
        <w:rPr>
          <w:lang w:val="en-GB"/>
        </w:rPr>
        <w:t>identifying data developments needed to maintain and improve the quality of data over the life of the Strategy</w:t>
      </w:r>
    </w:p>
    <w:p w:rsidR="00241DAF" w:rsidRDefault="00241DAF" w:rsidP="003F5EAC">
      <w:pPr>
        <w:pStyle w:val="Bullet1"/>
        <w:rPr>
          <w:lang w:val="en-GB"/>
        </w:rPr>
      </w:pPr>
      <w:r>
        <w:rPr>
          <w:lang w:val="en-GB"/>
        </w:rPr>
        <w:t>assessing and enacting data linkage to better address measures</w:t>
      </w:r>
    </w:p>
    <w:p w:rsidR="00241DAF" w:rsidRDefault="00241DAF" w:rsidP="003F5EAC">
      <w:pPr>
        <w:pStyle w:val="Bullet1"/>
        <w:rPr>
          <w:lang w:val="en-GB"/>
        </w:rPr>
      </w:pPr>
      <w:r>
        <w:rPr>
          <w:lang w:val="en-GB"/>
        </w:rPr>
        <w:t xml:space="preserve">considering and collecting new data </w:t>
      </w:r>
    </w:p>
    <w:p w:rsidR="00241DAF" w:rsidRDefault="00241DAF" w:rsidP="003F5EAC">
      <w:pPr>
        <w:pStyle w:val="Bullet1"/>
        <w:rPr>
          <w:lang w:val="en-GB"/>
        </w:rPr>
      </w:pPr>
      <w:r>
        <w:rPr>
          <w:lang w:val="en-GB"/>
        </w:rPr>
        <w:t>improving consistency and clarity of disability data</w:t>
      </w:r>
    </w:p>
    <w:p w:rsidR="00241DAF" w:rsidRDefault="00241DAF" w:rsidP="003F5EAC">
      <w:pPr>
        <w:pStyle w:val="Bullet1"/>
        <w:rPr>
          <w:lang w:val="en-GB"/>
        </w:rPr>
      </w:pPr>
      <w:r>
        <w:rPr>
          <w:lang w:val="en-GB"/>
        </w:rPr>
        <w:t>identifying gaps in data holdings.</w:t>
      </w:r>
    </w:p>
    <w:p w:rsidR="00241DAF" w:rsidRDefault="00241DAF" w:rsidP="003F5EAC">
      <w:pPr>
        <w:rPr>
          <w:lang w:val="en-GB"/>
        </w:rPr>
      </w:pPr>
      <w:r>
        <w:rPr>
          <w:lang w:val="en-GB"/>
        </w:rPr>
        <w:t xml:space="preserve">The DIP will be updated over the life of the Strategy, so the scope of the DIP may change over time. This may be influenced by our learnings from the COVID-19 pandemic, as well as work including the National Disability Insurance Scheme (NDIS) Review, the Specialist Disability Accommodation Pricing Review, the National Autism Strategy, and work under the Data and Digital Ministers Meeting. </w:t>
      </w:r>
    </w:p>
    <w:p w:rsidR="00241DAF" w:rsidRDefault="00241DAF" w:rsidP="003F5EAC">
      <w:pPr>
        <w:pStyle w:val="Heading2"/>
        <w:rPr>
          <w:lang w:val="en-GB"/>
        </w:rPr>
      </w:pPr>
      <w:bookmarkStart w:id="7" w:name="_Toc121849757"/>
      <w:r>
        <w:rPr>
          <w:lang w:val="en-GB"/>
        </w:rPr>
        <w:t>2.2</w:t>
      </w:r>
      <w:r w:rsidR="00466983">
        <w:rPr>
          <w:lang w:val="en-GB"/>
        </w:rPr>
        <w:t xml:space="preserve"> </w:t>
      </w:r>
      <w:r>
        <w:rPr>
          <w:lang w:val="en-GB"/>
        </w:rPr>
        <w:t>Review Points</w:t>
      </w:r>
      <w:bookmarkEnd w:id="7"/>
    </w:p>
    <w:p w:rsidR="00241DAF" w:rsidRDefault="00241DAF" w:rsidP="003F5EAC">
      <w:pPr>
        <w:rPr>
          <w:lang w:val="en-GB"/>
        </w:rPr>
      </w:pPr>
      <w:r>
        <w:rPr>
          <w:lang w:val="en-GB"/>
        </w:rPr>
        <w:t>The following milestones provide opportunities to review the Outcomes Framework measures and improve and update them if needed. This may include updating existing measures based on</w:t>
      </w:r>
      <w:r w:rsidR="00AA769E">
        <w:rPr>
          <w:lang w:val="en-GB"/>
        </w:rPr>
        <w:t xml:space="preserve"> </w:t>
      </w:r>
      <w:r>
        <w:rPr>
          <w:lang w:val="en-GB"/>
        </w:rPr>
        <w:t xml:space="preserve">more accurate or robust data. </w:t>
      </w:r>
    </w:p>
    <w:p w:rsidR="00241DAF" w:rsidRDefault="00241DAF" w:rsidP="003F5EAC">
      <w:pPr>
        <w:rPr>
          <w:lang w:val="en-GB"/>
        </w:rPr>
      </w:pPr>
      <w:r>
        <w:rPr>
          <w:lang w:val="en-GB"/>
        </w:rPr>
        <w:t>Any new measures will be considered at these review points. A revised DIP will be published following each review point to update the status of improvement activities and list any new</w:t>
      </w:r>
      <w:r w:rsidR="00AA769E">
        <w:rPr>
          <w:lang w:val="en-GB"/>
        </w:rPr>
        <w:t xml:space="preserve"> </w:t>
      </w:r>
      <w:r>
        <w:rPr>
          <w:lang w:val="en-GB"/>
        </w:rPr>
        <w:t>activities.</w:t>
      </w:r>
    </w:p>
    <w:p w:rsidR="00241DAF" w:rsidRDefault="00241DAF" w:rsidP="003F5EAC">
      <w:pPr>
        <w:pStyle w:val="TableTitle"/>
        <w:rPr>
          <w:lang w:val="en-GB"/>
        </w:rPr>
      </w:pPr>
      <w:bookmarkStart w:id="8" w:name="_Toc121849758"/>
      <w:r>
        <w:rPr>
          <w:lang w:val="en-GB"/>
        </w:rPr>
        <w:lastRenderedPageBreak/>
        <w:t>Review Points</w:t>
      </w:r>
      <w:bookmarkEnd w:id="8"/>
    </w:p>
    <w:tbl>
      <w:tblPr>
        <w:tblStyle w:val="DSSADSTable1"/>
        <w:tblW w:w="5000" w:type="pct"/>
        <w:tblLook w:val="04A0" w:firstRow="1" w:lastRow="0" w:firstColumn="1" w:lastColumn="0" w:noHBand="0" w:noVBand="1"/>
      </w:tblPr>
      <w:tblGrid>
        <w:gridCol w:w="4814"/>
        <w:gridCol w:w="4814"/>
      </w:tblGrid>
      <w:tr w:rsidR="003F5EAC" w:rsidTr="003315D6">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2500" w:type="pct"/>
          </w:tcPr>
          <w:p w:rsidR="00241DAF" w:rsidRDefault="00241DAF" w:rsidP="003F5EAC">
            <w:r>
              <w:rPr>
                <w:lang w:val="en-GB"/>
              </w:rPr>
              <w:t>Date</w:t>
            </w:r>
          </w:p>
        </w:tc>
        <w:tc>
          <w:tcPr>
            <w:tcW w:w="2500" w:type="pct"/>
          </w:tcPr>
          <w:p w:rsidR="00241DAF" w:rsidRDefault="00241DAF" w:rsidP="003F5EAC">
            <w:pPr>
              <w:cnfStyle w:val="100000000000" w:firstRow="1" w:lastRow="0" w:firstColumn="0" w:lastColumn="0" w:oddVBand="0" w:evenVBand="0" w:oddHBand="0" w:evenHBand="0" w:firstRowFirstColumn="0" w:firstRowLastColumn="0" w:lastRowFirstColumn="0" w:lastRowLastColumn="0"/>
            </w:pPr>
            <w:r>
              <w:rPr>
                <w:lang w:val="en-GB"/>
              </w:rPr>
              <w:t>Key Review Points</w:t>
            </w:r>
          </w:p>
        </w:tc>
      </w:tr>
      <w:tr w:rsidR="003F5EAC" w:rsidTr="003F5EAC">
        <w:trPr>
          <w:trHeight w:val="113"/>
        </w:trPr>
        <w:tc>
          <w:tcPr>
            <w:cnfStyle w:val="001000000000" w:firstRow="0" w:lastRow="0" w:firstColumn="1" w:lastColumn="0" w:oddVBand="0" w:evenVBand="0" w:oddHBand="0" w:evenHBand="0" w:firstRowFirstColumn="0" w:firstRowLastColumn="0" w:lastRowFirstColumn="0" w:lastRowLastColumn="0"/>
            <w:tcW w:w="2500" w:type="pct"/>
            <w:vMerge w:val="restart"/>
          </w:tcPr>
          <w:p w:rsidR="00241DAF" w:rsidRDefault="00241DAF" w:rsidP="003F5EAC">
            <w:r>
              <w:rPr>
                <w:lang w:val="en-GB"/>
              </w:rPr>
              <w:t>End of 2023</w:t>
            </w:r>
          </w:p>
        </w:tc>
        <w:tc>
          <w:tcPr>
            <w:tcW w:w="2500" w:type="pct"/>
          </w:tcPr>
          <w:p w:rsidR="00241DAF" w:rsidRDefault="00241DAF" w:rsidP="003F5EAC">
            <w:pPr>
              <w:cnfStyle w:val="000000000000" w:firstRow="0" w:lastRow="0" w:firstColumn="0" w:lastColumn="0" w:oddVBand="0" w:evenVBand="0" w:oddHBand="0" w:evenHBand="0" w:firstRowFirstColumn="0" w:firstRowLastColumn="0" w:lastRowFirstColumn="0" w:lastRowLastColumn="0"/>
            </w:pPr>
            <w:r>
              <w:rPr>
                <w:lang w:val="en-GB"/>
              </w:rPr>
              <w:t xml:space="preserve">Release of the findings from the Royal Commission into Violence, Abuse, Neglect and Exploitation of People with Disability. The Strategy will be reviewed following this report. </w:t>
            </w:r>
          </w:p>
        </w:tc>
      </w:tr>
      <w:tr w:rsidR="003F5EAC" w:rsidTr="003F5EAC">
        <w:trPr>
          <w:trHeight w:val="113"/>
        </w:trPr>
        <w:tc>
          <w:tcPr>
            <w:cnfStyle w:val="001000000000" w:firstRow="0" w:lastRow="0" w:firstColumn="1" w:lastColumn="0" w:oddVBand="0" w:evenVBand="0" w:oddHBand="0" w:evenHBand="0" w:firstRowFirstColumn="0" w:firstRowLastColumn="0" w:lastRowFirstColumn="0" w:lastRowLastColumn="0"/>
            <w:tcW w:w="2500" w:type="pct"/>
            <w:vMerge/>
          </w:tcPr>
          <w:p w:rsidR="00241DAF" w:rsidRPr="00241DAF" w:rsidRDefault="00241DAF" w:rsidP="003F5EAC">
            <w:pPr>
              <w:rPr>
                <w:rFonts w:ascii="FilsonProMedium" w:hAnsi="FilsonProMedium"/>
                <w:color w:val="auto"/>
              </w:rPr>
            </w:pPr>
          </w:p>
        </w:tc>
        <w:tc>
          <w:tcPr>
            <w:tcW w:w="2500" w:type="pct"/>
          </w:tcPr>
          <w:p w:rsidR="00241DAF" w:rsidRDefault="00241DAF" w:rsidP="003F5EAC">
            <w:pPr>
              <w:cnfStyle w:val="000000000000" w:firstRow="0" w:lastRow="0" w:firstColumn="0" w:lastColumn="0" w:oddVBand="0" w:evenVBand="0" w:oddHBand="0" w:evenHBand="0" w:firstRowFirstColumn="0" w:firstRowLastColumn="0" w:lastRowFirstColumn="0" w:lastRowLastColumn="0"/>
            </w:pPr>
            <w:r>
              <w:rPr>
                <w:lang w:val="en-GB"/>
              </w:rPr>
              <w:t>First revision of the DIP, incorporating outcomes from workshops to agree on data for future measures (see section 7.1 &amp; Table 7).</w:t>
            </w:r>
          </w:p>
        </w:tc>
      </w:tr>
      <w:tr w:rsidR="003F5EAC" w:rsidTr="003F5EAC">
        <w:trPr>
          <w:trHeight w:val="113"/>
        </w:trPr>
        <w:tc>
          <w:tcPr>
            <w:cnfStyle w:val="001000000000" w:firstRow="0" w:lastRow="0" w:firstColumn="1" w:lastColumn="0" w:oddVBand="0" w:evenVBand="0" w:oddHBand="0" w:evenHBand="0" w:firstRowFirstColumn="0" w:firstRowLastColumn="0" w:lastRowFirstColumn="0" w:lastRowLastColumn="0"/>
            <w:tcW w:w="2500" w:type="pct"/>
          </w:tcPr>
          <w:p w:rsidR="00241DAF" w:rsidRDefault="00241DAF" w:rsidP="003F5EAC">
            <w:r>
              <w:rPr>
                <w:lang w:val="en-GB"/>
              </w:rPr>
              <w:t>2025</w:t>
            </w:r>
          </w:p>
        </w:tc>
        <w:tc>
          <w:tcPr>
            <w:tcW w:w="2500" w:type="pct"/>
          </w:tcPr>
          <w:p w:rsidR="00241DAF" w:rsidRDefault="00241DAF" w:rsidP="003F5EAC">
            <w:pPr>
              <w:cnfStyle w:val="000000000000" w:firstRow="0" w:lastRow="0" w:firstColumn="0" w:lastColumn="0" w:oddVBand="0" w:evenVBand="0" w:oddHBand="0" w:evenHBand="0" w:firstRowFirstColumn="0" w:firstRowLastColumn="0" w:lastRowFirstColumn="0" w:lastRowLastColumn="0"/>
            </w:pPr>
            <w:r>
              <w:rPr>
                <w:lang w:val="en-GB"/>
              </w:rPr>
              <w:t>First evaluation of the Strategy (report to be released in 2026).</w:t>
            </w:r>
          </w:p>
        </w:tc>
      </w:tr>
      <w:tr w:rsidR="003F5EAC" w:rsidTr="003F5EAC">
        <w:trPr>
          <w:trHeight w:val="113"/>
        </w:trPr>
        <w:tc>
          <w:tcPr>
            <w:cnfStyle w:val="001000000000" w:firstRow="0" w:lastRow="0" w:firstColumn="1" w:lastColumn="0" w:oddVBand="0" w:evenVBand="0" w:oddHBand="0" w:evenHBand="0" w:firstRowFirstColumn="0" w:firstRowLastColumn="0" w:lastRowFirstColumn="0" w:lastRowLastColumn="0"/>
            <w:tcW w:w="2500" w:type="pct"/>
          </w:tcPr>
          <w:p w:rsidR="00241DAF" w:rsidRDefault="00241DAF" w:rsidP="003F5EAC">
            <w:r>
              <w:rPr>
                <w:lang w:val="en-GB"/>
              </w:rPr>
              <w:t>2029</w:t>
            </w:r>
          </w:p>
        </w:tc>
        <w:tc>
          <w:tcPr>
            <w:tcW w:w="2500" w:type="pct"/>
          </w:tcPr>
          <w:p w:rsidR="00241DAF" w:rsidRDefault="00241DAF" w:rsidP="003F5EAC">
            <w:pPr>
              <w:cnfStyle w:val="000000000000" w:firstRow="0" w:lastRow="0" w:firstColumn="0" w:lastColumn="0" w:oddVBand="0" w:evenVBand="0" w:oddHBand="0" w:evenHBand="0" w:firstRowFirstColumn="0" w:firstRowLastColumn="0" w:lastRowFirstColumn="0" w:lastRowLastColumn="0"/>
            </w:pPr>
            <w:r>
              <w:rPr>
                <w:lang w:val="en-GB"/>
              </w:rPr>
              <w:t>Final evaluation of the Strategy.</w:t>
            </w:r>
          </w:p>
        </w:tc>
      </w:tr>
    </w:tbl>
    <w:p w:rsidR="00241DAF" w:rsidRDefault="00241DAF" w:rsidP="00AA769E">
      <w:pPr>
        <w:rPr>
          <w:lang w:val="en-GB"/>
        </w:rPr>
      </w:pPr>
    </w:p>
    <w:p w:rsidR="00241DAF" w:rsidRDefault="00241DAF" w:rsidP="00AA769E">
      <w:pPr>
        <w:pStyle w:val="Heading1"/>
        <w:rPr>
          <w:lang w:val="en-GB"/>
        </w:rPr>
      </w:pPr>
      <w:bookmarkStart w:id="9" w:name="_Toc121849759"/>
      <w:r>
        <w:rPr>
          <w:lang w:val="en-GB"/>
        </w:rPr>
        <w:lastRenderedPageBreak/>
        <w:t>3. Data Management</w:t>
      </w:r>
      <w:bookmarkEnd w:id="9"/>
    </w:p>
    <w:p w:rsidR="00241DAF" w:rsidRDefault="00241DAF" w:rsidP="00AA769E">
      <w:pPr>
        <w:pStyle w:val="Heading2"/>
        <w:rPr>
          <w:lang w:val="en-GB"/>
        </w:rPr>
      </w:pPr>
      <w:bookmarkStart w:id="10" w:name="_Toc121849760"/>
      <w:r>
        <w:rPr>
          <w:lang w:val="en-GB"/>
        </w:rPr>
        <w:t>3.1</w:t>
      </w:r>
      <w:r w:rsidR="00466983">
        <w:rPr>
          <w:lang w:val="en-GB"/>
        </w:rPr>
        <w:t xml:space="preserve"> </w:t>
      </w:r>
      <w:r>
        <w:rPr>
          <w:lang w:val="en-GB"/>
        </w:rPr>
        <w:t>Data Governance</w:t>
      </w:r>
      <w:bookmarkEnd w:id="10"/>
    </w:p>
    <w:p w:rsidR="00241DAF" w:rsidRDefault="00241DAF" w:rsidP="00AA769E">
      <w:pPr>
        <w:rPr>
          <w:lang w:val="en-GB"/>
        </w:rPr>
      </w:pPr>
      <w:r>
        <w:rPr>
          <w:lang w:val="en-GB"/>
        </w:rPr>
        <w:t>Data governance is the process of managing the availability, usability, integrity and security of the data in systems, based on data standards and policies. Effective data governance ensures that data is consistent, trustworthy, securely stored and not misused.</w:t>
      </w:r>
    </w:p>
    <w:p w:rsidR="00241DAF" w:rsidRDefault="00241DAF" w:rsidP="00AA769E">
      <w:pPr>
        <w:rPr>
          <w:lang w:val="en-GB"/>
        </w:rPr>
      </w:pPr>
      <w:r>
        <w:rPr>
          <w:lang w:val="en-GB"/>
        </w:rPr>
        <w:t xml:space="preserve">High-quality data governance will improve decision-making and enable collaboration across Australian, state and territory governments. It will help governments measure the impact of the services they deliver for people with </w:t>
      </w:r>
      <w:r w:rsidR="00EF1D2C">
        <w:rPr>
          <w:lang w:val="en-GB"/>
        </w:rPr>
        <w:t>disability</w:t>
      </w:r>
      <w:r>
        <w:rPr>
          <w:lang w:val="en-GB"/>
        </w:rPr>
        <w:t>.</w:t>
      </w:r>
    </w:p>
    <w:p w:rsidR="00241DAF" w:rsidRDefault="00241DAF" w:rsidP="00AA769E">
      <w:pPr>
        <w:rPr>
          <w:lang w:val="en-GB"/>
        </w:rPr>
      </w:pPr>
      <w:r>
        <w:rPr>
          <w:lang w:val="en-GB"/>
        </w:rPr>
        <w:t>Data used in the Outcomes Framework comes from a variety of collections. The custodians of these collections are Australian, state and territory government agencies. All data custodians are</w:t>
      </w:r>
      <w:r w:rsidR="00AA769E">
        <w:rPr>
          <w:lang w:val="en-GB"/>
        </w:rPr>
        <w:t xml:space="preserve"> </w:t>
      </w:r>
      <w:r>
        <w:rPr>
          <w:lang w:val="en-GB"/>
        </w:rPr>
        <w:t>responsible for ensuring that the data supplied for Outcome measures is, as far as possible, of</w:t>
      </w:r>
      <w:r w:rsidR="00AA769E">
        <w:rPr>
          <w:lang w:val="en-GB"/>
        </w:rPr>
        <w:t xml:space="preserve"> </w:t>
      </w:r>
      <w:r>
        <w:rPr>
          <w:lang w:val="en-GB"/>
        </w:rPr>
        <w:t>high quality with respect to the dimensions in Table 3.</w:t>
      </w:r>
    </w:p>
    <w:p w:rsidR="00241DAF" w:rsidRDefault="00241DAF" w:rsidP="00AA769E">
      <w:pPr>
        <w:rPr>
          <w:lang w:val="en-GB"/>
        </w:rPr>
      </w:pPr>
      <w:r>
        <w:rPr>
          <w:lang w:val="en-GB"/>
        </w:rPr>
        <w:t>It is important that all custodians of data used for the Outcomes Framework comply with legislative privacy obligations and data storage and security policies. Data custodians will work</w:t>
      </w:r>
      <w:r w:rsidR="00AA769E">
        <w:rPr>
          <w:lang w:val="en-GB"/>
        </w:rPr>
        <w:t xml:space="preserve"> </w:t>
      </w:r>
      <w:r>
        <w:rPr>
          <w:lang w:val="en-GB"/>
        </w:rPr>
        <w:t xml:space="preserve">with the AIHW to ensure the ongoing privacy and security of the data. </w:t>
      </w:r>
    </w:p>
    <w:p w:rsidR="00241DAF" w:rsidRDefault="00241DAF" w:rsidP="00AA769E">
      <w:pPr>
        <w:rPr>
          <w:lang w:val="en-GB"/>
        </w:rPr>
      </w:pPr>
      <w:r>
        <w:rPr>
          <w:lang w:val="en-GB"/>
        </w:rPr>
        <w:t xml:space="preserve">People with disability are central to the Strategy and this DIP. Engagement will continue with people with disability and intersectional groups such as First Nations people with disability, people with disability from culturally and linguistically diverse communities and women with disability. </w:t>
      </w:r>
      <w:hyperlink r:id="rId15" w:history="1">
        <w:r>
          <w:rPr>
            <w:rStyle w:val="Hyperlink"/>
            <w:lang w:val="en-GB"/>
          </w:rPr>
          <w:t>Disability Representative Organisations</w:t>
        </w:r>
      </w:hyperlink>
      <w:r>
        <w:rPr>
          <w:lang w:val="en-GB"/>
        </w:rPr>
        <w:t xml:space="preserve"> are key to this process.</w:t>
      </w:r>
    </w:p>
    <w:p w:rsidR="00241DAF" w:rsidRDefault="00241DAF" w:rsidP="00AA769E">
      <w:pPr>
        <w:rPr>
          <w:lang w:val="en-GB"/>
        </w:rPr>
      </w:pPr>
      <w:r>
        <w:rPr>
          <w:lang w:val="en-GB"/>
        </w:rPr>
        <w:t>Multi-jurisdictional arrangements are needed to deliver data for the Outcomes Framework. Final</w:t>
      </w:r>
      <w:r w:rsidR="00AA769E">
        <w:rPr>
          <w:lang w:val="en-GB"/>
        </w:rPr>
        <w:t xml:space="preserve"> </w:t>
      </w:r>
      <w:r>
        <w:rPr>
          <w:lang w:val="en-GB"/>
        </w:rPr>
        <w:t>decisions regarding data improvement sit with Disability Reform Ministers.</w:t>
      </w:r>
    </w:p>
    <w:p w:rsidR="00241DAF" w:rsidRDefault="00241DAF" w:rsidP="00AA769E">
      <w:pPr>
        <w:pStyle w:val="Heading2"/>
        <w:rPr>
          <w:lang w:val="en-GB"/>
        </w:rPr>
      </w:pPr>
      <w:bookmarkStart w:id="11" w:name="_Toc121849761"/>
      <w:r>
        <w:rPr>
          <w:lang w:val="en-GB"/>
        </w:rPr>
        <w:t>3.2</w:t>
      </w:r>
      <w:r w:rsidR="00466983">
        <w:rPr>
          <w:lang w:val="en-GB"/>
        </w:rPr>
        <w:t xml:space="preserve"> </w:t>
      </w:r>
      <w:r>
        <w:rPr>
          <w:lang w:val="en-GB"/>
        </w:rPr>
        <w:t>Data Quality</w:t>
      </w:r>
      <w:bookmarkEnd w:id="11"/>
    </w:p>
    <w:p w:rsidR="00241DAF" w:rsidRDefault="00241DAF" w:rsidP="00AA769E">
      <w:pPr>
        <w:rPr>
          <w:lang w:val="en-GB"/>
        </w:rPr>
      </w:pPr>
      <w:r>
        <w:rPr>
          <w:lang w:val="en-GB"/>
        </w:rPr>
        <w:t>Data used to report against the Outcomes Framework will be of high quality. To ensure this, data</w:t>
      </w:r>
      <w:r w:rsidR="00AA769E">
        <w:rPr>
          <w:lang w:val="en-GB"/>
        </w:rPr>
        <w:t xml:space="preserve"> </w:t>
      </w:r>
      <w:r>
        <w:rPr>
          <w:lang w:val="en-GB"/>
        </w:rPr>
        <w:t xml:space="preserve">will be assessed against the </w:t>
      </w:r>
      <w:hyperlink r:id="rId16" w:history="1">
        <w:r>
          <w:rPr>
            <w:rStyle w:val="Hyperlink"/>
            <w:lang w:val="en-GB"/>
          </w:rPr>
          <w:t>Australian Bureau of Statistics’ (ABS) Data Quality Framework</w:t>
        </w:r>
      </w:hyperlink>
      <w:r>
        <w:rPr>
          <w:lang w:val="en-GB"/>
        </w:rPr>
        <w:t xml:space="preserve">. A data dictionary in the </w:t>
      </w:r>
      <w:hyperlink r:id="rId17" w:history="1">
        <w:r>
          <w:rPr>
            <w:rStyle w:val="Hyperlink"/>
            <w:lang w:val="en-GB"/>
          </w:rPr>
          <w:t>Outcomes Framework webpages</w:t>
        </w:r>
      </w:hyperlink>
      <w:r>
        <w:rPr>
          <w:lang w:val="en-GB"/>
        </w:rPr>
        <w:t xml:space="preserve"> and in the Outcomes Framework annual reports will provide additional data quality information.</w:t>
      </w:r>
    </w:p>
    <w:p w:rsidR="00241DAF" w:rsidRDefault="00241DAF" w:rsidP="00AA769E">
      <w:pPr>
        <w:rPr>
          <w:lang w:val="en-GB"/>
        </w:rPr>
      </w:pPr>
      <w:r>
        <w:rPr>
          <w:lang w:val="en-GB"/>
        </w:rPr>
        <w:t>The ABS Data Quality Framework helps custodians make informed decisions about the quality</w:t>
      </w:r>
      <w:r w:rsidR="00AA769E">
        <w:rPr>
          <w:lang w:val="en-GB"/>
        </w:rPr>
        <w:t xml:space="preserve"> </w:t>
      </w:r>
      <w:r>
        <w:rPr>
          <w:lang w:val="en-GB"/>
        </w:rPr>
        <w:t>of</w:t>
      </w:r>
      <w:r w:rsidR="00AA769E">
        <w:rPr>
          <w:lang w:val="en-GB"/>
        </w:rPr>
        <w:t xml:space="preserve"> </w:t>
      </w:r>
      <w:r>
        <w:rPr>
          <w:lang w:val="en-GB"/>
        </w:rPr>
        <w:t>their data. It provides standards for assessing and reporting on the quality of statistical</w:t>
      </w:r>
      <w:r w:rsidR="00AA769E">
        <w:rPr>
          <w:lang w:val="en-GB"/>
        </w:rPr>
        <w:t xml:space="preserve"> </w:t>
      </w:r>
      <w:r>
        <w:rPr>
          <w:lang w:val="en-GB"/>
        </w:rPr>
        <w:t xml:space="preserve">information. </w:t>
      </w:r>
    </w:p>
    <w:p w:rsidR="00241DAF" w:rsidRPr="00AA769E" w:rsidRDefault="00241DAF" w:rsidP="00AA769E">
      <w:pPr>
        <w:pStyle w:val="TableTitle"/>
      </w:pPr>
      <w:bookmarkStart w:id="12" w:name="_Toc121849762"/>
      <w:r w:rsidRPr="00AA769E">
        <w:lastRenderedPageBreak/>
        <w:t>Data Quality Dimensions</w:t>
      </w:r>
      <w:bookmarkEnd w:id="12"/>
    </w:p>
    <w:tbl>
      <w:tblPr>
        <w:tblStyle w:val="DSSADSTable1"/>
        <w:tblW w:w="9618" w:type="dxa"/>
        <w:tblLayout w:type="fixed"/>
        <w:tblLook w:val="06A0" w:firstRow="1" w:lastRow="0" w:firstColumn="1" w:lastColumn="0" w:noHBand="1" w:noVBand="1"/>
      </w:tblPr>
      <w:tblGrid>
        <w:gridCol w:w="3335"/>
        <w:gridCol w:w="6283"/>
      </w:tblGrid>
      <w:tr w:rsidR="00241DAF" w:rsidTr="003315D6">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3335" w:type="dxa"/>
          </w:tcPr>
          <w:p w:rsidR="00241DAF" w:rsidRDefault="00241DAF" w:rsidP="00AA769E">
            <w:r>
              <w:rPr>
                <w:lang w:val="en-GB"/>
              </w:rPr>
              <w:t>Dimension</w:t>
            </w:r>
          </w:p>
        </w:tc>
        <w:tc>
          <w:tcPr>
            <w:tcW w:w="6283" w:type="dxa"/>
          </w:tcPr>
          <w:p w:rsidR="00241DAF" w:rsidRDefault="00241DAF" w:rsidP="00AA769E">
            <w:pPr>
              <w:cnfStyle w:val="100000000000" w:firstRow="1" w:lastRow="0" w:firstColumn="0" w:lastColumn="0" w:oddVBand="0" w:evenVBand="0" w:oddHBand="0" w:evenHBand="0" w:firstRowFirstColumn="0" w:firstRowLastColumn="0" w:lastRowFirstColumn="0" w:lastRowLastColumn="0"/>
            </w:pPr>
            <w:r>
              <w:rPr>
                <w:lang w:val="en-GB"/>
              </w:rPr>
              <w:t>Description</w:t>
            </w:r>
          </w:p>
        </w:tc>
      </w:tr>
      <w:tr w:rsidR="00241DAF" w:rsidTr="003315D6">
        <w:trPr>
          <w:trHeight w:val="113"/>
        </w:trPr>
        <w:tc>
          <w:tcPr>
            <w:cnfStyle w:val="001000000000" w:firstRow="0" w:lastRow="0" w:firstColumn="1" w:lastColumn="0" w:oddVBand="0" w:evenVBand="0" w:oddHBand="0" w:evenHBand="0" w:firstRowFirstColumn="0" w:firstRowLastColumn="0" w:lastRowFirstColumn="0" w:lastRowLastColumn="0"/>
            <w:tcW w:w="3335" w:type="dxa"/>
            <w:tcBorders>
              <w:top w:val="single" w:sz="4" w:space="0" w:color="FFFFFF" w:themeColor="background1"/>
            </w:tcBorders>
          </w:tcPr>
          <w:p w:rsidR="00241DAF" w:rsidRDefault="00241DAF" w:rsidP="00AA769E">
            <w:r>
              <w:rPr>
                <w:lang w:val="en-GB"/>
              </w:rPr>
              <w:t>Institutional Environment</w:t>
            </w:r>
          </w:p>
        </w:tc>
        <w:tc>
          <w:tcPr>
            <w:tcW w:w="6283" w:type="dxa"/>
          </w:tcPr>
          <w:p w:rsidR="00241DAF" w:rsidRDefault="00241DAF" w:rsidP="00AA769E">
            <w:pPr>
              <w:cnfStyle w:val="000000000000" w:firstRow="0" w:lastRow="0" w:firstColumn="0" w:lastColumn="0" w:oddVBand="0" w:evenVBand="0" w:oddHBand="0" w:evenHBand="0" w:firstRowFirstColumn="0" w:firstRowLastColumn="0" w:lastRowFirstColumn="0" w:lastRowLastColumn="0"/>
            </w:pPr>
            <w:r>
              <w:rPr>
                <w:lang w:val="en-GB"/>
              </w:rPr>
              <w:t>The institutional and organisational factors, including privacy considerations, that may have a significant influence on the</w:t>
            </w:r>
            <w:r w:rsidR="00AA769E">
              <w:rPr>
                <w:lang w:val="en-GB"/>
              </w:rPr>
              <w:t xml:space="preserve"> </w:t>
            </w:r>
            <w:r>
              <w:rPr>
                <w:lang w:val="en-GB"/>
              </w:rPr>
              <w:t>effectiveness and credibility of the agency producing the</w:t>
            </w:r>
            <w:r w:rsidR="00AA769E">
              <w:rPr>
                <w:lang w:val="en-GB"/>
              </w:rPr>
              <w:t xml:space="preserve"> </w:t>
            </w:r>
            <w:r>
              <w:rPr>
                <w:lang w:val="en-GB"/>
              </w:rPr>
              <w:t>statistics.</w:t>
            </w:r>
          </w:p>
        </w:tc>
      </w:tr>
      <w:tr w:rsidR="00241DAF" w:rsidTr="003315D6">
        <w:trPr>
          <w:trHeight w:val="113"/>
        </w:trPr>
        <w:tc>
          <w:tcPr>
            <w:cnfStyle w:val="001000000000" w:firstRow="0" w:lastRow="0" w:firstColumn="1" w:lastColumn="0" w:oddVBand="0" w:evenVBand="0" w:oddHBand="0" w:evenHBand="0" w:firstRowFirstColumn="0" w:firstRowLastColumn="0" w:lastRowFirstColumn="0" w:lastRowLastColumn="0"/>
            <w:tcW w:w="3335" w:type="dxa"/>
            <w:tcBorders>
              <w:top w:val="single" w:sz="4" w:space="0" w:color="FFFFFF" w:themeColor="background1"/>
            </w:tcBorders>
          </w:tcPr>
          <w:p w:rsidR="00241DAF" w:rsidRDefault="00241DAF" w:rsidP="00AA769E">
            <w:r>
              <w:rPr>
                <w:lang w:val="en-GB"/>
              </w:rPr>
              <w:t>Relevance</w:t>
            </w:r>
          </w:p>
        </w:tc>
        <w:tc>
          <w:tcPr>
            <w:tcW w:w="6283" w:type="dxa"/>
          </w:tcPr>
          <w:p w:rsidR="00241DAF" w:rsidRDefault="00241DAF" w:rsidP="00AA769E">
            <w:pPr>
              <w:cnfStyle w:val="000000000000" w:firstRow="0" w:lastRow="0" w:firstColumn="0" w:lastColumn="0" w:oddVBand="0" w:evenVBand="0" w:oddHBand="0" w:evenHBand="0" w:firstRowFirstColumn="0" w:firstRowLastColumn="0" w:lastRowFirstColumn="0" w:lastRowLastColumn="0"/>
            </w:pPr>
            <w:r>
              <w:rPr>
                <w:lang w:val="en-GB"/>
              </w:rPr>
              <w:t>How well the statistical product or release meets the needs of users in terms of the concept(s) measured and the population(s) represented.</w:t>
            </w:r>
          </w:p>
        </w:tc>
      </w:tr>
      <w:tr w:rsidR="00241DAF" w:rsidTr="003315D6">
        <w:trPr>
          <w:trHeight w:val="113"/>
        </w:trPr>
        <w:tc>
          <w:tcPr>
            <w:cnfStyle w:val="001000000000" w:firstRow="0" w:lastRow="0" w:firstColumn="1" w:lastColumn="0" w:oddVBand="0" w:evenVBand="0" w:oddHBand="0" w:evenHBand="0" w:firstRowFirstColumn="0" w:firstRowLastColumn="0" w:lastRowFirstColumn="0" w:lastRowLastColumn="0"/>
            <w:tcW w:w="3335" w:type="dxa"/>
            <w:tcBorders>
              <w:top w:val="single" w:sz="4" w:space="0" w:color="FFFFFF" w:themeColor="background1"/>
            </w:tcBorders>
          </w:tcPr>
          <w:p w:rsidR="00241DAF" w:rsidRDefault="00241DAF" w:rsidP="00AA769E">
            <w:r>
              <w:rPr>
                <w:lang w:val="en-GB"/>
              </w:rPr>
              <w:t>Timeliness</w:t>
            </w:r>
          </w:p>
        </w:tc>
        <w:tc>
          <w:tcPr>
            <w:tcW w:w="6283" w:type="dxa"/>
          </w:tcPr>
          <w:p w:rsidR="00241DAF" w:rsidRDefault="00241DAF" w:rsidP="00AA769E">
            <w:pPr>
              <w:cnfStyle w:val="000000000000" w:firstRow="0" w:lastRow="0" w:firstColumn="0" w:lastColumn="0" w:oddVBand="0" w:evenVBand="0" w:oddHBand="0" w:evenHBand="0" w:firstRowFirstColumn="0" w:firstRowLastColumn="0" w:lastRowFirstColumn="0" w:lastRowLastColumn="0"/>
            </w:pPr>
            <w:r>
              <w:rPr>
                <w:lang w:val="en-GB"/>
              </w:rPr>
              <w:t>The delay between the reference period (to which the data pertains) and the date at which the data becomes available; and the delay between the advertised date and the date at which the data becomes available.</w:t>
            </w:r>
          </w:p>
        </w:tc>
      </w:tr>
      <w:tr w:rsidR="00241DAF" w:rsidTr="003315D6">
        <w:trPr>
          <w:trHeight w:val="113"/>
        </w:trPr>
        <w:tc>
          <w:tcPr>
            <w:cnfStyle w:val="001000000000" w:firstRow="0" w:lastRow="0" w:firstColumn="1" w:lastColumn="0" w:oddVBand="0" w:evenVBand="0" w:oddHBand="0" w:evenHBand="0" w:firstRowFirstColumn="0" w:firstRowLastColumn="0" w:lastRowFirstColumn="0" w:lastRowLastColumn="0"/>
            <w:tcW w:w="3335" w:type="dxa"/>
            <w:tcBorders>
              <w:top w:val="single" w:sz="4" w:space="0" w:color="FFFFFF" w:themeColor="background1"/>
            </w:tcBorders>
          </w:tcPr>
          <w:p w:rsidR="00241DAF" w:rsidRDefault="00241DAF" w:rsidP="00AA769E">
            <w:r>
              <w:rPr>
                <w:lang w:val="en-GB"/>
              </w:rPr>
              <w:t>Accuracy</w:t>
            </w:r>
          </w:p>
        </w:tc>
        <w:tc>
          <w:tcPr>
            <w:tcW w:w="6283" w:type="dxa"/>
          </w:tcPr>
          <w:p w:rsidR="00241DAF" w:rsidRDefault="00241DAF" w:rsidP="00AA769E">
            <w:pPr>
              <w:cnfStyle w:val="000000000000" w:firstRow="0" w:lastRow="0" w:firstColumn="0" w:lastColumn="0" w:oddVBand="0" w:evenVBand="0" w:oddHBand="0" w:evenHBand="0" w:firstRowFirstColumn="0" w:firstRowLastColumn="0" w:lastRowFirstColumn="0" w:lastRowLastColumn="0"/>
            </w:pPr>
            <w:r>
              <w:rPr>
                <w:lang w:val="en-GB"/>
              </w:rPr>
              <w:t>The degree to which the data correctly describes the phenomenon it is designed to measure.</w:t>
            </w:r>
          </w:p>
        </w:tc>
      </w:tr>
      <w:tr w:rsidR="00241DAF" w:rsidTr="003315D6">
        <w:trPr>
          <w:trHeight w:val="113"/>
        </w:trPr>
        <w:tc>
          <w:tcPr>
            <w:cnfStyle w:val="001000000000" w:firstRow="0" w:lastRow="0" w:firstColumn="1" w:lastColumn="0" w:oddVBand="0" w:evenVBand="0" w:oddHBand="0" w:evenHBand="0" w:firstRowFirstColumn="0" w:firstRowLastColumn="0" w:lastRowFirstColumn="0" w:lastRowLastColumn="0"/>
            <w:tcW w:w="3335" w:type="dxa"/>
            <w:tcBorders>
              <w:top w:val="single" w:sz="4" w:space="0" w:color="FFFFFF" w:themeColor="background1"/>
            </w:tcBorders>
          </w:tcPr>
          <w:p w:rsidR="00241DAF" w:rsidRDefault="00241DAF" w:rsidP="00AA769E">
            <w:r>
              <w:rPr>
                <w:lang w:val="en-GB"/>
              </w:rPr>
              <w:t>Coherence</w:t>
            </w:r>
          </w:p>
        </w:tc>
        <w:tc>
          <w:tcPr>
            <w:tcW w:w="6283" w:type="dxa"/>
          </w:tcPr>
          <w:p w:rsidR="00241DAF" w:rsidRDefault="00241DAF" w:rsidP="00AA769E">
            <w:pPr>
              <w:cnfStyle w:val="000000000000" w:firstRow="0" w:lastRow="0" w:firstColumn="0" w:lastColumn="0" w:oddVBand="0" w:evenVBand="0" w:oddHBand="0" w:evenHBand="0" w:firstRowFirstColumn="0" w:firstRowLastColumn="0" w:lastRowFirstColumn="0" w:lastRowLastColumn="0"/>
            </w:pPr>
            <w:r>
              <w:rPr>
                <w:lang w:val="en-GB"/>
              </w:rPr>
              <w:t>The internal consistency of a statistical collection, product or</w:t>
            </w:r>
            <w:r w:rsidR="00AA769E">
              <w:rPr>
                <w:lang w:val="en-GB"/>
              </w:rPr>
              <w:t xml:space="preserve"> </w:t>
            </w:r>
            <w:r>
              <w:rPr>
                <w:lang w:val="en-GB"/>
              </w:rPr>
              <w:t>release, as well as its comparability with other sources of information, within a broad analytical framework and over</w:t>
            </w:r>
            <w:r w:rsidR="00AA769E">
              <w:rPr>
                <w:lang w:val="en-GB"/>
              </w:rPr>
              <w:t xml:space="preserve"> </w:t>
            </w:r>
            <w:r>
              <w:rPr>
                <w:lang w:val="en-GB"/>
              </w:rPr>
              <w:t>time.</w:t>
            </w:r>
          </w:p>
        </w:tc>
      </w:tr>
      <w:tr w:rsidR="00241DAF" w:rsidTr="003315D6">
        <w:trPr>
          <w:trHeight w:val="113"/>
        </w:trPr>
        <w:tc>
          <w:tcPr>
            <w:cnfStyle w:val="001000000000" w:firstRow="0" w:lastRow="0" w:firstColumn="1" w:lastColumn="0" w:oddVBand="0" w:evenVBand="0" w:oddHBand="0" w:evenHBand="0" w:firstRowFirstColumn="0" w:firstRowLastColumn="0" w:lastRowFirstColumn="0" w:lastRowLastColumn="0"/>
            <w:tcW w:w="3335" w:type="dxa"/>
            <w:tcBorders>
              <w:top w:val="single" w:sz="4" w:space="0" w:color="FFFFFF" w:themeColor="background1"/>
            </w:tcBorders>
          </w:tcPr>
          <w:p w:rsidR="00241DAF" w:rsidRDefault="00241DAF" w:rsidP="00AA769E">
            <w:r>
              <w:rPr>
                <w:lang w:val="en-GB"/>
              </w:rPr>
              <w:t>Interpretability</w:t>
            </w:r>
          </w:p>
        </w:tc>
        <w:tc>
          <w:tcPr>
            <w:tcW w:w="6283" w:type="dxa"/>
          </w:tcPr>
          <w:p w:rsidR="00241DAF" w:rsidRDefault="00241DAF" w:rsidP="00AA769E">
            <w:pPr>
              <w:cnfStyle w:val="000000000000" w:firstRow="0" w:lastRow="0" w:firstColumn="0" w:lastColumn="0" w:oddVBand="0" w:evenVBand="0" w:oddHBand="0" w:evenHBand="0" w:firstRowFirstColumn="0" w:firstRowLastColumn="0" w:lastRowFirstColumn="0" w:lastRowLastColumn="0"/>
            </w:pPr>
            <w:r>
              <w:rPr>
                <w:lang w:val="en-GB"/>
              </w:rPr>
              <w:t>The availability of information to help provide insight into the</w:t>
            </w:r>
            <w:r w:rsidR="00AA769E">
              <w:rPr>
                <w:lang w:val="en-GB"/>
              </w:rPr>
              <w:t xml:space="preserve"> </w:t>
            </w:r>
            <w:r>
              <w:rPr>
                <w:lang w:val="en-GB"/>
              </w:rPr>
              <w:t>data.</w:t>
            </w:r>
          </w:p>
        </w:tc>
      </w:tr>
      <w:tr w:rsidR="00241DAF" w:rsidTr="003315D6">
        <w:trPr>
          <w:trHeight w:val="113"/>
        </w:trPr>
        <w:tc>
          <w:tcPr>
            <w:cnfStyle w:val="001000000000" w:firstRow="0" w:lastRow="0" w:firstColumn="1" w:lastColumn="0" w:oddVBand="0" w:evenVBand="0" w:oddHBand="0" w:evenHBand="0" w:firstRowFirstColumn="0" w:firstRowLastColumn="0" w:lastRowFirstColumn="0" w:lastRowLastColumn="0"/>
            <w:tcW w:w="3335" w:type="dxa"/>
            <w:tcBorders>
              <w:top w:val="single" w:sz="4" w:space="0" w:color="FFFFFF" w:themeColor="background1"/>
            </w:tcBorders>
          </w:tcPr>
          <w:p w:rsidR="00241DAF" w:rsidRDefault="00241DAF" w:rsidP="00AA769E">
            <w:r>
              <w:rPr>
                <w:lang w:val="en-GB"/>
              </w:rPr>
              <w:t>Accessibility</w:t>
            </w:r>
          </w:p>
        </w:tc>
        <w:tc>
          <w:tcPr>
            <w:tcW w:w="6283" w:type="dxa"/>
          </w:tcPr>
          <w:p w:rsidR="00241DAF" w:rsidRDefault="00241DAF" w:rsidP="00AA769E">
            <w:pPr>
              <w:cnfStyle w:val="000000000000" w:firstRow="0" w:lastRow="0" w:firstColumn="0" w:lastColumn="0" w:oddVBand="0" w:evenVBand="0" w:oddHBand="0" w:evenHBand="0" w:firstRowFirstColumn="0" w:firstRowLastColumn="0" w:lastRowFirstColumn="0" w:lastRowLastColumn="0"/>
            </w:pPr>
            <w:r>
              <w:rPr>
                <w:lang w:val="en-GB"/>
              </w:rPr>
              <w:t>The ease of access to data by users, including the ease with which the existence of information can be ascertained, as well as the suitability of the form or medium through which information can be accessed.</w:t>
            </w:r>
          </w:p>
        </w:tc>
      </w:tr>
    </w:tbl>
    <w:p w:rsidR="00241DAF" w:rsidRDefault="00241DAF" w:rsidP="00AA769E">
      <w:pPr>
        <w:rPr>
          <w:lang w:val="en-GB"/>
        </w:rPr>
      </w:pPr>
    </w:p>
    <w:p w:rsidR="00241DAF" w:rsidRDefault="00241DAF" w:rsidP="00AA769E">
      <w:pPr>
        <w:pStyle w:val="Heading1"/>
        <w:rPr>
          <w:lang w:val="en-GB"/>
        </w:rPr>
      </w:pPr>
      <w:bookmarkStart w:id="13" w:name="_Toc121849763"/>
      <w:r>
        <w:rPr>
          <w:lang w:val="en-GB"/>
        </w:rPr>
        <w:lastRenderedPageBreak/>
        <w:t>4. Diversity and Intersectionality</w:t>
      </w:r>
      <w:bookmarkEnd w:id="13"/>
    </w:p>
    <w:p w:rsidR="00241DAF" w:rsidRDefault="00241DAF" w:rsidP="00AA769E">
      <w:pPr>
        <w:rPr>
          <w:lang w:val="en-GB"/>
        </w:rPr>
      </w:pPr>
      <w:r>
        <w:rPr>
          <w:lang w:val="en-GB"/>
        </w:rPr>
        <w:t>The Strategy recognises the importance of understanding, acknowledging and celebrating the diversity of the disability community. This includes an understanding of intersectionality, meaning the potential for people to experience disadvantage due to the intersection of their sex, age, race, culture, gender identity, sexual orientation, impairment, disability status, socioeconomic status, religion and other dimensions. These dimensions are connected; each informs the other and they have overlapping and compounding effects.</w:t>
      </w:r>
    </w:p>
    <w:p w:rsidR="00241DAF" w:rsidRDefault="00241DAF" w:rsidP="00AA769E">
      <w:pPr>
        <w:rPr>
          <w:lang w:val="en-GB"/>
        </w:rPr>
      </w:pPr>
      <w:r>
        <w:rPr>
          <w:lang w:val="en-GB"/>
        </w:rPr>
        <w:t xml:space="preserve">The purpose of the Outcomes Framework is to provide comprehensive and visible data to track the progress of the Strategy. It is important that this data can be disaggregated by sociodemographic group and other dimensions. This is also a priority for this DIP. </w:t>
      </w:r>
    </w:p>
    <w:p w:rsidR="00241DAF" w:rsidRDefault="00241DAF" w:rsidP="00AA769E">
      <w:pPr>
        <w:rPr>
          <w:lang w:val="en-GB"/>
        </w:rPr>
      </w:pPr>
      <w:r>
        <w:rPr>
          <w:lang w:val="en-GB"/>
        </w:rPr>
        <w:t xml:space="preserve">At present, the ability to disaggregate data for the launch measures in the Outcomes Framework is limited. This is due to decisions made prior to the Strategy about what information was to be captured on various groups, and sample sizes for survey data. However, data linkage will allow better disaggregation of some of these measures. </w:t>
      </w:r>
    </w:p>
    <w:p w:rsidR="00241DAF" w:rsidRDefault="00241DAF" w:rsidP="00AA769E">
      <w:pPr>
        <w:rPr>
          <w:lang w:val="en-GB"/>
        </w:rPr>
      </w:pPr>
      <w:r>
        <w:rPr>
          <w:lang w:val="en-GB"/>
        </w:rPr>
        <w:t xml:space="preserve">Some data linkage will be possible through existing resources, such as the Multi-Agency Data Integration Project (MADIP). More will become possible with new assets such as the National Disability Data Asset (NDDA). See section 6.6 for more details. </w:t>
      </w:r>
    </w:p>
    <w:p w:rsidR="00241DAF" w:rsidRDefault="00241DAF" w:rsidP="00AA769E">
      <w:pPr>
        <w:rPr>
          <w:lang w:val="en-GB"/>
        </w:rPr>
      </w:pPr>
      <w:r>
        <w:rPr>
          <w:lang w:val="en-GB"/>
        </w:rPr>
        <w:t xml:space="preserve">The ability to disaggregate data in as many ways as possible will be a priority for future measures. This allows data to be used to track progress for sub-groups within the community of people with disability as well as the community as a whole. </w:t>
      </w:r>
    </w:p>
    <w:p w:rsidR="00AA769E" w:rsidRDefault="00AA769E">
      <w:pPr>
        <w:suppressAutoHyphens w:val="0"/>
        <w:rPr>
          <w:lang w:val="en-GB"/>
        </w:rPr>
      </w:pPr>
      <w:r>
        <w:rPr>
          <w:lang w:val="en-GB"/>
        </w:rPr>
        <w:br w:type="page"/>
      </w:r>
    </w:p>
    <w:p w:rsidR="00241DAF" w:rsidRDefault="00241DAF" w:rsidP="00AA769E">
      <w:pPr>
        <w:rPr>
          <w:lang w:val="en-GB"/>
        </w:rPr>
      </w:pPr>
      <w:r>
        <w:rPr>
          <w:lang w:val="en-GB"/>
        </w:rPr>
        <w:lastRenderedPageBreak/>
        <w:t>For example, Australia’s Disability Strategy Survey (Strategy Survey) on community attitudes is the first new data collection to be commissioned to provide data for the Outcomes Framework. Subject to sample size, it will be possible to disaggregate data from this survey by numerous dimensions, including:</w:t>
      </w:r>
    </w:p>
    <w:p w:rsidR="00241DAF" w:rsidRDefault="00241DAF" w:rsidP="00AA769E">
      <w:pPr>
        <w:pStyle w:val="Bullet1"/>
        <w:rPr>
          <w:lang w:val="en-GB"/>
        </w:rPr>
      </w:pPr>
      <w:r>
        <w:rPr>
          <w:lang w:val="en-GB"/>
        </w:rPr>
        <w:t>disability status</w:t>
      </w:r>
    </w:p>
    <w:p w:rsidR="00241DAF" w:rsidRDefault="00241DAF" w:rsidP="00AA769E">
      <w:pPr>
        <w:pStyle w:val="Bullet1"/>
        <w:rPr>
          <w:lang w:val="en-GB"/>
        </w:rPr>
      </w:pPr>
      <w:r>
        <w:rPr>
          <w:lang w:val="en-GB"/>
        </w:rPr>
        <w:t>disability type</w:t>
      </w:r>
    </w:p>
    <w:p w:rsidR="00241DAF" w:rsidRDefault="00241DAF" w:rsidP="00AA769E">
      <w:pPr>
        <w:pStyle w:val="Bullet1"/>
        <w:rPr>
          <w:lang w:val="en-GB"/>
        </w:rPr>
      </w:pPr>
      <w:r>
        <w:rPr>
          <w:lang w:val="en-GB"/>
        </w:rPr>
        <w:t>disability severity</w:t>
      </w:r>
    </w:p>
    <w:p w:rsidR="00241DAF" w:rsidRDefault="00241DAF" w:rsidP="00AA769E">
      <w:pPr>
        <w:pStyle w:val="Bullet1"/>
        <w:rPr>
          <w:lang w:val="en-GB"/>
        </w:rPr>
      </w:pPr>
      <w:r>
        <w:rPr>
          <w:lang w:val="en-GB"/>
        </w:rPr>
        <w:t>carer status</w:t>
      </w:r>
    </w:p>
    <w:p w:rsidR="00241DAF" w:rsidRDefault="00241DAF" w:rsidP="00AA769E">
      <w:pPr>
        <w:pStyle w:val="Bullet1"/>
        <w:rPr>
          <w:lang w:val="en-GB"/>
        </w:rPr>
      </w:pPr>
      <w:r>
        <w:rPr>
          <w:lang w:val="en-GB"/>
        </w:rPr>
        <w:t>location</w:t>
      </w:r>
    </w:p>
    <w:p w:rsidR="00241DAF" w:rsidRDefault="00241DAF" w:rsidP="00AA769E">
      <w:pPr>
        <w:pStyle w:val="Bullet1"/>
        <w:rPr>
          <w:lang w:val="en-GB"/>
        </w:rPr>
      </w:pPr>
      <w:r>
        <w:rPr>
          <w:lang w:val="en-GB"/>
        </w:rPr>
        <w:t>gender</w:t>
      </w:r>
    </w:p>
    <w:p w:rsidR="00241DAF" w:rsidRDefault="00241DAF" w:rsidP="00AA769E">
      <w:pPr>
        <w:pStyle w:val="Bullet1"/>
        <w:rPr>
          <w:lang w:val="en-GB"/>
        </w:rPr>
      </w:pPr>
      <w:r>
        <w:rPr>
          <w:lang w:val="en-GB"/>
        </w:rPr>
        <w:t>age</w:t>
      </w:r>
    </w:p>
    <w:p w:rsidR="00241DAF" w:rsidRDefault="00241DAF" w:rsidP="00AA769E">
      <w:pPr>
        <w:pStyle w:val="Bullet1"/>
        <w:rPr>
          <w:lang w:val="en-GB"/>
        </w:rPr>
      </w:pPr>
      <w:r>
        <w:rPr>
          <w:lang w:val="en-GB"/>
        </w:rPr>
        <w:t>First Nations identification</w:t>
      </w:r>
    </w:p>
    <w:p w:rsidR="00241DAF" w:rsidRDefault="00241DAF" w:rsidP="00AA769E">
      <w:pPr>
        <w:pStyle w:val="Bullet1"/>
        <w:rPr>
          <w:lang w:val="en-GB"/>
        </w:rPr>
      </w:pPr>
      <w:r>
        <w:rPr>
          <w:lang w:val="en-GB"/>
        </w:rPr>
        <w:t>cultural and linguistic diversity</w:t>
      </w:r>
    </w:p>
    <w:p w:rsidR="00241DAF" w:rsidRDefault="00241DAF" w:rsidP="00AA769E">
      <w:pPr>
        <w:pStyle w:val="Bullet1"/>
        <w:rPr>
          <w:lang w:val="en-GB"/>
        </w:rPr>
      </w:pPr>
      <w:r>
        <w:rPr>
          <w:lang w:val="en-GB"/>
        </w:rPr>
        <w:t>sexual orientation</w:t>
      </w:r>
    </w:p>
    <w:p w:rsidR="00241DAF" w:rsidRDefault="00241DAF" w:rsidP="00AA769E">
      <w:pPr>
        <w:pStyle w:val="Bullet1"/>
        <w:rPr>
          <w:lang w:val="en-GB"/>
        </w:rPr>
      </w:pPr>
      <w:r>
        <w:rPr>
          <w:lang w:val="en-GB"/>
        </w:rPr>
        <w:t>household composition</w:t>
      </w:r>
    </w:p>
    <w:p w:rsidR="00241DAF" w:rsidRDefault="00241DAF" w:rsidP="00AA769E">
      <w:pPr>
        <w:pStyle w:val="Bullet1"/>
        <w:rPr>
          <w:lang w:val="en-GB"/>
        </w:rPr>
      </w:pPr>
      <w:r>
        <w:rPr>
          <w:lang w:val="en-GB"/>
        </w:rPr>
        <w:t>education level</w:t>
      </w:r>
    </w:p>
    <w:p w:rsidR="00241DAF" w:rsidRDefault="00241DAF" w:rsidP="00AA769E">
      <w:pPr>
        <w:pStyle w:val="Bullet1"/>
        <w:rPr>
          <w:lang w:val="en-GB"/>
        </w:rPr>
      </w:pPr>
      <w:r>
        <w:rPr>
          <w:lang w:val="en-GB"/>
        </w:rPr>
        <w:t>employment status</w:t>
      </w:r>
    </w:p>
    <w:p w:rsidR="00241DAF" w:rsidRDefault="00241DAF" w:rsidP="00AA769E">
      <w:pPr>
        <w:pStyle w:val="Bullet1"/>
        <w:rPr>
          <w:lang w:val="en-GB"/>
        </w:rPr>
      </w:pPr>
      <w:r>
        <w:rPr>
          <w:lang w:val="en-GB"/>
        </w:rPr>
        <w:t>industry of employment.</w:t>
      </w:r>
    </w:p>
    <w:p w:rsidR="00241DAF" w:rsidRDefault="00241DAF" w:rsidP="00AA769E">
      <w:pPr>
        <w:rPr>
          <w:lang w:val="en-GB"/>
        </w:rPr>
      </w:pPr>
      <w:r>
        <w:rPr>
          <w:lang w:val="en-GB"/>
        </w:rPr>
        <w:t>For more information see section 6.3.</w:t>
      </w:r>
    </w:p>
    <w:p w:rsidR="00241DAF" w:rsidRDefault="00241DAF" w:rsidP="00AA769E">
      <w:pPr>
        <w:pStyle w:val="Heading1"/>
        <w:rPr>
          <w:lang w:val="en-GB"/>
        </w:rPr>
      </w:pPr>
      <w:bookmarkStart w:id="14" w:name="_Toc121849764"/>
      <w:r>
        <w:rPr>
          <w:lang w:val="en-GB"/>
        </w:rPr>
        <w:lastRenderedPageBreak/>
        <w:t>5. Closing the Gap and</w:t>
      </w:r>
      <w:r w:rsidR="00AA769E">
        <w:rPr>
          <w:lang w:val="en-GB"/>
        </w:rPr>
        <w:t xml:space="preserve"> </w:t>
      </w:r>
      <w:r>
        <w:rPr>
          <w:lang w:val="en-GB"/>
        </w:rPr>
        <w:t>Australia’s Disability</w:t>
      </w:r>
      <w:r w:rsidR="00AA769E">
        <w:rPr>
          <w:lang w:val="en-GB"/>
        </w:rPr>
        <w:t xml:space="preserve"> </w:t>
      </w:r>
      <w:r>
        <w:rPr>
          <w:lang w:val="en-GB"/>
        </w:rPr>
        <w:t>Strategy</w:t>
      </w:r>
      <w:bookmarkEnd w:id="14"/>
    </w:p>
    <w:p w:rsidR="00241DAF" w:rsidRDefault="00241DAF" w:rsidP="00AA769E">
      <w:pPr>
        <w:rPr>
          <w:lang w:val="en-GB"/>
        </w:rPr>
      </w:pPr>
      <w:r>
        <w:rPr>
          <w:lang w:val="en-GB"/>
        </w:rPr>
        <w:t>The National Agreement on Closing the Gap (the National Agreement) and the Strategy have been endorsed by all levels of government. The Strategy and the Outcomes Framework are consistent with the National Agreement. The Outcomes Framework will improve access to data</w:t>
      </w:r>
      <w:r w:rsidR="00AA769E">
        <w:rPr>
          <w:lang w:val="en-GB"/>
        </w:rPr>
        <w:t xml:space="preserve"> </w:t>
      </w:r>
      <w:r>
        <w:rPr>
          <w:lang w:val="en-GB"/>
        </w:rPr>
        <w:t xml:space="preserve">and data capabilities for First Nations people, organisations and communities. </w:t>
      </w:r>
    </w:p>
    <w:p w:rsidR="00241DAF" w:rsidRDefault="00241DAF" w:rsidP="00AA769E">
      <w:pPr>
        <w:rPr>
          <w:lang w:val="en-GB"/>
        </w:rPr>
      </w:pPr>
      <w:r>
        <w:rPr>
          <w:lang w:val="en-GB"/>
        </w:rPr>
        <w:t>The National Agreement has been developed to enable First Nations people and governments to</w:t>
      </w:r>
      <w:r w:rsidR="00AA769E">
        <w:rPr>
          <w:lang w:val="en-GB"/>
        </w:rPr>
        <w:t xml:space="preserve"> </w:t>
      </w:r>
      <w:r>
        <w:rPr>
          <w:lang w:val="en-GB"/>
        </w:rPr>
        <w:t>work together to overcome the inequality experienced by First Nations people and achieve life outcomes equal to all Australians.</w:t>
      </w:r>
    </w:p>
    <w:p w:rsidR="00241DAF" w:rsidRDefault="00241DAF" w:rsidP="00AA769E">
      <w:pPr>
        <w:rPr>
          <w:lang w:val="en-GB"/>
        </w:rPr>
      </w:pPr>
      <w:r>
        <w:rPr>
          <w:lang w:val="en-GB"/>
        </w:rPr>
        <w:t xml:space="preserve">The National Agreement is built around 4 Priority Reforms. The DIP will address Priority Reform Four, </w:t>
      </w:r>
      <w:r w:rsidRPr="00FB234C">
        <w:rPr>
          <w:b/>
          <w:bCs/>
          <w:lang w:val="en-GB"/>
        </w:rPr>
        <w:t>‘Shared Access to Data and Information at a Regional Level’.</w:t>
      </w:r>
      <w:r>
        <w:rPr>
          <w:lang w:val="en-GB"/>
        </w:rPr>
        <w:t xml:space="preserve"> The desired outcome of Priority Reform Four is that First Nations people have access to, and the capability to use, locally relevant data and information to set priorities and monitor the implementation of efforts to close the gap, and drive their own development.</w:t>
      </w:r>
    </w:p>
    <w:p w:rsidR="00241DAF" w:rsidRDefault="00241DAF" w:rsidP="00AA769E">
      <w:pPr>
        <w:rPr>
          <w:lang w:val="en-GB"/>
        </w:rPr>
      </w:pPr>
      <w:r>
        <w:rPr>
          <w:lang w:val="en-GB"/>
        </w:rPr>
        <w:t>Parties to the National Agreement have committed to undertake the following actions under Priority Reform Four:</w:t>
      </w:r>
    </w:p>
    <w:p w:rsidR="00241DAF" w:rsidRDefault="00241DAF" w:rsidP="00AA769E">
      <w:pPr>
        <w:pStyle w:val="Bullet1"/>
        <w:rPr>
          <w:lang w:val="en-GB"/>
        </w:rPr>
      </w:pPr>
      <w:r>
        <w:rPr>
          <w:lang w:val="en-GB"/>
        </w:rPr>
        <w:t>Share available, disaggregated regional data and information with First Nations people, organisations and communities on Closing the Gap, subject to meeting privacy and ethical requirements.</w:t>
      </w:r>
    </w:p>
    <w:p w:rsidR="00241DAF" w:rsidRDefault="00241DAF" w:rsidP="00AA769E">
      <w:pPr>
        <w:pStyle w:val="Bullet1"/>
        <w:rPr>
          <w:lang w:val="en-GB"/>
        </w:rPr>
      </w:pPr>
      <w:r>
        <w:rPr>
          <w:lang w:val="en-GB"/>
        </w:rPr>
        <w:t>Establish partnerships between First Nations people and government agencies to improve collection, access, management and use of data, including identifying improvements to existing data collection and management.</w:t>
      </w:r>
    </w:p>
    <w:p w:rsidR="00241DAF" w:rsidRDefault="00241DAF" w:rsidP="00AA769E">
      <w:pPr>
        <w:pStyle w:val="Bullet1"/>
        <w:rPr>
          <w:lang w:val="en-GB"/>
        </w:rPr>
      </w:pPr>
      <w:r>
        <w:rPr>
          <w:lang w:val="en-GB"/>
        </w:rPr>
        <w:t>Make data more transparent by working with First Nations people to identify and access existing data assets.</w:t>
      </w:r>
    </w:p>
    <w:p w:rsidR="00241DAF" w:rsidRDefault="00241DAF" w:rsidP="00AA769E">
      <w:pPr>
        <w:pStyle w:val="Bullet1"/>
        <w:rPr>
          <w:lang w:val="en-GB"/>
        </w:rPr>
      </w:pPr>
      <w:r>
        <w:rPr>
          <w:lang w:val="en-GB"/>
        </w:rPr>
        <w:t>Build capacity of First Nations people, organisations and communities to collect and use data.</w:t>
      </w:r>
    </w:p>
    <w:p w:rsidR="00241DAF" w:rsidRDefault="00241DAF" w:rsidP="00AA769E">
      <w:pPr>
        <w:pStyle w:val="Bullet1"/>
        <w:rPr>
          <w:lang w:val="en-GB"/>
        </w:rPr>
      </w:pPr>
      <w:r>
        <w:rPr>
          <w:lang w:val="en-GB"/>
        </w:rPr>
        <w:t>Include information in annual reports on action taken to improve access to data and information by First Nations people and organisations.</w:t>
      </w:r>
    </w:p>
    <w:p w:rsidR="00241DAF" w:rsidRDefault="00241DAF" w:rsidP="00AA769E">
      <w:pPr>
        <w:pStyle w:val="Heading1"/>
        <w:rPr>
          <w:lang w:val="en-GB"/>
        </w:rPr>
      </w:pPr>
      <w:bookmarkStart w:id="15" w:name="_Toc121849765"/>
      <w:r>
        <w:rPr>
          <w:lang w:val="en-GB"/>
        </w:rPr>
        <w:lastRenderedPageBreak/>
        <w:t>6. Data</w:t>
      </w:r>
      <w:bookmarkEnd w:id="15"/>
    </w:p>
    <w:p w:rsidR="00241DAF" w:rsidRDefault="00241DAF" w:rsidP="00AA769E">
      <w:pPr>
        <w:pStyle w:val="Heading2"/>
        <w:rPr>
          <w:lang w:val="en-GB"/>
        </w:rPr>
      </w:pPr>
      <w:bookmarkStart w:id="16" w:name="_Toc121849766"/>
      <w:r>
        <w:rPr>
          <w:lang w:val="en-GB"/>
        </w:rPr>
        <w:t>6.1</w:t>
      </w:r>
      <w:r w:rsidR="00466983">
        <w:rPr>
          <w:lang w:val="en-GB"/>
        </w:rPr>
        <w:t xml:space="preserve"> </w:t>
      </w:r>
      <w:r>
        <w:rPr>
          <w:lang w:val="en-GB"/>
        </w:rPr>
        <w:t>Survey of Disability, Ageing and Carers (SDAC)</w:t>
      </w:r>
      <w:bookmarkEnd w:id="16"/>
    </w:p>
    <w:p w:rsidR="00241DAF" w:rsidRDefault="00241DAF" w:rsidP="00AA769E">
      <w:pPr>
        <w:rPr>
          <w:lang w:val="en-GB"/>
        </w:rPr>
      </w:pPr>
      <w:r>
        <w:rPr>
          <w:lang w:val="en-GB"/>
        </w:rPr>
        <w:t xml:space="preserve">The </w:t>
      </w:r>
      <w:hyperlink r:id="rId18" w:history="1">
        <w:r>
          <w:rPr>
            <w:rStyle w:val="Hyperlink"/>
            <w:lang w:val="en-GB"/>
          </w:rPr>
          <w:t>SDAC</w:t>
        </w:r>
      </w:hyperlink>
      <w:r>
        <w:rPr>
          <w:lang w:val="en-GB"/>
        </w:rPr>
        <w:t xml:space="preserve"> is the most comprehensive source of disability survey data in Australia. The survey is designed to: </w:t>
      </w:r>
    </w:p>
    <w:p w:rsidR="00241DAF" w:rsidRDefault="00241DAF" w:rsidP="00AA769E">
      <w:pPr>
        <w:pStyle w:val="Bullet1"/>
        <w:rPr>
          <w:lang w:val="en-GB"/>
        </w:rPr>
      </w:pPr>
      <w:r>
        <w:rPr>
          <w:lang w:val="en-GB"/>
        </w:rPr>
        <w:t>measure disability prevalence</w:t>
      </w:r>
    </w:p>
    <w:p w:rsidR="00241DAF" w:rsidRDefault="00241DAF" w:rsidP="00AA769E">
      <w:pPr>
        <w:pStyle w:val="Bullet1"/>
        <w:rPr>
          <w:lang w:val="en-GB"/>
        </w:rPr>
      </w:pPr>
      <w:r>
        <w:rPr>
          <w:lang w:val="en-GB"/>
        </w:rPr>
        <w:t>quantify the need for support of older people and those with disability</w:t>
      </w:r>
    </w:p>
    <w:p w:rsidR="00241DAF" w:rsidRDefault="00241DAF" w:rsidP="00AA769E">
      <w:pPr>
        <w:pStyle w:val="Bullet1"/>
        <w:rPr>
          <w:lang w:val="en-GB"/>
        </w:rPr>
      </w:pPr>
      <w:r>
        <w:rPr>
          <w:lang w:val="en-GB"/>
        </w:rPr>
        <w:t>provide a demographic and socioeconomic profile of people with disability, older people and</w:t>
      </w:r>
      <w:r w:rsidR="00AA769E">
        <w:rPr>
          <w:lang w:val="en-GB"/>
        </w:rPr>
        <w:t xml:space="preserve"> </w:t>
      </w:r>
      <w:r>
        <w:rPr>
          <w:lang w:val="en-GB"/>
        </w:rPr>
        <w:t xml:space="preserve">carers </w:t>
      </w:r>
    </w:p>
    <w:p w:rsidR="00241DAF" w:rsidRDefault="00241DAF" w:rsidP="00AA769E">
      <w:pPr>
        <w:pStyle w:val="Bullet1"/>
        <w:rPr>
          <w:lang w:val="en-GB"/>
        </w:rPr>
      </w:pPr>
      <w:r>
        <w:rPr>
          <w:lang w:val="en-GB"/>
        </w:rPr>
        <w:t xml:space="preserve">provide information about and estimate the number of people who provide unpaid care to people with disability and older people. </w:t>
      </w:r>
    </w:p>
    <w:p w:rsidR="00241DAF" w:rsidRDefault="00241DAF" w:rsidP="00AA769E">
      <w:pPr>
        <w:rPr>
          <w:lang w:val="en-GB"/>
        </w:rPr>
      </w:pPr>
      <w:r>
        <w:rPr>
          <w:lang w:val="en-GB"/>
        </w:rPr>
        <w:t>The SDAC provides governments with significant data for evidence-based policy-making and accurate budgets and forecasts to support Australians, particularly people with disability, older Australians and their carers. SDAC is a critical data source for the Outcomes Framework, providing the data for approximately one-third of launch measures. SDAC is funded to run every 6 years.</w:t>
      </w:r>
    </w:p>
    <w:p w:rsidR="00241DAF" w:rsidRDefault="00241DAF" w:rsidP="00AA769E">
      <w:pPr>
        <w:pStyle w:val="Heading2"/>
        <w:rPr>
          <w:lang w:val="en-GB"/>
        </w:rPr>
      </w:pPr>
      <w:bookmarkStart w:id="17" w:name="_Toc121849767"/>
      <w:r>
        <w:rPr>
          <w:lang w:val="en-GB"/>
        </w:rPr>
        <w:t>6.2</w:t>
      </w:r>
      <w:r w:rsidR="00466983">
        <w:rPr>
          <w:lang w:val="en-GB"/>
        </w:rPr>
        <w:t xml:space="preserve"> </w:t>
      </w:r>
      <w:r>
        <w:rPr>
          <w:lang w:val="en-GB"/>
        </w:rPr>
        <w:t>Administrative Data Collections</w:t>
      </w:r>
      <w:bookmarkEnd w:id="17"/>
    </w:p>
    <w:p w:rsidR="00241DAF" w:rsidRDefault="00241DAF" w:rsidP="00AA769E">
      <w:pPr>
        <w:rPr>
          <w:lang w:val="en-GB"/>
        </w:rPr>
      </w:pPr>
      <w:r>
        <w:rPr>
          <w:lang w:val="en-GB"/>
        </w:rPr>
        <w:t>A range of administrative data collections are used to report against the Outcomes Framework. Sources of administrative data include:</w:t>
      </w:r>
    </w:p>
    <w:p w:rsidR="00241DAF" w:rsidRDefault="00241DAF" w:rsidP="00AA769E">
      <w:pPr>
        <w:pStyle w:val="Bullet1"/>
        <w:rPr>
          <w:lang w:val="en-GB"/>
        </w:rPr>
      </w:pPr>
      <w:r>
        <w:rPr>
          <w:lang w:val="en-GB"/>
        </w:rPr>
        <w:t>disability service providers such as the National Disability Insurance Scheme (NDIS)</w:t>
      </w:r>
    </w:p>
    <w:p w:rsidR="00241DAF" w:rsidRDefault="00241DAF" w:rsidP="00AA769E">
      <w:pPr>
        <w:pStyle w:val="Bullet1"/>
        <w:rPr>
          <w:lang w:val="en-GB"/>
        </w:rPr>
      </w:pPr>
      <w:r>
        <w:rPr>
          <w:lang w:val="en-GB"/>
        </w:rPr>
        <w:t>Disability Employment Services</w:t>
      </w:r>
    </w:p>
    <w:p w:rsidR="00241DAF" w:rsidRDefault="00241DAF" w:rsidP="00AA769E">
      <w:pPr>
        <w:pStyle w:val="Bullet1"/>
        <w:rPr>
          <w:lang w:val="en-GB"/>
        </w:rPr>
      </w:pPr>
      <w:r>
        <w:rPr>
          <w:lang w:val="en-GB"/>
        </w:rPr>
        <w:t>state and territory government collections on health, education and other subjects</w:t>
      </w:r>
    </w:p>
    <w:p w:rsidR="00241DAF" w:rsidRDefault="00241DAF" w:rsidP="00AA769E">
      <w:pPr>
        <w:pStyle w:val="Bullet1"/>
        <w:rPr>
          <w:lang w:val="en-GB"/>
        </w:rPr>
      </w:pPr>
      <w:r>
        <w:rPr>
          <w:lang w:val="en-GB"/>
        </w:rPr>
        <w:t>Australian Government collections on employment, education and other subjects.</w:t>
      </w:r>
    </w:p>
    <w:p w:rsidR="00241DAF" w:rsidRDefault="00241DAF" w:rsidP="00AA769E">
      <w:pPr>
        <w:rPr>
          <w:lang w:val="en-GB"/>
        </w:rPr>
      </w:pPr>
      <w:r>
        <w:rPr>
          <w:lang w:val="en-GB"/>
        </w:rPr>
        <w:t>Further details can be found in the Outcomes Framework.</w:t>
      </w:r>
    </w:p>
    <w:p w:rsidR="00241DAF" w:rsidRDefault="00241DAF" w:rsidP="00AA769E">
      <w:pPr>
        <w:pStyle w:val="Heading2"/>
        <w:rPr>
          <w:lang w:val="en-GB"/>
        </w:rPr>
      </w:pPr>
      <w:bookmarkStart w:id="18" w:name="_Toc121849768"/>
      <w:r>
        <w:rPr>
          <w:lang w:val="en-GB"/>
        </w:rPr>
        <w:t>6.3</w:t>
      </w:r>
      <w:r w:rsidR="00466983">
        <w:rPr>
          <w:lang w:val="en-GB"/>
        </w:rPr>
        <w:t xml:space="preserve"> </w:t>
      </w:r>
      <w:r>
        <w:rPr>
          <w:lang w:val="en-GB"/>
        </w:rPr>
        <w:t>Australia’s Disability Strategy Survey</w:t>
      </w:r>
      <w:bookmarkEnd w:id="18"/>
    </w:p>
    <w:p w:rsidR="00241DAF" w:rsidRDefault="00241DAF" w:rsidP="00AA769E">
      <w:pPr>
        <w:rPr>
          <w:lang w:val="en-GB"/>
        </w:rPr>
      </w:pPr>
      <w:r>
        <w:rPr>
          <w:lang w:val="en-GB"/>
        </w:rPr>
        <w:t>DSS has commissioned the Australian National University to deliver the first 2 waves of the Strategy Survey to measure community attitudes towards people with disability.</w:t>
      </w:r>
    </w:p>
    <w:p w:rsidR="00241DAF" w:rsidRDefault="00241DAF" w:rsidP="00AA769E">
      <w:pPr>
        <w:rPr>
          <w:lang w:val="en-GB"/>
        </w:rPr>
      </w:pPr>
      <w:r>
        <w:rPr>
          <w:lang w:val="en-GB"/>
        </w:rPr>
        <w:t xml:space="preserve">The Strategy Survey will collect and provide the data needed for reporting on the Community Attitudes Outcome Area of the Strategy, seeking to measure changes in attitudes towards people </w:t>
      </w:r>
      <w:r>
        <w:rPr>
          <w:lang w:val="en-GB"/>
        </w:rPr>
        <w:lastRenderedPageBreak/>
        <w:t xml:space="preserve">with disability. Currently it is not possible to measure or report on this Outcome Area as no data sources are available. </w:t>
      </w:r>
    </w:p>
    <w:p w:rsidR="00241DAF" w:rsidRDefault="00241DAF" w:rsidP="00AA769E">
      <w:pPr>
        <w:rPr>
          <w:lang w:val="en-GB"/>
        </w:rPr>
      </w:pPr>
      <w:r>
        <w:rPr>
          <w:lang w:val="en-GB"/>
        </w:rPr>
        <w:t xml:space="preserve">The Strategy Survey will also collect data for other future measures that cannot be collected or provided through other mechanisms such as the NDDA. </w:t>
      </w:r>
    </w:p>
    <w:p w:rsidR="00241DAF" w:rsidRDefault="00241DAF" w:rsidP="00AA769E">
      <w:pPr>
        <w:rPr>
          <w:lang w:val="en-GB"/>
        </w:rPr>
      </w:pPr>
      <w:r>
        <w:rPr>
          <w:lang w:val="en-GB"/>
        </w:rPr>
        <w:t>Wave 1 of the Strategy Survey is being conducted in 2022 and 2023, and Wave 2 is expected to be conducted in 2024 (Year 3 of the Strategy). Waves after 2024 are expected to be conducted every 2–3 years (2026–2031).</w:t>
      </w:r>
    </w:p>
    <w:p w:rsidR="00241DAF" w:rsidRDefault="00241DAF" w:rsidP="00AA769E">
      <w:pPr>
        <w:rPr>
          <w:lang w:val="en-GB"/>
        </w:rPr>
      </w:pPr>
      <w:r>
        <w:rPr>
          <w:lang w:val="en-GB"/>
        </w:rPr>
        <w:t>The Australian Government has dedicated $12.5 million to the Strategy Survey over the life of the</w:t>
      </w:r>
      <w:r w:rsidR="00AA769E">
        <w:rPr>
          <w:lang w:val="en-GB"/>
        </w:rPr>
        <w:t xml:space="preserve"> </w:t>
      </w:r>
      <w:r>
        <w:rPr>
          <w:lang w:val="en-GB"/>
        </w:rPr>
        <w:t>Strategy.</w:t>
      </w:r>
    </w:p>
    <w:p w:rsidR="00241DAF" w:rsidRDefault="00241DAF" w:rsidP="00AA769E">
      <w:pPr>
        <w:pStyle w:val="Heading2"/>
        <w:rPr>
          <w:lang w:val="en-GB"/>
        </w:rPr>
      </w:pPr>
      <w:bookmarkStart w:id="19" w:name="_Toc121849769"/>
      <w:r>
        <w:rPr>
          <w:lang w:val="en-GB"/>
        </w:rPr>
        <w:t>6.4</w:t>
      </w:r>
      <w:r w:rsidR="00466983">
        <w:rPr>
          <w:lang w:val="en-GB"/>
        </w:rPr>
        <w:t xml:space="preserve"> </w:t>
      </w:r>
      <w:r>
        <w:rPr>
          <w:lang w:val="en-GB"/>
        </w:rPr>
        <w:t>Other Survey Data</w:t>
      </w:r>
      <w:bookmarkEnd w:id="19"/>
    </w:p>
    <w:p w:rsidR="00241DAF" w:rsidRDefault="00241DAF" w:rsidP="00AA769E">
      <w:pPr>
        <w:rPr>
          <w:lang w:val="en-GB"/>
        </w:rPr>
      </w:pPr>
      <w:r>
        <w:rPr>
          <w:lang w:val="en-GB"/>
        </w:rPr>
        <w:t>Other sources of survey data used to report against the Outcomes Framework include:</w:t>
      </w:r>
    </w:p>
    <w:p w:rsidR="00241DAF" w:rsidRDefault="00241DAF" w:rsidP="00AA769E">
      <w:pPr>
        <w:pStyle w:val="Bullet1"/>
        <w:rPr>
          <w:lang w:val="en-GB"/>
        </w:rPr>
      </w:pPr>
      <w:r>
        <w:rPr>
          <w:lang w:val="en-GB"/>
        </w:rPr>
        <w:t>the National Health Survey</w:t>
      </w:r>
    </w:p>
    <w:p w:rsidR="00241DAF" w:rsidRDefault="00241DAF" w:rsidP="00AA769E">
      <w:pPr>
        <w:pStyle w:val="Bullet1"/>
        <w:rPr>
          <w:lang w:val="en-GB"/>
        </w:rPr>
      </w:pPr>
      <w:r>
        <w:rPr>
          <w:lang w:val="en-GB"/>
        </w:rPr>
        <w:t>the Personal Safety Survey</w:t>
      </w:r>
    </w:p>
    <w:p w:rsidR="00241DAF" w:rsidRDefault="00241DAF" w:rsidP="00AA769E">
      <w:pPr>
        <w:pStyle w:val="Bullet1"/>
        <w:rPr>
          <w:lang w:val="en-GB"/>
        </w:rPr>
      </w:pPr>
      <w:r>
        <w:rPr>
          <w:lang w:val="en-GB"/>
        </w:rPr>
        <w:t>the Survey of Income and Housing.</w:t>
      </w:r>
    </w:p>
    <w:p w:rsidR="00241DAF" w:rsidRDefault="00241DAF" w:rsidP="00AA769E">
      <w:pPr>
        <w:rPr>
          <w:lang w:val="en-GB"/>
        </w:rPr>
      </w:pPr>
      <w:r>
        <w:rPr>
          <w:lang w:val="en-GB"/>
        </w:rPr>
        <w:t xml:space="preserve">Further details can be found on the </w:t>
      </w:r>
      <w:hyperlink r:id="rId19" w:history="1">
        <w:r>
          <w:rPr>
            <w:rStyle w:val="Hyperlink"/>
            <w:lang w:val="en-GB"/>
          </w:rPr>
          <w:t>Outcomes Framework webpages</w:t>
        </w:r>
      </w:hyperlink>
      <w:r>
        <w:rPr>
          <w:lang w:val="en-GB"/>
        </w:rPr>
        <w:t>.</w:t>
      </w:r>
    </w:p>
    <w:p w:rsidR="00241DAF" w:rsidRDefault="00241DAF" w:rsidP="00AA769E">
      <w:pPr>
        <w:pStyle w:val="Heading2"/>
        <w:rPr>
          <w:lang w:val="en-GB"/>
        </w:rPr>
      </w:pPr>
      <w:bookmarkStart w:id="20" w:name="_Toc121849770"/>
      <w:r>
        <w:rPr>
          <w:lang w:val="en-GB"/>
        </w:rPr>
        <w:t>6.5</w:t>
      </w:r>
      <w:r w:rsidR="00466983">
        <w:rPr>
          <w:lang w:val="en-GB"/>
        </w:rPr>
        <w:t xml:space="preserve"> </w:t>
      </w:r>
      <w:r>
        <w:rPr>
          <w:lang w:val="en-GB"/>
        </w:rPr>
        <w:t>Data Linkage</w:t>
      </w:r>
      <w:bookmarkEnd w:id="20"/>
    </w:p>
    <w:p w:rsidR="00241DAF" w:rsidRDefault="00241DAF" w:rsidP="00AA769E">
      <w:pPr>
        <w:rPr>
          <w:lang w:val="en-GB"/>
        </w:rPr>
      </w:pPr>
      <w:r>
        <w:rPr>
          <w:lang w:val="en-GB"/>
        </w:rPr>
        <w:t xml:space="preserve">Data linkage is a method of using data contained in 2 or more data sets to gain a more detailed view of an individual or group’s characteristics or experiences. Currently, disability data is largely fragmented. This means data linkage will be essential to improve data and better measure the progress of the Strategy. See Tables 4, 5 and 8 for more detail on how data linkage will improve reporting against the Outcomes Framework. </w:t>
      </w:r>
    </w:p>
    <w:p w:rsidR="00241DAF" w:rsidRDefault="00241DAF" w:rsidP="00AA769E">
      <w:pPr>
        <w:rPr>
          <w:lang w:val="en-GB"/>
        </w:rPr>
      </w:pPr>
      <w:r>
        <w:rPr>
          <w:lang w:val="en-GB"/>
        </w:rPr>
        <w:t>Several ways to link data that are already available in Australia, include:</w:t>
      </w:r>
    </w:p>
    <w:p w:rsidR="00241DAF" w:rsidRDefault="00241DAF" w:rsidP="00AA769E">
      <w:pPr>
        <w:pStyle w:val="Bullet1"/>
        <w:rPr>
          <w:lang w:val="en-GB"/>
        </w:rPr>
      </w:pPr>
      <w:r>
        <w:rPr>
          <w:lang w:val="en-GB"/>
        </w:rPr>
        <w:t xml:space="preserve">the </w:t>
      </w:r>
      <w:hyperlink r:id="rId20" w:history="1">
        <w:r>
          <w:rPr>
            <w:rStyle w:val="Hyperlink"/>
            <w:lang w:val="en-GB"/>
          </w:rPr>
          <w:t>Multi-Agency Data Integration Project (MADIP)</w:t>
        </w:r>
      </w:hyperlink>
    </w:p>
    <w:p w:rsidR="00241DAF" w:rsidRDefault="00241DAF" w:rsidP="00AA769E">
      <w:pPr>
        <w:pStyle w:val="Bullet1"/>
        <w:rPr>
          <w:lang w:val="en-GB"/>
        </w:rPr>
      </w:pPr>
      <w:r>
        <w:rPr>
          <w:lang w:val="en-GB"/>
        </w:rPr>
        <w:t xml:space="preserve">the </w:t>
      </w:r>
      <w:hyperlink r:id="rId21" w:history="1">
        <w:r>
          <w:rPr>
            <w:rStyle w:val="Hyperlink"/>
            <w:lang w:val="en-GB"/>
          </w:rPr>
          <w:t>Business Longitudinal Analysis Data Environment (BLADE)</w:t>
        </w:r>
      </w:hyperlink>
    </w:p>
    <w:p w:rsidR="00241DAF" w:rsidRDefault="00241DAF" w:rsidP="00AA769E">
      <w:pPr>
        <w:pStyle w:val="Bullet1"/>
        <w:rPr>
          <w:lang w:val="en-GB"/>
        </w:rPr>
      </w:pPr>
      <w:r>
        <w:rPr>
          <w:lang w:val="en-GB"/>
        </w:rPr>
        <w:t>the National Integrated Health Services Information Analysis Asset (NIHSI AA) – an enduring linked data asset that brings together de-identified information on hospital care, deaths, residential aged care services, prescription medication and services under the Medical Benefits</w:t>
      </w:r>
      <w:r w:rsidR="00AA769E">
        <w:rPr>
          <w:lang w:val="en-GB"/>
        </w:rPr>
        <w:t xml:space="preserve"> </w:t>
      </w:r>
      <w:r>
        <w:rPr>
          <w:lang w:val="en-GB"/>
        </w:rPr>
        <w:t xml:space="preserve">Schedule </w:t>
      </w:r>
    </w:p>
    <w:p w:rsidR="00241DAF" w:rsidRDefault="00241DAF" w:rsidP="00AA769E">
      <w:pPr>
        <w:pStyle w:val="Bullet1"/>
        <w:rPr>
          <w:lang w:val="en-GB"/>
        </w:rPr>
      </w:pPr>
      <w:r>
        <w:rPr>
          <w:lang w:val="en-GB"/>
        </w:rPr>
        <w:t xml:space="preserve">the </w:t>
      </w:r>
      <w:hyperlink r:id="rId22" w:history="1">
        <w:r>
          <w:rPr>
            <w:rStyle w:val="Hyperlink"/>
            <w:lang w:val="en-GB"/>
          </w:rPr>
          <w:t>Australian Curriculum Assessment and Reporting Authority (ACARA)</w:t>
        </w:r>
      </w:hyperlink>
    </w:p>
    <w:p w:rsidR="00241DAF" w:rsidRDefault="00241DAF" w:rsidP="00AA769E">
      <w:pPr>
        <w:pStyle w:val="Bullet1"/>
        <w:rPr>
          <w:lang w:val="en-GB"/>
        </w:rPr>
      </w:pPr>
      <w:r>
        <w:rPr>
          <w:lang w:val="en-GB"/>
        </w:rPr>
        <w:t xml:space="preserve">the </w:t>
      </w:r>
      <w:hyperlink r:id="rId23" w:history="1">
        <w:r>
          <w:rPr>
            <w:rStyle w:val="Hyperlink"/>
            <w:lang w:val="en-GB"/>
          </w:rPr>
          <w:t>Australian Early Development Census (AEDC)</w:t>
        </w:r>
      </w:hyperlink>
    </w:p>
    <w:p w:rsidR="00241DAF" w:rsidRDefault="00241DAF" w:rsidP="00AA769E">
      <w:pPr>
        <w:pStyle w:val="Bullet1"/>
        <w:rPr>
          <w:lang w:val="en-GB"/>
        </w:rPr>
      </w:pPr>
      <w:r>
        <w:rPr>
          <w:lang w:val="en-GB"/>
        </w:rPr>
        <w:t xml:space="preserve">data collections held by the </w:t>
      </w:r>
      <w:hyperlink r:id="rId24" w:history="1">
        <w:r>
          <w:rPr>
            <w:rStyle w:val="Hyperlink"/>
            <w:lang w:val="en-GB"/>
          </w:rPr>
          <w:t>Australian Institute of Health and Welfare (AIHW)</w:t>
        </w:r>
      </w:hyperlink>
      <w:r>
        <w:rPr>
          <w:lang w:val="en-GB"/>
        </w:rPr>
        <w:t xml:space="preserve"> and the </w:t>
      </w:r>
      <w:hyperlink r:id="rId25" w:history="1">
        <w:r>
          <w:rPr>
            <w:rStyle w:val="Hyperlink"/>
            <w:lang w:val="en-GB"/>
          </w:rPr>
          <w:t>Australian Bureau of Statistics (ABS)</w:t>
        </w:r>
      </w:hyperlink>
      <w:r>
        <w:rPr>
          <w:lang w:val="en-GB"/>
        </w:rPr>
        <w:t>.</w:t>
      </w:r>
    </w:p>
    <w:p w:rsidR="00241DAF" w:rsidRDefault="00241DAF" w:rsidP="00AA769E">
      <w:pPr>
        <w:rPr>
          <w:lang w:val="en-GB"/>
        </w:rPr>
      </w:pPr>
      <w:r>
        <w:rPr>
          <w:lang w:val="en-GB"/>
        </w:rPr>
        <w:lastRenderedPageBreak/>
        <w:t>There are also new linkage projects underway, including:</w:t>
      </w:r>
    </w:p>
    <w:p w:rsidR="00241DAF" w:rsidRDefault="00241DAF" w:rsidP="00AA769E">
      <w:pPr>
        <w:pStyle w:val="Bullet1"/>
        <w:rPr>
          <w:lang w:val="en-GB"/>
        </w:rPr>
      </w:pPr>
      <w:r>
        <w:rPr>
          <w:lang w:val="en-GB"/>
        </w:rPr>
        <w:t xml:space="preserve">the </w:t>
      </w:r>
      <w:hyperlink r:id="rId26" w:history="1">
        <w:r>
          <w:rPr>
            <w:rStyle w:val="Hyperlink"/>
            <w:lang w:val="en-GB"/>
          </w:rPr>
          <w:t>National Disability Data Asset (NDDA</w:t>
        </w:r>
      </w:hyperlink>
      <w:r>
        <w:rPr>
          <w:lang w:val="en-GB"/>
        </w:rPr>
        <w:t>).</w:t>
      </w:r>
    </w:p>
    <w:p w:rsidR="00241DAF" w:rsidRDefault="00241DAF" w:rsidP="00AA769E">
      <w:pPr>
        <w:rPr>
          <w:lang w:val="en-GB"/>
        </w:rPr>
      </w:pPr>
      <w:r>
        <w:rPr>
          <w:lang w:val="en-GB"/>
        </w:rPr>
        <w:t>Data linkage, particularly through the NDDA, will be required to develop the data to report against a number of future measures.</w:t>
      </w:r>
    </w:p>
    <w:p w:rsidR="00241DAF" w:rsidRDefault="00241DAF" w:rsidP="00AA769E">
      <w:pPr>
        <w:pStyle w:val="Heading2"/>
        <w:rPr>
          <w:lang w:val="en-GB"/>
        </w:rPr>
      </w:pPr>
      <w:bookmarkStart w:id="21" w:name="_Toc121849771"/>
      <w:r>
        <w:rPr>
          <w:lang w:val="en-GB"/>
        </w:rPr>
        <w:t>6.6</w:t>
      </w:r>
      <w:r w:rsidR="00466983">
        <w:rPr>
          <w:lang w:val="en-GB"/>
        </w:rPr>
        <w:t xml:space="preserve"> </w:t>
      </w:r>
      <w:r>
        <w:rPr>
          <w:lang w:val="en-GB"/>
        </w:rPr>
        <w:t>National Disability Data Asset</w:t>
      </w:r>
      <w:bookmarkEnd w:id="21"/>
    </w:p>
    <w:p w:rsidR="00241DAF" w:rsidRDefault="00241DAF" w:rsidP="00AA769E">
      <w:pPr>
        <w:rPr>
          <w:lang w:val="en-GB"/>
        </w:rPr>
      </w:pPr>
      <w:r>
        <w:rPr>
          <w:lang w:val="en-GB"/>
        </w:rPr>
        <w:t>The NDDA is being designed as a long-term national asset containing linked, de-identified data from across Australia, state and territory government service systems. It is planned that more</w:t>
      </w:r>
      <w:r w:rsidR="00AA769E">
        <w:rPr>
          <w:lang w:val="en-GB"/>
        </w:rPr>
        <w:t xml:space="preserve"> </w:t>
      </w:r>
      <w:r>
        <w:rPr>
          <w:lang w:val="en-GB"/>
        </w:rPr>
        <w:t xml:space="preserve">than 200 datasets will eventually be linked through the NDDA. </w:t>
      </w:r>
    </w:p>
    <w:p w:rsidR="00241DAF" w:rsidRDefault="00241DAF" w:rsidP="00AA769E">
      <w:pPr>
        <w:rPr>
          <w:lang w:val="en-GB"/>
        </w:rPr>
      </w:pPr>
      <w:r>
        <w:rPr>
          <w:lang w:val="en-GB"/>
        </w:rPr>
        <w:t>The purpose of the NDDA is to solve the problem of fragmented and poor-quality data on disability. This will help better understand how people with disability are supported and will</w:t>
      </w:r>
      <w:r w:rsidR="00AA769E">
        <w:rPr>
          <w:lang w:val="en-GB"/>
        </w:rPr>
        <w:t xml:space="preserve"> </w:t>
      </w:r>
      <w:r>
        <w:rPr>
          <w:lang w:val="en-GB"/>
        </w:rPr>
        <w:t>provide a person-centred view of the pathways people with disability take through service</w:t>
      </w:r>
      <w:r w:rsidR="00AA769E">
        <w:rPr>
          <w:lang w:val="en-GB"/>
        </w:rPr>
        <w:t xml:space="preserve"> </w:t>
      </w:r>
      <w:r>
        <w:rPr>
          <w:lang w:val="en-GB"/>
        </w:rPr>
        <w:t>systems.</w:t>
      </w:r>
    </w:p>
    <w:p w:rsidR="00241DAF" w:rsidRDefault="00241DAF" w:rsidP="00AA769E">
      <w:pPr>
        <w:rPr>
          <w:lang w:val="en-GB"/>
        </w:rPr>
      </w:pPr>
      <w:r>
        <w:rPr>
          <w:lang w:val="en-GB"/>
        </w:rPr>
        <w:t xml:space="preserve">The development of the NDDA through a pilot project has been supported by Disability Reform Ministers since 2019 and has included significant consultation with the disability community. Australian, state and territory governments will continue negotiating participation, funding and administration of the NDDA as the technical design progresses. </w:t>
      </w:r>
    </w:p>
    <w:p w:rsidR="00241DAF" w:rsidRDefault="00241DAF" w:rsidP="00AA769E">
      <w:pPr>
        <w:rPr>
          <w:lang w:val="en-GB"/>
        </w:rPr>
      </w:pPr>
      <w:r>
        <w:rPr>
          <w:lang w:val="en-GB"/>
        </w:rPr>
        <w:t>Pending negotiations, the NDDA will provide a unique opportunity to link and analyse data to</w:t>
      </w:r>
      <w:r w:rsidR="00AA769E">
        <w:rPr>
          <w:lang w:val="en-GB"/>
        </w:rPr>
        <w:t xml:space="preserve"> </w:t>
      </w:r>
      <w:r>
        <w:rPr>
          <w:lang w:val="en-GB"/>
        </w:rPr>
        <w:t>report on outcomes experienced by people with disability. The NDDA will play a pivotal role in</w:t>
      </w:r>
      <w:r w:rsidR="00AA769E">
        <w:rPr>
          <w:lang w:val="en-GB"/>
        </w:rPr>
        <w:t xml:space="preserve"> </w:t>
      </w:r>
      <w:r>
        <w:rPr>
          <w:lang w:val="en-GB"/>
        </w:rPr>
        <w:t>underpinning the data needed to report against the Outcomes Framework.</w:t>
      </w:r>
    </w:p>
    <w:p w:rsidR="00241DAF" w:rsidRDefault="00241DAF" w:rsidP="00AA769E">
      <w:pPr>
        <w:rPr>
          <w:lang w:val="en-GB"/>
        </w:rPr>
      </w:pPr>
      <w:r>
        <w:rPr>
          <w:lang w:val="en-GB"/>
        </w:rPr>
        <w:t>DSS is responsible for delivering the NDDA in partnership with the ABS and the AIHW. The</w:t>
      </w:r>
      <w:r w:rsidR="00AA769E">
        <w:rPr>
          <w:lang w:val="en-GB"/>
        </w:rPr>
        <w:t xml:space="preserve"> </w:t>
      </w:r>
      <w:r>
        <w:rPr>
          <w:lang w:val="en-GB"/>
        </w:rPr>
        <w:t>NDDA will be co-designed and co-governed with state and territory governments and the</w:t>
      </w:r>
      <w:r w:rsidR="00AA769E">
        <w:rPr>
          <w:lang w:val="en-GB"/>
        </w:rPr>
        <w:t xml:space="preserve"> </w:t>
      </w:r>
      <w:r>
        <w:rPr>
          <w:lang w:val="en-GB"/>
        </w:rPr>
        <w:t>disability sector.</w:t>
      </w:r>
    </w:p>
    <w:p w:rsidR="00241DAF" w:rsidRDefault="00241DAF" w:rsidP="00AA769E">
      <w:pPr>
        <w:rPr>
          <w:lang w:val="en-GB"/>
        </w:rPr>
      </w:pPr>
      <w:r>
        <w:rPr>
          <w:lang w:val="en-GB"/>
        </w:rPr>
        <w:t>Once the design and governance of the NDDA is agreed, a number of future measures in this DIP</w:t>
      </w:r>
      <w:r w:rsidR="00AA769E">
        <w:rPr>
          <w:lang w:val="en-GB"/>
        </w:rPr>
        <w:t xml:space="preserve"> </w:t>
      </w:r>
      <w:r>
        <w:rPr>
          <w:lang w:val="en-GB"/>
        </w:rPr>
        <w:t xml:space="preserve">will use data from this source for reporting. It may also be possible to improve some launch measures through the NDDA. For further information, see section 8.1. </w:t>
      </w:r>
    </w:p>
    <w:p w:rsidR="00241DAF" w:rsidRDefault="00241DAF" w:rsidP="00AA769E">
      <w:pPr>
        <w:pStyle w:val="Heading2"/>
        <w:rPr>
          <w:lang w:val="en-GB"/>
        </w:rPr>
      </w:pPr>
      <w:bookmarkStart w:id="22" w:name="_Toc121849772"/>
      <w:r>
        <w:rPr>
          <w:lang w:val="en-GB"/>
        </w:rPr>
        <w:t>6.7</w:t>
      </w:r>
      <w:r w:rsidR="00466983">
        <w:rPr>
          <w:lang w:val="en-GB"/>
        </w:rPr>
        <w:t xml:space="preserve"> </w:t>
      </w:r>
      <w:r>
        <w:rPr>
          <w:lang w:val="en-GB"/>
        </w:rPr>
        <w:t>Data Dictionary</w:t>
      </w:r>
      <w:bookmarkEnd w:id="22"/>
    </w:p>
    <w:p w:rsidR="00241DAF" w:rsidRDefault="00241DAF" w:rsidP="00AA769E">
      <w:pPr>
        <w:rPr>
          <w:lang w:val="en-GB"/>
        </w:rPr>
      </w:pPr>
      <w:r>
        <w:rPr>
          <w:lang w:val="en-GB"/>
        </w:rPr>
        <w:t xml:space="preserve">A data dictionary will be developed and maintained as part of the </w:t>
      </w:r>
      <w:hyperlink r:id="rId27" w:history="1">
        <w:r>
          <w:rPr>
            <w:rStyle w:val="Hyperlink"/>
            <w:lang w:val="en-GB"/>
          </w:rPr>
          <w:t>Outcomes Framework webpages.</w:t>
        </w:r>
      </w:hyperlink>
      <w:r>
        <w:rPr>
          <w:lang w:val="en-GB"/>
        </w:rPr>
        <w:t xml:space="preserve"> This dictionary will help data custodians:</w:t>
      </w:r>
    </w:p>
    <w:p w:rsidR="00241DAF" w:rsidRDefault="00241DAF" w:rsidP="00AA769E">
      <w:pPr>
        <w:pStyle w:val="Bullet1"/>
        <w:rPr>
          <w:lang w:val="en-GB"/>
        </w:rPr>
      </w:pPr>
      <w:r>
        <w:rPr>
          <w:lang w:val="en-GB"/>
        </w:rPr>
        <w:t>indicate the source systems (databases)</w:t>
      </w:r>
    </w:p>
    <w:p w:rsidR="00241DAF" w:rsidRDefault="00241DAF" w:rsidP="00AA769E">
      <w:pPr>
        <w:pStyle w:val="Bullet1"/>
        <w:rPr>
          <w:lang w:val="en-GB"/>
        </w:rPr>
      </w:pPr>
      <w:r>
        <w:rPr>
          <w:lang w:val="en-GB"/>
        </w:rPr>
        <w:t>document data contents and format, including gaps in data and data quality issues</w:t>
      </w:r>
    </w:p>
    <w:p w:rsidR="00241DAF" w:rsidRDefault="00241DAF" w:rsidP="00AA769E">
      <w:pPr>
        <w:pStyle w:val="Bullet1"/>
        <w:rPr>
          <w:lang w:val="en-GB"/>
        </w:rPr>
      </w:pPr>
      <w:r>
        <w:rPr>
          <w:lang w:val="en-GB"/>
        </w:rPr>
        <w:t>document the process for accessing data</w:t>
      </w:r>
    </w:p>
    <w:p w:rsidR="00241DAF" w:rsidRDefault="00241DAF" w:rsidP="00AA769E">
      <w:pPr>
        <w:pStyle w:val="Bullet1"/>
        <w:rPr>
          <w:lang w:val="en-GB"/>
        </w:rPr>
      </w:pPr>
      <w:r>
        <w:rPr>
          <w:lang w:val="en-GB"/>
        </w:rPr>
        <w:t>document any data transformation steps before data can be used in calculating the Outcomes Framework measures.</w:t>
      </w:r>
    </w:p>
    <w:p w:rsidR="00241DAF" w:rsidRDefault="00241DAF" w:rsidP="00AA769E">
      <w:pPr>
        <w:pStyle w:val="Heading1"/>
        <w:rPr>
          <w:lang w:val="en-GB"/>
        </w:rPr>
      </w:pPr>
      <w:bookmarkStart w:id="23" w:name="_Toc121849773"/>
      <w:r>
        <w:rPr>
          <w:lang w:val="en-GB"/>
        </w:rPr>
        <w:lastRenderedPageBreak/>
        <w:t>7. Future Measures in</w:t>
      </w:r>
      <w:r w:rsidR="00AA769E">
        <w:rPr>
          <w:lang w:val="en-GB"/>
        </w:rPr>
        <w:t xml:space="preserve"> </w:t>
      </w:r>
      <w:r>
        <w:rPr>
          <w:lang w:val="en-GB"/>
        </w:rPr>
        <w:t>the</w:t>
      </w:r>
      <w:r w:rsidR="00AA769E">
        <w:rPr>
          <w:lang w:val="en-GB"/>
        </w:rPr>
        <w:t xml:space="preserve"> </w:t>
      </w:r>
      <w:r>
        <w:rPr>
          <w:lang w:val="en-GB"/>
        </w:rPr>
        <w:t>Outcomes Framework</w:t>
      </w:r>
      <w:bookmarkEnd w:id="23"/>
    </w:p>
    <w:p w:rsidR="00241DAF" w:rsidRDefault="00241DAF" w:rsidP="00AA769E">
      <w:pPr>
        <w:pStyle w:val="Heading2"/>
        <w:rPr>
          <w:lang w:val="en-GB"/>
        </w:rPr>
      </w:pPr>
      <w:bookmarkStart w:id="24" w:name="_Toc121849774"/>
      <w:r>
        <w:rPr>
          <w:lang w:val="en-GB"/>
        </w:rPr>
        <w:t>7.1</w:t>
      </w:r>
      <w:r w:rsidR="00466983">
        <w:rPr>
          <w:lang w:val="en-GB"/>
        </w:rPr>
        <w:t xml:space="preserve"> </w:t>
      </w:r>
      <w:r>
        <w:rPr>
          <w:lang w:val="en-GB"/>
        </w:rPr>
        <w:t>Availability</w:t>
      </w:r>
      <w:bookmarkEnd w:id="24"/>
    </w:p>
    <w:p w:rsidR="00241DAF" w:rsidRDefault="00241DAF" w:rsidP="00AA769E">
      <w:pPr>
        <w:rPr>
          <w:lang w:val="en-GB"/>
        </w:rPr>
      </w:pPr>
      <w:r>
        <w:rPr>
          <w:lang w:val="en-GB"/>
        </w:rPr>
        <w:t>The Outcomes Framework includes future measures as part of the commitment to improve measures and to refine the Outcomes Framework over the life of the Strategy.</w:t>
      </w:r>
    </w:p>
    <w:p w:rsidR="00241DAF" w:rsidRDefault="00241DAF" w:rsidP="00AA769E">
      <w:pPr>
        <w:rPr>
          <w:lang w:val="en-GB"/>
        </w:rPr>
      </w:pPr>
      <w:r>
        <w:rPr>
          <w:lang w:val="en-GB"/>
        </w:rPr>
        <w:t xml:space="preserve">There are 38 future measures. Data for some have become available since the launch of the Strategy. Others will require further work before it is possible to report against them. An overview is provided here and further details of the measures and timeframes are in Tables 4 to 7. </w:t>
      </w:r>
    </w:p>
    <w:p w:rsidR="00241DAF" w:rsidRDefault="00241DAF" w:rsidP="00AA769E">
      <w:pPr>
        <w:rPr>
          <w:lang w:val="en-GB"/>
        </w:rPr>
      </w:pPr>
      <w:r>
        <w:rPr>
          <w:lang w:val="en-GB"/>
        </w:rPr>
        <w:t xml:space="preserve">Two measures are now available and will be published on the </w:t>
      </w:r>
      <w:hyperlink r:id="rId28" w:history="1">
        <w:r>
          <w:rPr>
            <w:rStyle w:val="Hyperlink"/>
            <w:lang w:val="en-GB"/>
          </w:rPr>
          <w:t>Outcomes Framework webpages</w:t>
        </w:r>
      </w:hyperlink>
      <w:r>
        <w:rPr>
          <w:lang w:val="en-GB"/>
        </w:rPr>
        <w:t xml:space="preserve"> at the first update in mid-2023. These measures relate to employment among NDIS participants, and public sector employees with disability.</w:t>
      </w:r>
    </w:p>
    <w:p w:rsidR="00241DAF" w:rsidRDefault="00241DAF" w:rsidP="00AA769E">
      <w:pPr>
        <w:rPr>
          <w:lang w:val="en-GB"/>
        </w:rPr>
      </w:pPr>
      <w:r>
        <w:rPr>
          <w:lang w:val="en-GB"/>
        </w:rPr>
        <w:t xml:space="preserve">Four measures will be derived from the Strategy Survey addressing the Community Attitudes Outcome Area. Data collection for the Strategy Survey commenced in September 2022 and will conclude in January 2023. Data will be compiled from the start of 2023, followed by analysis from March to June 2023 and integration into the </w:t>
      </w:r>
      <w:hyperlink r:id="rId29" w:history="1">
        <w:r>
          <w:rPr>
            <w:rStyle w:val="Hyperlink"/>
            <w:lang w:val="en-GB"/>
          </w:rPr>
          <w:t>Outcomes Framework webpages</w:t>
        </w:r>
      </w:hyperlink>
      <w:r>
        <w:rPr>
          <w:lang w:val="en-GB"/>
        </w:rPr>
        <w:t xml:space="preserve"> by September</w:t>
      </w:r>
      <w:r w:rsidR="00AA769E">
        <w:rPr>
          <w:lang w:val="en-GB"/>
        </w:rPr>
        <w:t xml:space="preserve"> </w:t>
      </w:r>
      <w:r>
        <w:rPr>
          <w:lang w:val="en-GB"/>
        </w:rPr>
        <w:t>2023.</w:t>
      </w:r>
    </w:p>
    <w:p w:rsidR="00241DAF" w:rsidRDefault="00241DAF" w:rsidP="00AA769E">
      <w:pPr>
        <w:rPr>
          <w:lang w:val="en-GB"/>
        </w:rPr>
      </w:pPr>
      <w:r>
        <w:rPr>
          <w:lang w:val="en-GB"/>
        </w:rPr>
        <w:t xml:space="preserve">A further 4 measures will be available in late 2023 or 2024. These 4 measures may be reported through linkage with MADIP. These measures relate to length of time and re-substantiations in the child protection system, avoidable deaths in hospital and involuntary hospital admissions. </w:t>
      </w:r>
    </w:p>
    <w:p w:rsidR="00241DAF" w:rsidRDefault="00241DAF" w:rsidP="00AA769E">
      <w:pPr>
        <w:rPr>
          <w:lang w:val="en-GB"/>
        </w:rPr>
      </w:pPr>
      <w:r>
        <w:rPr>
          <w:lang w:val="en-GB"/>
        </w:rPr>
        <w:t>One measure will use NDIS data and relates to the success of linkages of NDIS participants to mainstream and community services and systems. Reporting on this measure will likely be available from 2026.</w:t>
      </w:r>
    </w:p>
    <w:p w:rsidR="00241DAF" w:rsidRDefault="00241DAF" w:rsidP="00AA769E">
      <w:pPr>
        <w:rPr>
          <w:lang w:val="en-GB"/>
        </w:rPr>
      </w:pPr>
      <w:r>
        <w:rPr>
          <w:lang w:val="en-GB"/>
        </w:rPr>
        <w:t>Data for a further 7 measures will require complex data linkage through the NDDA or similar cross-jurisdictional data assets. It is expected that this data will become available between 2024</w:t>
      </w:r>
      <w:r w:rsidR="00AA769E">
        <w:rPr>
          <w:lang w:val="en-GB"/>
        </w:rPr>
        <w:t xml:space="preserve"> </w:t>
      </w:r>
      <w:r>
        <w:rPr>
          <w:lang w:val="en-GB"/>
        </w:rPr>
        <w:t>and 2025.</w:t>
      </w:r>
    </w:p>
    <w:p w:rsidR="00241DAF" w:rsidRDefault="00241DAF" w:rsidP="00AA769E">
      <w:pPr>
        <w:rPr>
          <w:lang w:val="en-GB"/>
        </w:rPr>
      </w:pPr>
      <w:r>
        <w:rPr>
          <w:lang w:val="en-GB"/>
        </w:rPr>
        <w:t>Data from new survey questions will be required to report on and track 12 measures. This data will be collected by adding questions to an existing survey, such as the SDAC or the Strategy Survey, or through a new survey.</w:t>
      </w:r>
    </w:p>
    <w:p w:rsidR="00241DAF" w:rsidRDefault="00241DAF" w:rsidP="00AA769E">
      <w:pPr>
        <w:rPr>
          <w:lang w:val="en-GB"/>
        </w:rPr>
      </w:pPr>
      <w:r>
        <w:rPr>
          <w:lang w:val="en-GB"/>
        </w:rPr>
        <w:t xml:space="preserve">Collaboration on definitions, methodology and administration is needed to address the remaining 8 future measures. Working groups will be convened by DSS in partnership with relevant Australian Government agencies and state and territory governments. Planning for the working groups has </w:t>
      </w:r>
      <w:r>
        <w:rPr>
          <w:lang w:val="en-GB"/>
        </w:rPr>
        <w:lastRenderedPageBreak/>
        <w:t>commenced. The working groups are expected to conclude by the end of 2023. This</w:t>
      </w:r>
      <w:r w:rsidR="00AA769E">
        <w:rPr>
          <w:lang w:val="en-GB"/>
        </w:rPr>
        <w:t xml:space="preserve"> </w:t>
      </w:r>
      <w:r>
        <w:rPr>
          <w:lang w:val="en-GB"/>
        </w:rPr>
        <w:t>will be followed by a period of data collection and reporting.</w:t>
      </w:r>
    </w:p>
    <w:p w:rsidR="00AA769E" w:rsidRDefault="00AA769E" w:rsidP="00AA769E">
      <w:pPr>
        <w:rPr>
          <w:lang w:val="en-GB"/>
        </w:rPr>
        <w:sectPr w:rsidR="00AA769E" w:rsidSect="003F29E1">
          <w:footerReference w:type="default" r:id="rId30"/>
          <w:pgSz w:w="11906" w:h="16838" w:code="9"/>
          <w:pgMar w:top="1134" w:right="1134" w:bottom="1134" w:left="1134" w:header="567" w:footer="567" w:gutter="0"/>
          <w:cols w:space="720"/>
          <w:noEndnote/>
        </w:sectPr>
      </w:pPr>
    </w:p>
    <w:p w:rsidR="00241DAF" w:rsidRDefault="00241DAF" w:rsidP="00AA769E">
      <w:pPr>
        <w:pStyle w:val="TableTitle"/>
        <w:rPr>
          <w:lang w:val="en-GB"/>
        </w:rPr>
      </w:pPr>
      <w:bookmarkStart w:id="25" w:name="_Toc121849775"/>
      <w:r>
        <w:rPr>
          <w:lang w:val="en-GB"/>
        </w:rPr>
        <w:lastRenderedPageBreak/>
        <w:t>Future Measures with known availability dates</w:t>
      </w:r>
      <w:bookmarkEnd w:id="25"/>
    </w:p>
    <w:tbl>
      <w:tblPr>
        <w:tblStyle w:val="LSTable"/>
        <w:tblW w:w="14570" w:type="dxa"/>
        <w:tblInd w:w="5" w:type="dxa"/>
        <w:tblLayout w:type="fixed"/>
        <w:tblLook w:val="06A0" w:firstRow="1" w:lastRow="0" w:firstColumn="1" w:lastColumn="0" w:noHBand="1" w:noVBand="1"/>
      </w:tblPr>
      <w:tblGrid>
        <w:gridCol w:w="2381"/>
        <w:gridCol w:w="6236"/>
        <w:gridCol w:w="1984"/>
        <w:gridCol w:w="3969"/>
      </w:tblGrid>
      <w:tr w:rsidR="00BF3F11" w:rsidTr="003315D6">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2381" w:type="dxa"/>
          </w:tcPr>
          <w:p w:rsidR="00AA769E" w:rsidRDefault="00AA769E" w:rsidP="00AA769E">
            <w:r>
              <w:rPr>
                <w:lang w:val="en-GB"/>
              </w:rPr>
              <w:t>Outcome Area</w:t>
            </w:r>
          </w:p>
        </w:tc>
        <w:tc>
          <w:tcPr>
            <w:tcW w:w="6236" w:type="dxa"/>
          </w:tcPr>
          <w:p w:rsidR="00AA769E" w:rsidRDefault="00AA769E" w:rsidP="00AA769E">
            <w:pPr>
              <w:cnfStyle w:val="100000000000" w:firstRow="1" w:lastRow="0" w:firstColumn="0" w:lastColumn="0" w:oddVBand="0" w:evenVBand="0" w:oddHBand="0" w:evenHBand="0" w:firstRowFirstColumn="0" w:firstRowLastColumn="0" w:lastRowFirstColumn="0" w:lastRowLastColumn="0"/>
            </w:pPr>
            <w:r>
              <w:rPr>
                <w:lang w:val="en-GB"/>
              </w:rPr>
              <w:t>Measure</w:t>
            </w:r>
          </w:p>
        </w:tc>
        <w:tc>
          <w:tcPr>
            <w:tcW w:w="1984" w:type="dxa"/>
          </w:tcPr>
          <w:p w:rsidR="00AA769E" w:rsidRDefault="00AA769E" w:rsidP="00AA769E">
            <w:pPr>
              <w:cnfStyle w:val="100000000000" w:firstRow="1" w:lastRow="0" w:firstColumn="0" w:lastColumn="0" w:oddVBand="0" w:evenVBand="0" w:oddHBand="0" w:evenHBand="0" w:firstRowFirstColumn="0" w:firstRowLastColumn="0" w:lastRowFirstColumn="0" w:lastRowLastColumn="0"/>
            </w:pPr>
            <w:r>
              <w:rPr>
                <w:lang w:val="en-GB"/>
              </w:rPr>
              <w:t>Availability</w:t>
            </w:r>
          </w:p>
        </w:tc>
        <w:tc>
          <w:tcPr>
            <w:tcW w:w="3969" w:type="dxa"/>
          </w:tcPr>
          <w:p w:rsidR="00AA769E" w:rsidRDefault="00AA769E" w:rsidP="00AA769E">
            <w:pPr>
              <w:cnfStyle w:val="100000000000" w:firstRow="1" w:lastRow="0" w:firstColumn="0" w:lastColumn="0" w:oddVBand="0" w:evenVBand="0" w:oddHBand="0" w:evenHBand="0" w:firstRowFirstColumn="0" w:firstRowLastColumn="0" w:lastRowFirstColumn="0" w:lastRowLastColumn="0"/>
            </w:pPr>
            <w:r>
              <w:rPr>
                <w:lang w:val="en-GB"/>
              </w:rPr>
              <w:t>Notes</w:t>
            </w: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4" w:space="0" w:color="FFFFFF" w:themeColor="background1"/>
            </w:tcBorders>
            <w:shd w:val="clear" w:color="auto" w:fill="573275" w:themeFill="accent1"/>
          </w:tcPr>
          <w:p w:rsidR="00AA769E" w:rsidRDefault="00AA769E" w:rsidP="00AA769E">
            <w:r>
              <w:rPr>
                <w:lang w:val="en-GB"/>
              </w:rPr>
              <w:t>Employment and Financial Security</w:t>
            </w:r>
          </w:p>
        </w:tc>
        <w:tc>
          <w:tcPr>
            <w:tcW w:w="6236"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 of NDIS participants with employment goal in receipt of employment income in last 12 months</w:t>
            </w:r>
          </w:p>
        </w:tc>
        <w:tc>
          <w:tcPr>
            <w:tcW w:w="1984" w:type="dxa"/>
          </w:tcPr>
          <w:p w:rsidR="00AA769E" w:rsidRPr="00FB234C" w:rsidRDefault="00AA769E" w:rsidP="00AA769E">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Current</w:t>
            </w:r>
          </w:p>
        </w:tc>
        <w:tc>
          <w:tcPr>
            <w:tcW w:w="3969" w:type="dxa"/>
            <w:vMerge w:val="restart"/>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 xml:space="preserve">Expected to be published on the </w:t>
            </w:r>
            <w:hyperlink r:id="rId31" w:history="1">
              <w:r>
                <w:rPr>
                  <w:rStyle w:val="Hyperlink"/>
                  <w:lang w:val="en-GB"/>
                </w:rPr>
                <w:t>Outcomes Framework webpages</w:t>
              </w:r>
            </w:hyperlink>
            <w:r>
              <w:rPr>
                <w:lang w:val="en-GB"/>
              </w:rPr>
              <w:t xml:space="preserve"> at the first update in mid-2023 and in the annual Outcomes Framework reporting from December 2023.</w:t>
            </w: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573275" w:themeFill="accent1"/>
          </w:tcPr>
          <w:p w:rsidR="00AA769E" w:rsidRPr="00241DAF" w:rsidRDefault="00AA769E" w:rsidP="00AA769E">
            <w:pPr>
              <w:rPr>
                <w:rFonts w:ascii="FilsonProMedium" w:hAnsi="FilsonProMedium"/>
                <w:color w:val="auto"/>
              </w:rPr>
            </w:pPr>
          </w:p>
        </w:tc>
        <w:tc>
          <w:tcPr>
            <w:tcW w:w="6236"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 of public sector employees with disability</w:t>
            </w:r>
          </w:p>
        </w:tc>
        <w:tc>
          <w:tcPr>
            <w:tcW w:w="1984" w:type="dxa"/>
          </w:tcPr>
          <w:p w:rsidR="00AA769E" w:rsidRPr="00FB234C" w:rsidRDefault="00AA769E" w:rsidP="00AA769E">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Current</w:t>
            </w:r>
          </w:p>
        </w:tc>
        <w:tc>
          <w:tcPr>
            <w:tcW w:w="3969" w:type="dxa"/>
            <w:vMerge/>
          </w:tcPr>
          <w:p w:rsidR="00AA769E" w:rsidRPr="00241DAF" w:rsidRDefault="00AA769E" w:rsidP="00AA769E">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4" w:space="0" w:color="FFFFFF" w:themeColor="background1"/>
            </w:tcBorders>
            <w:shd w:val="clear" w:color="auto" w:fill="00492C" w:themeFill="text2"/>
          </w:tcPr>
          <w:p w:rsidR="00AA769E" w:rsidRDefault="00AA769E" w:rsidP="00AA769E">
            <w:r>
              <w:rPr>
                <w:lang w:val="en-GB"/>
              </w:rPr>
              <w:t>Safety, Rights and</w:t>
            </w:r>
            <w:r w:rsidR="003315D6">
              <w:rPr>
                <w:lang w:val="en-GB"/>
              </w:rPr>
              <w:t> </w:t>
            </w:r>
            <w:r>
              <w:rPr>
                <w:lang w:val="en-GB"/>
              </w:rPr>
              <w:t>Justice</w:t>
            </w:r>
          </w:p>
        </w:tc>
        <w:tc>
          <w:tcPr>
            <w:tcW w:w="6236"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Average length of time a child with disability remains in the child protection system compared to children without disability</w:t>
            </w:r>
          </w:p>
        </w:tc>
        <w:tc>
          <w:tcPr>
            <w:tcW w:w="1984" w:type="dxa"/>
          </w:tcPr>
          <w:p w:rsidR="00AA769E" w:rsidRPr="00FB234C" w:rsidRDefault="00AA769E" w:rsidP="00AA769E">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2023–24</w:t>
            </w:r>
          </w:p>
        </w:tc>
        <w:tc>
          <w:tcPr>
            <w:tcW w:w="3969" w:type="dxa"/>
            <w:vMerge w:val="restart"/>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Data linkage with MADIP, or a similar broad linked data asset, will be required to provide disability status.</w:t>
            </w: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492C" w:themeFill="text2"/>
          </w:tcPr>
          <w:p w:rsidR="00AA769E" w:rsidRPr="00241DAF" w:rsidRDefault="00AA769E" w:rsidP="00AA769E">
            <w:pPr>
              <w:rPr>
                <w:rFonts w:ascii="FilsonProMedium" w:hAnsi="FilsonProMedium"/>
                <w:color w:val="auto"/>
              </w:rPr>
            </w:pPr>
          </w:p>
        </w:tc>
        <w:tc>
          <w:tcPr>
            <w:tcW w:w="6236"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 xml:space="preserve">Rate of children with disability aged 0–17 years who were the subject of a child protection re-substantiation in a given year </w:t>
            </w:r>
          </w:p>
        </w:tc>
        <w:tc>
          <w:tcPr>
            <w:tcW w:w="1984" w:type="dxa"/>
          </w:tcPr>
          <w:p w:rsidR="00AA769E" w:rsidRPr="00FB234C" w:rsidRDefault="00AA769E" w:rsidP="00AA769E">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2023–24</w:t>
            </w:r>
          </w:p>
        </w:tc>
        <w:tc>
          <w:tcPr>
            <w:tcW w:w="3969" w:type="dxa"/>
            <w:vMerge/>
          </w:tcPr>
          <w:p w:rsidR="00AA769E" w:rsidRPr="00241DAF" w:rsidRDefault="00AA769E" w:rsidP="00AA769E">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FFFFFF" w:themeColor="background1"/>
            </w:tcBorders>
            <w:shd w:val="clear" w:color="auto" w:fill="7A0441" w:themeFill="accent3"/>
          </w:tcPr>
          <w:p w:rsidR="00AA769E" w:rsidRDefault="00AA769E" w:rsidP="00AA769E">
            <w:r>
              <w:rPr>
                <w:lang w:val="en-GB"/>
              </w:rPr>
              <w:t>Personal and Community Support</w:t>
            </w:r>
          </w:p>
        </w:tc>
        <w:tc>
          <w:tcPr>
            <w:tcW w:w="6236"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 of NDIS participants who report systems accessed through their individual support package were effective</w:t>
            </w:r>
          </w:p>
        </w:tc>
        <w:tc>
          <w:tcPr>
            <w:tcW w:w="1984" w:type="dxa"/>
          </w:tcPr>
          <w:p w:rsidR="00AA769E" w:rsidRPr="00FB234C" w:rsidRDefault="00AA769E" w:rsidP="00AA769E">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2026</w:t>
            </w:r>
          </w:p>
        </w:tc>
        <w:tc>
          <w:tcPr>
            <w:tcW w:w="3969"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New data from NDIA due from 2026.</w:t>
            </w: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4" w:space="0" w:color="FFFFFF" w:themeColor="background1"/>
            </w:tcBorders>
            <w:shd w:val="clear" w:color="auto" w:fill="180F5E" w:themeFill="accent5"/>
          </w:tcPr>
          <w:p w:rsidR="00AA769E" w:rsidRDefault="00AA769E" w:rsidP="00AA769E">
            <w:r>
              <w:rPr>
                <w:lang w:val="en-GB"/>
              </w:rPr>
              <w:t>Health and Wellbeing</w:t>
            </w:r>
          </w:p>
        </w:tc>
        <w:tc>
          <w:tcPr>
            <w:tcW w:w="6236"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Number of potentially avoidable deaths in hospital for people with disability compared to people without disability</w:t>
            </w:r>
          </w:p>
        </w:tc>
        <w:tc>
          <w:tcPr>
            <w:tcW w:w="1984" w:type="dxa"/>
          </w:tcPr>
          <w:p w:rsidR="00AA769E" w:rsidRPr="00FB234C" w:rsidRDefault="00AA769E" w:rsidP="00AA769E">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2023–24</w:t>
            </w:r>
          </w:p>
        </w:tc>
        <w:tc>
          <w:tcPr>
            <w:tcW w:w="3969" w:type="dxa"/>
            <w:vMerge w:val="restart"/>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Data linkage with MADIP, or a similar broad linked data asset, will be required to provide disability status.</w:t>
            </w: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180F5E" w:themeFill="accent5"/>
          </w:tcPr>
          <w:p w:rsidR="00AA769E" w:rsidRPr="00241DAF" w:rsidRDefault="00AA769E" w:rsidP="00AA769E">
            <w:pPr>
              <w:rPr>
                <w:rFonts w:ascii="FilsonProMedium" w:hAnsi="FilsonProMedium"/>
                <w:color w:val="auto"/>
              </w:rPr>
            </w:pPr>
          </w:p>
        </w:tc>
        <w:tc>
          <w:tcPr>
            <w:tcW w:w="6236"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Number of involuntary hospital admissions</w:t>
            </w:r>
          </w:p>
        </w:tc>
        <w:tc>
          <w:tcPr>
            <w:tcW w:w="1984" w:type="dxa"/>
          </w:tcPr>
          <w:p w:rsidR="00AA769E" w:rsidRPr="00FB234C" w:rsidRDefault="00AA769E" w:rsidP="00AA769E">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2023–24</w:t>
            </w:r>
          </w:p>
        </w:tc>
        <w:tc>
          <w:tcPr>
            <w:tcW w:w="3969" w:type="dxa"/>
            <w:vMerge/>
          </w:tcPr>
          <w:p w:rsidR="00AA769E" w:rsidRPr="00241DAF" w:rsidRDefault="00AA769E" w:rsidP="00AA769E">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4" w:space="0" w:color="FFFFFF" w:themeColor="background1"/>
            </w:tcBorders>
            <w:shd w:val="clear" w:color="auto" w:fill="007054" w:themeFill="accent6"/>
          </w:tcPr>
          <w:p w:rsidR="00AA769E" w:rsidRDefault="00AA769E" w:rsidP="00D56211">
            <w:pPr>
              <w:keepNext/>
            </w:pPr>
            <w:r>
              <w:rPr>
                <w:lang w:val="en-GB"/>
              </w:rPr>
              <w:lastRenderedPageBreak/>
              <w:t>Community Attitudes</w:t>
            </w:r>
          </w:p>
        </w:tc>
        <w:tc>
          <w:tcPr>
            <w:tcW w:w="6236"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 of employers who value the contribution and benefits of employing people with disability</w:t>
            </w:r>
          </w:p>
        </w:tc>
        <w:tc>
          <w:tcPr>
            <w:tcW w:w="1984"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rFonts w:ascii="NunitoSans-Bold" w:hAnsi="NunitoSans-Bold" w:cs="NunitoSans-Bold"/>
                <w:b/>
                <w:bCs/>
                <w:lang w:val="en-GB"/>
              </w:rPr>
              <w:t>Late 2023</w:t>
            </w:r>
          </w:p>
        </w:tc>
        <w:tc>
          <w:tcPr>
            <w:tcW w:w="3969" w:type="dxa"/>
            <w:vMerge w:val="restart"/>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 xml:space="preserve">Data will come from the Strategy Survey. Data collection is occurring between September 2022 and January 2023. Data compilation will occur at the start of 2023, followed by analysis from March to June 2023 and integration into the </w:t>
            </w:r>
            <w:hyperlink r:id="rId32" w:history="1">
              <w:r>
                <w:rPr>
                  <w:rStyle w:val="Hyperlink"/>
                  <w:lang w:val="en-GB"/>
                </w:rPr>
                <w:t>Outcomes Framework webpages</w:t>
              </w:r>
            </w:hyperlink>
            <w:r>
              <w:rPr>
                <w:lang w:val="en-GB"/>
              </w:rPr>
              <w:t xml:space="preserve"> by September 2023. This will be reflected in the Outcomes Framework annual reporting from December 2023.</w:t>
            </w: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7054" w:themeFill="accent6"/>
          </w:tcPr>
          <w:p w:rsidR="00AA769E" w:rsidRPr="00241DAF" w:rsidRDefault="00AA769E" w:rsidP="00AA769E">
            <w:pPr>
              <w:rPr>
                <w:rFonts w:ascii="FilsonProMedium" w:hAnsi="FilsonProMedium"/>
                <w:color w:val="auto"/>
              </w:rPr>
            </w:pPr>
          </w:p>
        </w:tc>
        <w:tc>
          <w:tcPr>
            <w:tcW w:w="6236"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Key professionals are disability confident and respond positively to people with disability: </w:t>
            </w:r>
          </w:p>
          <w:p w:rsidR="00AA769E" w:rsidRDefault="00AA769E" w:rsidP="00AA769E">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 of educators</w:t>
            </w:r>
          </w:p>
          <w:p w:rsidR="00AA769E" w:rsidRDefault="00AA769E" w:rsidP="00AA769E">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 of health professionals</w:t>
            </w:r>
          </w:p>
          <w:p w:rsidR="00AA769E" w:rsidRDefault="00AA769E" w:rsidP="00AA769E">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 of personal and community support workers</w:t>
            </w:r>
          </w:p>
          <w:p w:rsidR="00AA769E" w:rsidRDefault="00AA769E" w:rsidP="00AA769E">
            <w:pPr>
              <w:pStyle w:val="Bullet1"/>
              <w:cnfStyle w:val="000000000000" w:firstRow="0" w:lastRow="0" w:firstColumn="0" w:lastColumn="0" w:oddVBand="0" w:evenVBand="0" w:oddHBand="0" w:evenHBand="0" w:firstRowFirstColumn="0" w:firstRowLastColumn="0" w:lastRowFirstColumn="0" w:lastRowLastColumn="0"/>
            </w:pPr>
            <w:r>
              <w:rPr>
                <w:lang w:val="en-GB"/>
              </w:rPr>
              <w:t>% of justice/legal sector workers</w:t>
            </w:r>
          </w:p>
        </w:tc>
        <w:tc>
          <w:tcPr>
            <w:tcW w:w="1984"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rFonts w:ascii="NunitoSans-Bold" w:hAnsi="NunitoSans-Bold" w:cs="NunitoSans-Bold"/>
                <w:b/>
                <w:bCs/>
                <w:lang w:val="en-GB"/>
              </w:rPr>
              <w:t>Late 2023</w:t>
            </w:r>
          </w:p>
        </w:tc>
        <w:tc>
          <w:tcPr>
            <w:tcW w:w="3969" w:type="dxa"/>
            <w:vMerge/>
          </w:tcPr>
          <w:p w:rsidR="00AA769E" w:rsidRPr="00241DAF" w:rsidRDefault="00AA769E" w:rsidP="00AA769E">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7054" w:themeFill="accent6"/>
          </w:tcPr>
          <w:p w:rsidR="00AA769E" w:rsidRPr="00241DAF" w:rsidRDefault="00AA769E" w:rsidP="00AA769E">
            <w:pPr>
              <w:rPr>
                <w:rFonts w:ascii="FilsonProMedium" w:hAnsi="FilsonProMedium"/>
                <w:color w:val="auto"/>
              </w:rPr>
            </w:pPr>
          </w:p>
        </w:tc>
        <w:tc>
          <w:tcPr>
            <w:tcW w:w="6236"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 of people with disability who report feeling represented in leadership roles</w:t>
            </w:r>
          </w:p>
        </w:tc>
        <w:tc>
          <w:tcPr>
            <w:tcW w:w="1984"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rFonts w:ascii="NunitoSans-Bold" w:hAnsi="NunitoSans-Bold" w:cs="NunitoSans-Bold"/>
                <w:b/>
                <w:bCs/>
                <w:lang w:val="en-GB"/>
              </w:rPr>
              <w:t>Late 2023</w:t>
            </w:r>
          </w:p>
        </w:tc>
        <w:tc>
          <w:tcPr>
            <w:tcW w:w="3969" w:type="dxa"/>
            <w:vMerge/>
          </w:tcPr>
          <w:p w:rsidR="00AA769E" w:rsidRPr="00241DAF" w:rsidRDefault="00AA769E" w:rsidP="00AA769E">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7054" w:themeFill="accent6"/>
          </w:tcPr>
          <w:p w:rsidR="00AA769E" w:rsidRPr="00241DAF" w:rsidRDefault="00AA769E" w:rsidP="00AA769E">
            <w:pPr>
              <w:rPr>
                <w:rFonts w:ascii="FilsonProMedium" w:hAnsi="FilsonProMedium"/>
                <w:color w:val="auto"/>
              </w:rPr>
            </w:pPr>
          </w:p>
        </w:tc>
        <w:tc>
          <w:tcPr>
            <w:tcW w:w="6236"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lang w:val="en-GB"/>
              </w:rPr>
              <w:t>% of people with disability who report feeling valued and respected in their community</w:t>
            </w:r>
          </w:p>
        </w:tc>
        <w:tc>
          <w:tcPr>
            <w:tcW w:w="1984" w:type="dxa"/>
          </w:tcPr>
          <w:p w:rsidR="00AA769E" w:rsidRDefault="00AA769E" w:rsidP="00AA769E">
            <w:pPr>
              <w:cnfStyle w:val="000000000000" w:firstRow="0" w:lastRow="0" w:firstColumn="0" w:lastColumn="0" w:oddVBand="0" w:evenVBand="0" w:oddHBand="0" w:evenHBand="0" w:firstRowFirstColumn="0" w:firstRowLastColumn="0" w:lastRowFirstColumn="0" w:lastRowLastColumn="0"/>
            </w:pPr>
            <w:r>
              <w:rPr>
                <w:rFonts w:ascii="NunitoSans-Bold" w:hAnsi="NunitoSans-Bold" w:cs="NunitoSans-Bold"/>
                <w:b/>
                <w:bCs/>
                <w:lang w:val="en-GB"/>
              </w:rPr>
              <w:t>Late 2023</w:t>
            </w:r>
          </w:p>
        </w:tc>
        <w:tc>
          <w:tcPr>
            <w:tcW w:w="3969" w:type="dxa"/>
            <w:vMerge/>
          </w:tcPr>
          <w:p w:rsidR="00AA769E" w:rsidRPr="00241DAF" w:rsidRDefault="00AA769E" w:rsidP="00AA769E">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bl>
    <w:p w:rsidR="00241DAF" w:rsidRDefault="00241DAF" w:rsidP="00BF3F11">
      <w:pPr>
        <w:pStyle w:val="TableTitle"/>
        <w:rPr>
          <w:lang w:val="en-GB"/>
        </w:rPr>
      </w:pPr>
      <w:bookmarkStart w:id="26" w:name="_Toc121849776"/>
      <w:r>
        <w:rPr>
          <w:lang w:val="en-GB"/>
        </w:rPr>
        <w:t>Future Measures requiring complex data linkage</w:t>
      </w:r>
      <w:bookmarkEnd w:id="26"/>
    </w:p>
    <w:tbl>
      <w:tblPr>
        <w:tblStyle w:val="LSTable"/>
        <w:tblW w:w="5000" w:type="pct"/>
        <w:tblInd w:w="5" w:type="dxa"/>
        <w:tblLook w:val="06A0" w:firstRow="1" w:lastRow="0" w:firstColumn="1" w:lastColumn="0" w:noHBand="1" w:noVBand="1"/>
      </w:tblPr>
      <w:tblGrid>
        <w:gridCol w:w="2380"/>
        <w:gridCol w:w="6239"/>
        <w:gridCol w:w="1982"/>
        <w:gridCol w:w="3969"/>
      </w:tblGrid>
      <w:tr w:rsidR="00FB234C" w:rsidTr="003315D6">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817" w:type="pct"/>
          </w:tcPr>
          <w:p w:rsidR="00BF3F11" w:rsidRDefault="00BF3F11" w:rsidP="00BF3F11">
            <w:r>
              <w:rPr>
                <w:lang w:val="en-GB"/>
              </w:rPr>
              <w:t>Outcome Area</w:t>
            </w:r>
          </w:p>
        </w:tc>
        <w:tc>
          <w:tcPr>
            <w:tcW w:w="2141" w:type="pct"/>
          </w:tcPr>
          <w:p w:rsidR="00BF3F11" w:rsidRDefault="00BF3F11" w:rsidP="00BF3F11">
            <w:pPr>
              <w:cnfStyle w:val="100000000000" w:firstRow="1" w:lastRow="0" w:firstColumn="0" w:lastColumn="0" w:oddVBand="0" w:evenVBand="0" w:oddHBand="0" w:evenHBand="0" w:firstRowFirstColumn="0" w:firstRowLastColumn="0" w:lastRowFirstColumn="0" w:lastRowLastColumn="0"/>
            </w:pPr>
            <w:r>
              <w:rPr>
                <w:lang w:val="en-GB"/>
              </w:rPr>
              <w:t>Measure</w:t>
            </w:r>
          </w:p>
        </w:tc>
        <w:tc>
          <w:tcPr>
            <w:tcW w:w="680" w:type="pct"/>
          </w:tcPr>
          <w:p w:rsidR="00BF3F11" w:rsidRDefault="00BF3F11" w:rsidP="00BF3F11">
            <w:pPr>
              <w:cnfStyle w:val="100000000000" w:firstRow="1" w:lastRow="0" w:firstColumn="0" w:lastColumn="0" w:oddVBand="0" w:evenVBand="0" w:oddHBand="0" w:evenHBand="0" w:firstRowFirstColumn="0" w:firstRowLastColumn="0" w:lastRowFirstColumn="0" w:lastRowLastColumn="0"/>
            </w:pPr>
            <w:r>
              <w:rPr>
                <w:lang w:val="en-GB"/>
              </w:rPr>
              <w:t>Timeline</w:t>
            </w:r>
          </w:p>
        </w:tc>
        <w:tc>
          <w:tcPr>
            <w:tcW w:w="1362" w:type="pct"/>
          </w:tcPr>
          <w:p w:rsidR="00BF3F11" w:rsidRDefault="00BF3F11" w:rsidP="00BF3F11">
            <w:pPr>
              <w:cnfStyle w:val="100000000000" w:firstRow="1" w:lastRow="0" w:firstColumn="0" w:lastColumn="0" w:oddVBand="0" w:evenVBand="0" w:oddHBand="0" w:evenHBand="0" w:firstRowFirstColumn="0" w:firstRowLastColumn="0" w:lastRowFirstColumn="0" w:lastRowLastColumn="0"/>
            </w:pPr>
            <w:r>
              <w:rPr>
                <w:lang w:val="en-GB"/>
              </w:rPr>
              <w:t>Notes</w:t>
            </w:r>
          </w:p>
        </w:tc>
      </w:tr>
      <w:tr w:rsidR="00B83B03" w:rsidTr="00BF3F11">
        <w:trPr>
          <w:trHeight w:val="113"/>
        </w:trPr>
        <w:tc>
          <w:tcPr>
            <w:cnfStyle w:val="001000000000" w:firstRow="0" w:lastRow="0" w:firstColumn="1" w:lastColumn="0" w:oddVBand="0" w:evenVBand="0" w:oddHBand="0" w:evenHBand="0" w:firstRowFirstColumn="0" w:firstRowLastColumn="0" w:lastRowFirstColumn="0" w:lastRowLastColumn="0"/>
            <w:tcW w:w="817" w:type="pct"/>
            <w:shd w:val="clear" w:color="auto" w:fill="573275" w:themeFill="accent1"/>
          </w:tcPr>
          <w:p w:rsidR="00BF3F11" w:rsidRDefault="00BF3F11" w:rsidP="00BF3F11">
            <w:r>
              <w:rPr>
                <w:lang w:val="en-GB"/>
              </w:rPr>
              <w:t>Employment and Financial Security</w:t>
            </w:r>
          </w:p>
        </w:tc>
        <w:tc>
          <w:tcPr>
            <w:tcW w:w="2141" w:type="pct"/>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xml:space="preserve">% of school leavers with disability who are not in employment/education/training 12 months later </w:t>
            </w:r>
          </w:p>
        </w:tc>
        <w:tc>
          <w:tcPr>
            <w:tcW w:w="680" w:type="pct"/>
            <w:vMerge w:val="restart"/>
          </w:tcPr>
          <w:p w:rsidR="00BF3F11" w:rsidRPr="00BF3F11" w:rsidRDefault="00BF3F11" w:rsidP="00BF3F11">
            <w:pPr>
              <w:cnfStyle w:val="000000000000" w:firstRow="0" w:lastRow="0" w:firstColumn="0" w:lastColumn="0" w:oddVBand="0" w:evenVBand="0" w:oddHBand="0" w:evenHBand="0" w:firstRowFirstColumn="0" w:firstRowLastColumn="0" w:lastRowFirstColumn="0" w:lastRowLastColumn="0"/>
              <w:rPr>
                <w:b/>
                <w:bCs/>
              </w:rPr>
            </w:pPr>
            <w:r w:rsidRPr="00BF3F11">
              <w:rPr>
                <w:b/>
                <w:bCs/>
                <w:lang w:val="en-GB"/>
              </w:rPr>
              <w:t>It is expected that this data will commence becoming available between 2024 and 2025</w:t>
            </w:r>
          </w:p>
        </w:tc>
        <w:tc>
          <w:tcPr>
            <w:tcW w:w="1362" w:type="pct"/>
            <w:vMerge w:val="restart"/>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This will require complex data linkage through the NDDA, which requires data from all states and territories.</w:t>
            </w:r>
          </w:p>
        </w:tc>
      </w:tr>
      <w:tr w:rsidR="00B83B03" w:rsidTr="00BF3F11">
        <w:trPr>
          <w:trHeight w:val="113"/>
        </w:trPr>
        <w:tc>
          <w:tcPr>
            <w:cnfStyle w:val="001000000000" w:firstRow="0" w:lastRow="0" w:firstColumn="1" w:lastColumn="0" w:oddVBand="0" w:evenVBand="0" w:oddHBand="0" w:evenHBand="0" w:firstRowFirstColumn="0" w:firstRowLastColumn="0" w:lastRowFirstColumn="0" w:lastRowLastColumn="0"/>
            <w:tcW w:w="817" w:type="pct"/>
            <w:vMerge w:val="restart"/>
            <w:shd w:val="clear" w:color="auto" w:fill="00492C" w:themeFill="text2"/>
          </w:tcPr>
          <w:p w:rsidR="00BF3F11" w:rsidRDefault="00BF3F11" w:rsidP="00BF3F11">
            <w:r>
              <w:rPr>
                <w:lang w:val="en-GB"/>
              </w:rPr>
              <w:t>Safety, Rights and</w:t>
            </w:r>
            <w:r w:rsidR="003315D6">
              <w:rPr>
                <w:lang w:val="en-GB"/>
              </w:rPr>
              <w:t> </w:t>
            </w:r>
            <w:r>
              <w:rPr>
                <w:lang w:val="en-GB"/>
              </w:rPr>
              <w:t>Justice</w:t>
            </w:r>
          </w:p>
        </w:tc>
        <w:tc>
          <w:tcPr>
            <w:tcW w:w="2141" w:type="pct"/>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xml:space="preserve">% of people with disability returning to corrective services within two years compared to % of people without disability </w:t>
            </w:r>
          </w:p>
        </w:tc>
        <w:tc>
          <w:tcPr>
            <w:tcW w:w="680" w:type="pct"/>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1362" w:type="pct"/>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83B03" w:rsidTr="00BF3F11">
        <w:trPr>
          <w:trHeight w:val="113"/>
        </w:trPr>
        <w:tc>
          <w:tcPr>
            <w:cnfStyle w:val="001000000000" w:firstRow="0" w:lastRow="0" w:firstColumn="1" w:lastColumn="0" w:oddVBand="0" w:evenVBand="0" w:oddHBand="0" w:evenHBand="0" w:firstRowFirstColumn="0" w:firstRowLastColumn="0" w:lastRowFirstColumn="0" w:lastRowLastColumn="0"/>
            <w:tcW w:w="817" w:type="pct"/>
            <w:vMerge/>
            <w:shd w:val="clear" w:color="auto" w:fill="00492C" w:themeFill="text2"/>
          </w:tcPr>
          <w:p w:rsidR="00BF3F11" w:rsidRPr="00241DAF" w:rsidRDefault="00BF3F11" w:rsidP="00BF3F11">
            <w:pPr>
              <w:rPr>
                <w:rFonts w:ascii="FilsonProMedium" w:hAnsi="FilsonProMedium"/>
                <w:color w:val="auto"/>
              </w:rPr>
            </w:pPr>
          </w:p>
        </w:tc>
        <w:tc>
          <w:tcPr>
            <w:tcW w:w="2141" w:type="pct"/>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with disability detained in prisons and forensic facilities compared to people without disability</w:t>
            </w:r>
          </w:p>
        </w:tc>
        <w:tc>
          <w:tcPr>
            <w:tcW w:w="680" w:type="pct"/>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1362" w:type="pct"/>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83B03" w:rsidTr="00BF3F11">
        <w:trPr>
          <w:trHeight w:val="113"/>
        </w:trPr>
        <w:tc>
          <w:tcPr>
            <w:cnfStyle w:val="001000000000" w:firstRow="0" w:lastRow="0" w:firstColumn="1" w:lastColumn="0" w:oddVBand="0" w:evenVBand="0" w:oddHBand="0" w:evenHBand="0" w:firstRowFirstColumn="0" w:firstRowLastColumn="0" w:lastRowFirstColumn="0" w:lastRowLastColumn="0"/>
            <w:tcW w:w="817" w:type="pct"/>
            <w:vMerge w:val="restart"/>
            <w:shd w:val="clear" w:color="auto" w:fill="CD163F" w:themeFill="accent4"/>
          </w:tcPr>
          <w:p w:rsidR="00BF3F11" w:rsidRDefault="00BF3F11" w:rsidP="00BF3F11">
            <w:r>
              <w:rPr>
                <w:lang w:val="en-GB"/>
              </w:rPr>
              <w:lastRenderedPageBreak/>
              <w:t>Education and Learning</w:t>
            </w:r>
          </w:p>
        </w:tc>
        <w:tc>
          <w:tcPr>
            <w:tcW w:w="2141" w:type="pct"/>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students with disability attending school 90% or more of the time</w:t>
            </w:r>
          </w:p>
        </w:tc>
        <w:tc>
          <w:tcPr>
            <w:tcW w:w="680" w:type="pct"/>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1362" w:type="pct"/>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83B03" w:rsidTr="00BF3F11">
        <w:trPr>
          <w:trHeight w:val="113"/>
        </w:trPr>
        <w:tc>
          <w:tcPr>
            <w:cnfStyle w:val="001000000000" w:firstRow="0" w:lastRow="0" w:firstColumn="1" w:lastColumn="0" w:oddVBand="0" w:evenVBand="0" w:oddHBand="0" w:evenHBand="0" w:firstRowFirstColumn="0" w:firstRowLastColumn="0" w:lastRowFirstColumn="0" w:lastRowLastColumn="0"/>
            <w:tcW w:w="817" w:type="pct"/>
            <w:vMerge/>
            <w:shd w:val="clear" w:color="auto" w:fill="CD163F" w:themeFill="accent4"/>
          </w:tcPr>
          <w:p w:rsidR="00BF3F11" w:rsidRPr="00241DAF" w:rsidRDefault="00BF3F11" w:rsidP="00BF3F11">
            <w:pPr>
              <w:rPr>
                <w:rFonts w:ascii="FilsonProMedium" w:hAnsi="FilsonProMedium"/>
                <w:color w:val="auto"/>
              </w:rPr>
            </w:pPr>
          </w:p>
        </w:tc>
        <w:tc>
          <w:tcPr>
            <w:tcW w:w="2141" w:type="pct"/>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students with disability in Year 9 achieving at or above the national minimum standard for reading</w:t>
            </w:r>
          </w:p>
        </w:tc>
        <w:tc>
          <w:tcPr>
            <w:tcW w:w="680" w:type="pct"/>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1362" w:type="pct"/>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83B03" w:rsidTr="00BF3F11">
        <w:trPr>
          <w:trHeight w:val="113"/>
        </w:trPr>
        <w:tc>
          <w:tcPr>
            <w:cnfStyle w:val="001000000000" w:firstRow="0" w:lastRow="0" w:firstColumn="1" w:lastColumn="0" w:oddVBand="0" w:evenVBand="0" w:oddHBand="0" w:evenHBand="0" w:firstRowFirstColumn="0" w:firstRowLastColumn="0" w:lastRowFirstColumn="0" w:lastRowLastColumn="0"/>
            <w:tcW w:w="817" w:type="pct"/>
            <w:vMerge/>
            <w:shd w:val="clear" w:color="auto" w:fill="CD163F" w:themeFill="accent4"/>
          </w:tcPr>
          <w:p w:rsidR="00BF3F11" w:rsidRPr="00241DAF" w:rsidRDefault="00BF3F11" w:rsidP="00BF3F11">
            <w:pPr>
              <w:rPr>
                <w:rFonts w:ascii="FilsonProMedium" w:hAnsi="FilsonProMedium"/>
                <w:color w:val="auto"/>
              </w:rPr>
            </w:pPr>
          </w:p>
        </w:tc>
        <w:tc>
          <w:tcPr>
            <w:tcW w:w="2141" w:type="pct"/>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children with disability who meet school readiness indicators in first year of school</w:t>
            </w:r>
          </w:p>
        </w:tc>
        <w:tc>
          <w:tcPr>
            <w:tcW w:w="680" w:type="pct"/>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1362" w:type="pct"/>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83B03" w:rsidTr="00BF3F11">
        <w:trPr>
          <w:trHeight w:val="113"/>
        </w:trPr>
        <w:tc>
          <w:tcPr>
            <w:cnfStyle w:val="001000000000" w:firstRow="0" w:lastRow="0" w:firstColumn="1" w:lastColumn="0" w:oddVBand="0" w:evenVBand="0" w:oddHBand="0" w:evenHBand="0" w:firstRowFirstColumn="0" w:firstRowLastColumn="0" w:lastRowFirstColumn="0" w:lastRowLastColumn="0"/>
            <w:tcW w:w="817" w:type="pct"/>
            <w:shd w:val="clear" w:color="auto" w:fill="180F5E" w:themeFill="accent5"/>
          </w:tcPr>
          <w:p w:rsidR="00BF3F11" w:rsidRDefault="00BF3F11" w:rsidP="00BF3F11">
            <w:r>
              <w:rPr>
                <w:lang w:val="en-GB"/>
              </w:rPr>
              <w:t>Health and Wellbeing</w:t>
            </w:r>
          </w:p>
        </w:tc>
        <w:tc>
          <w:tcPr>
            <w:tcW w:w="2141" w:type="pct"/>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Rates of restraint of people with disability in acute mental health hospital services</w:t>
            </w:r>
          </w:p>
        </w:tc>
        <w:tc>
          <w:tcPr>
            <w:tcW w:w="680" w:type="pct"/>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1362" w:type="pct"/>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bl>
    <w:p w:rsidR="00241DAF" w:rsidRDefault="00241DAF" w:rsidP="00BF3F11">
      <w:pPr>
        <w:pStyle w:val="TableTitle"/>
        <w:rPr>
          <w:lang w:val="en-GB"/>
        </w:rPr>
      </w:pPr>
      <w:bookmarkStart w:id="27" w:name="_Toc121849777"/>
      <w:r>
        <w:rPr>
          <w:lang w:val="en-GB"/>
        </w:rPr>
        <w:t>Future Measures requiring survey data</w:t>
      </w:r>
      <w:bookmarkEnd w:id="27"/>
    </w:p>
    <w:tbl>
      <w:tblPr>
        <w:tblStyle w:val="LSTable"/>
        <w:tblW w:w="14570" w:type="dxa"/>
        <w:tblLayout w:type="fixed"/>
        <w:tblLook w:val="06A0" w:firstRow="1" w:lastRow="0" w:firstColumn="1" w:lastColumn="0" w:noHBand="1" w:noVBand="1"/>
      </w:tblPr>
      <w:tblGrid>
        <w:gridCol w:w="2381"/>
        <w:gridCol w:w="6236"/>
        <w:gridCol w:w="1984"/>
        <w:gridCol w:w="3969"/>
      </w:tblGrid>
      <w:tr w:rsidR="00BF3F11" w:rsidTr="00D56211">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2381" w:type="dxa"/>
          </w:tcPr>
          <w:p w:rsidR="00BF3F11" w:rsidRDefault="00BF3F11" w:rsidP="00BF3F11">
            <w:r>
              <w:rPr>
                <w:lang w:val="en-GB"/>
              </w:rPr>
              <w:t>Outcome Area</w:t>
            </w:r>
          </w:p>
        </w:tc>
        <w:tc>
          <w:tcPr>
            <w:tcW w:w="6236" w:type="dxa"/>
          </w:tcPr>
          <w:p w:rsidR="00BF3F11" w:rsidRDefault="00BF3F11" w:rsidP="00BF3F11">
            <w:pPr>
              <w:cnfStyle w:val="100000000000" w:firstRow="1" w:lastRow="0" w:firstColumn="0" w:lastColumn="0" w:oddVBand="0" w:evenVBand="0" w:oddHBand="0" w:evenHBand="0" w:firstRowFirstColumn="0" w:firstRowLastColumn="0" w:lastRowFirstColumn="0" w:lastRowLastColumn="0"/>
            </w:pPr>
            <w:r>
              <w:rPr>
                <w:lang w:val="en-GB"/>
              </w:rPr>
              <w:t>Measure</w:t>
            </w:r>
          </w:p>
        </w:tc>
        <w:tc>
          <w:tcPr>
            <w:tcW w:w="1984" w:type="dxa"/>
          </w:tcPr>
          <w:p w:rsidR="00BF3F11" w:rsidRDefault="00BF3F11" w:rsidP="00BF3F11">
            <w:pPr>
              <w:cnfStyle w:val="100000000000" w:firstRow="1" w:lastRow="0" w:firstColumn="0" w:lastColumn="0" w:oddVBand="0" w:evenVBand="0" w:oddHBand="0" w:evenHBand="0" w:firstRowFirstColumn="0" w:firstRowLastColumn="0" w:lastRowFirstColumn="0" w:lastRowLastColumn="0"/>
            </w:pPr>
            <w:r>
              <w:rPr>
                <w:lang w:val="en-GB"/>
              </w:rPr>
              <w:t>Timeline</w:t>
            </w:r>
          </w:p>
        </w:tc>
        <w:tc>
          <w:tcPr>
            <w:tcW w:w="3969" w:type="dxa"/>
          </w:tcPr>
          <w:p w:rsidR="00BF3F11" w:rsidRDefault="00BF3F11" w:rsidP="00BF3F11">
            <w:pPr>
              <w:cnfStyle w:val="100000000000" w:firstRow="1" w:lastRow="0" w:firstColumn="0" w:lastColumn="0" w:oddVBand="0" w:evenVBand="0" w:oddHBand="0" w:evenHBand="0" w:firstRowFirstColumn="0" w:firstRowLastColumn="0" w:lastRowFirstColumn="0" w:lastRowLastColumn="0"/>
            </w:pPr>
            <w:r>
              <w:rPr>
                <w:lang w:val="en-GB"/>
              </w:rPr>
              <w:t>Notes</w:t>
            </w: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4" w:space="0" w:color="FFFFFF" w:themeColor="background1"/>
            </w:tcBorders>
            <w:shd w:val="clear" w:color="auto" w:fill="005689" w:themeFill="accent2"/>
          </w:tcPr>
          <w:p w:rsidR="00BF3F11" w:rsidRDefault="00BF3F11" w:rsidP="00BF3F11">
            <w:r>
              <w:rPr>
                <w:lang w:val="en-GB"/>
              </w:rPr>
              <w:t>Inclusive Homes and Communities</w:t>
            </w: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Number of community, political, social, recreational, sporting, religious and cultural groups that have active inclusion policies for people with disability</w:t>
            </w:r>
          </w:p>
        </w:tc>
        <w:tc>
          <w:tcPr>
            <w:tcW w:w="1984" w:type="dxa"/>
          </w:tcPr>
          <w:p w:rsidR="00BF3F11" w:rsidRPr="00FB234C" w:rsidRDefault="00BF3F11" w:rsidP="00BF3F11">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Data expected 2026</w:t>
            </w:r>
          </w:p>
        </w:tc>
        <w:tc>
          <w:tcPr>
            <w:tcW w:w="3969"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Data from an organisational survey will be required – DSS to lead development.</w:t>
            </w: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5689" w:themeFill="accent2"/>
          </w:tcPr>
          <w:p w:rsidR="00BF3F11" w:rsidRPr="00241DAF" w:rsidRDefault="00BF3F11" w:rsidP="00BF3F11">
            <w:pPr>
              <w:rPr>
                <w:rFonts w:ascii="FilsonProMedium" w:hAnsi="FilsonProMedium"/>
                <w:color w:val="auto"/>
              </w:rPr>
            </w:pP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with disability whose home is suitable and accessible</w:t>
            </w:r>
          </w:p>
        </w:tc>
        <w:tc>
          <w:tcPr>
            <w:tcW w:w="1984" w:type="dxa"/>
            <w:vMerge w:val="restart"/>
          </w:tcPr>
          <w:p w:rsidR="00BF3F11" w:rsidRPr="00FB234C" w:rsidRDefault="00BF3F11" w:rsidP="00BF3F11">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Data expected 2024 or 2026</w:t>
            </w:r>
          </w:p>
        </w:tc>
        <w:tc>
          <w:tcPr>
            <w:tcW w:w="3969" w:type="dxa"/>
            <w:vMerge w:val="restart"/>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Data from a population survey, such as the Strategy Survey or the SDAC will be required.</w:t>
            </w: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5689" w:themeFill="accent2"/>
          </w:tcPr>
          <w:p w:rsidR="00BF3F11" w:rsidRPr="00241DAF" w:rsidRDefault="00BF3F11" w:rsidP="00BF3F11">
            <w:pPr>
              <w:rPr>
                <w:rFonts w:ascii="FilsonProMedium" w:hAnsi="FilsonProMedium"/>
                <w:color w:val="auto"/>
              </w:rPr>
            </w:pP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with disability who can access public or private transport when needed</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5689" w:themeFill="accent2"/>
          </w:tcPr>
          <w:p w:rsidR="00BF3F11" w:rsidRPr="00241DAF" w:rsidRDefault="00BF3F11" w:rsidP="00BF3F11">
            <w:pPr>
              <w:rPr>
                <w:rFonts w:ascii="FilsonProMedium" w:hAnsi="FilsonProMedium"/>
                <w:color w:val="auto"/>
              </w:rPr>
            </w:pP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with disability reporting the internet sites and apps they want to use are accessible</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FFFFFF" w:themeColor="background1"/>
            </w:tcBorders>
            <w:shd w:val="clear" w:color="auto" w:fill="00492C" w:themeFill="text2"/>
          </w:tcPr>
          <w:p w:rsidR="00BF3F11" w:rsidRDefault="00BF3F11" w:rsidP="00BF3F11">
            <w:r>
              <w:rPr>
                <w:lang w:val="en-GB"/>
              </w:rPr>
              <w:t>Safety, Rights and</w:t>
            </w:r>
            <w:r w:rsidR="003315D6">
              <w:rPr>
                <w:lang w:val="en-GB"/>
              </w:rPr>
              <w:t> </w:t>
            </w:r>
            <w:r>
              <w:rPr>
                <w:lang w:val="en-GB"/>
              </w:rPr>
              <w:t>Justice</w:t>
            </w: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with disability who reported having equal access to justice compared to people without disability</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4" w:space="0" w:color="FFFFFF" w:themeColor="background1"/>
            </w:tcBorders>
            <w:shd w:val="clear" w:color="auto" w:fill="7A0441" w:themeFill="accent3"/>
          </w:tcPr>
          <w:p w:rsidR="00BF3F11" w:rsidRDefault="00BF3F11" w:rsidP="00BF3F11">
            <w:r>
              <w:rPr>
                <w:lang w:val="en-GB"/>
              </w:rPr>
              <w:lastRenderedPageBreak/>
              <w:t>Personal and Community Support</w:t>
            </w: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who report that they can access mainstream support services when they need them</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7A0441" w:themeFill="accent3"/>
          </w:tcPr>
          <w:p w:rsidR="00BF3F11" w:rsidRPr="00241DAF" w:rsidRDefault="00BF3F11" w:rsidP="00BF3F11">
            <w:pPr>
              <w:rPr>
                <w:rFonts w:ascii="FilsonProMedium" w:hAnsi="FilsonProMedium"/>
                <w:color w:val="auto"/>
              </w:rPr>
            </w:pP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with disability who can access the assistive technology they need</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4" w:space="0" w:color="FFFFFF" w:themeColor="background1"/>
            </w:tcBorders>
            <w:shd w:val="clear" w:color="auto" w:fill="CD163F" w:themeFill="accent4"/>
          </w:tcPr>
          <w:p w:rsidR="00BF3F11" w:rsidRDefault="00BF3F11" w:rsidP="00BF3F11">
            <w:r>
              <w:rPr>
                <w:lang w:val="en-GB"/>
              </w:rPr>
              <w:t>Education and Learning</w:t>
            </w: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with disability who reported satisfaction with their access to Adult Community Education (ACE)</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CD163F" w:themeFill="accent4"/>
          </w:tcPr>
          <w:p w:rsidR="00BF3F11" w:rsidRPr="00241DAF" w:rsidRDefault="00BF3F11" w:rsidP="00BF3F11">
            <w:pPr>
              <w:rPr>
                <w:rFonts w:ascii="FilsonProMedium" w:hAnsi="FilsonProMedium"/>
                <w:color w:val="auto"/>
              </w:rPr>
            </w:pP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with disability who report having participated in an informal learning activity in the last 12 months</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4" w:space="0" w:color="FFFFFF" w:themeColor="background1"/>
            </w:tcBorders>
            <w:shd w:val="clear" w:color="auto" w:fill="180F5E" w:themeFill="accent5"/>
          </w:tcPr>
          <w:p w:rsidR="00BF3F11" w:rsidRDefault="00BF3F11" w:rsidP="00BF3F11">
            <w:r>
              <w:rPr>
                <w:lang w:val="en-GB"/>
              </w:rPr>
              <w:t>Health and Wellbeing</w:t>
            </w: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with disability who are satisfied with the quality of care provided by the allied and community health sector</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180F5E" w:themeFill="accent5"/>
          </w:tcPr>
          <w:p w:rsidR="00BF3F11" w:rsidRPr="00241DAF" w:rsidRDefault="00BF3F11" w:rsidP="00BF3F11">
            <w:pPr>
              <w:rPr>
                <w:rFonts w:ascii="FilsonProMedium" w:hAnsi="FilsonProMedium"/>
                <w:color w:val="auto"/>
              </w:rPr>
            </w:pP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with disability who accessed prevention and early intervention services in the last 12 months without difficulty compared to people without disability</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180F5E" w:themeFill="accent5"/>
          </w:tcPr>
          <w:p w:rsidR="00BF3F11" w:rsidRPr="00241DAF" w:rsidRDefault="00BF3F11" w:rsidP="00BF3F11">
            <w:pPr>
              <w:rPr>
                <w:rFonts w:ascii="FilsonProMedium" w:hAnsi="FilsonProMedium"/>
                <w:color w:val="auto"/>
              </w:rPr>
            </w:pP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with disabilities reporting satisfaction in the accessibility of emergency, disaster preparedness and response information and services</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bl>
    <w:p w:rsidR="00241DAF" w:rsidRDefault="00241DAF" w:rsidP="00FB234C">
      <w:pPr>
        <w:rPr>
          <w:lang w:val="en-GB"/>
        </w:rPr>
      </w:pPr>
    </w:p>
    <w:p w:rsidR="00B75B77" w:rsidRDefault="00B75B77" w:rsidP="00FB234C">
      <w:pPr>
        <w:rPr>
          <w:lang w:val="en-GB"/>
        </w:rPr>
      </w:pPr>
    </w:p>
    <w:p w:rsidR="00B75B77" w:rsidRDefault="00B75B77" w:rsidP="00FB234C">
      <w:pPr>
        <w:rPr>
          <w:lang w:val="en-GB"/>
        </w:rPr>
      </w:pPr>
      <w:bookmarkStart w:id="28" w:name="_GoBack"/>
      <w:bookmarkEnd w:id="28"/>
    </w:p>
    <w:p w:rsidR="00241DAF" w:rsidRDefault="00241DAF" w:rsidP="00BF3F11">
      <w:pPr>
        <w:pStyle w:val="TableTitle"/>
        <w:rPr>
          <w:lang w:val="en-GB"/>
        </w:rPr>
      </w:pPr>
      <w:bookmarkStart w:id="29" w:name="_Toc121849778"/>
      <w:r>
        <w:rPr>
          <w:lang w:val="en-GB"/>
        </w:rPr>
        <w:lastRenderedPageBreak/>
        <w:t>Future Measures requiring further collaborative work</w:t>
      </w:r>
      <w:bookmarkEnd w:id="29"/>
    </w:p>
    <w:tbl>
      <w:tblPr>
        <w:tblStyle w:val="LSTable"/>
        <w:tblW w:w="14570" w:type="dxa"/>
        <w:tblInd w:w="10" w:type="dxa"/>
        <w:tblLayout w:type="fixed"/>
        <w:tblLook w:val="06A0" w:firstRow="1" w:lastRow="0" w:firstColumn="1" w:lastColumn="0" w:noHBand="1" w:noVBand="1"/>
      </w:tblPr>
      <w:tblGrid>
        <w:gridCol w:w="2381"/>
        <w:gridCol w:w="6236"/>
        <w:gridCol w:w="1984"/>
        <w:gridCol w:w="3969"/>
      </w:tblGrid>
      <w:tr w:rsidR="00BF3F11" w:rsidTr="00D56211">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2381" w:type="dxa"/>
          </w:tcPr>
          <w:p w:rsidR="00BF3F11" w:rsidRDefault="00BF3F11" w:rsidP="00BF3F11">
            <w:r>
              <w:rPr>
                <w:lang w:val="en-GB"/>
              </w:rPr>
              <w:t>Outcome Area</w:t>
            </w:r>
          </w:p>
        </w:tc>
        <w:tc>
          <w:tcPr>
            <w:tcW w:w="6236" w:type="dxa"/>
          </w:tcPr>
          <w:p w:rsidR="00BF3F11" w:rsidRDefault="00BF3F11" w:rsidP="00BF3F11">
            <w:pPr>
              <w:cnfStyle w:val="100000000000" w:firstRow="1" w:lastRow="0" w:firstColumn="0" w:lastColumn="0" w:oddVBand="0" w:evenVBand="0" w:oddHBand="0" w:evenHBand="0" w:firstRowFirstColumn="0" w:firstRowLastColumn="0" w:lastRowFirstColumn="0" w:lastRowLastColumn="0"/>
            </w:pPr>
            <w:r>
              <w:rPr>
                <w:lang w:val="en-GB"/>
              </w:rPr>
              <w:t>Measure</w:t>
            </w:r>
          </w:p>
        </w:tc>
        <w:tc>
          <w:tcPr>
            <w:tcW w:w="1984" w:type="dxa"/>
          </w:tcPr>
          <w:p w:rsidR="00BF3F11" w:rsidRDefault="00BF3F11" w:rsidP="00BF3F11">
            <w:pPr>
              <w:cnfStyle w:val="100000000000" w:firstRow="1" w:lastRow="0" w:firstColumn="0" w:lastColumn="0" w:oddVBand="0" w:evenVBand="0" w:oddHBand="0" w:evenHBand="0" w:firstRowFirstColumn="0" w:firstRowLastColumn="0" w:lastRowFirstColumn="0" w:lastRowLastColumn="0"/>
            </w:pPr>
            <w:r>
              <w:rPr>
                <w:lang w:val="en-GB"/>
              </w:rPr>
              <w:t>Timeline</w:t>
            </w:r>
          </w:p>
        </w:tc>
        <w:tc>
          <w:tcPr>
            <w:tcW w:w="3969" w:type="dxa"/>
          </w:tcPr>
          <w:p w:rsidR="00BF3F11" w:rsidRDefault="00BF3F11" w:rsidP="00BF3F11">
            <w:pPr>
              <w:cnfStyle w:val="100000000000" w:firstRow="1" w:lastRow="0" w:firstColumn="0" w:lastColumn="0" w:oddVBand="0" w:evenVBand="0" w:oddHBand="0" w:evenHBand="0" w:firstRowFirstColumn="0" w:firstRowLastColumn="0" w:lastRowFirstColumn="0" w:lastRowLastColumn="0"/>
            </w:pPr>
            <w:r>
              <w:rPr>
                <w:lang w:val="en-GB"/>
              </w:rPr>
              <w:t>Notes</w:t>
            </w: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4" w:space="0" w:color="FFFFFF" w:themeColor="background1"/>
            </w:tcBorders>
            <w:shd w:val="clear" w:color="auto" w:fill="005689" w:themeFill="accent2"/>
          </w:tcPr>
          <w:p w:rsidR="00BF3F11" w:rsidRDefault="00BF3F11" w:rsidP="00BF3F11">
            <w:r>
              <w:rPr>
                <w:lang w:val="en-GB"/>
              </w:rPr>
              <w:t>Inclusive Homes and Communities</w:t>
            </w: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Number and % of homes that are built to standards according to the National Construction Code (NCC) and the Livable Housing Design, Australian Building Codes Board (ABCB) Standard</w:t>
            </w:r>
          </w:p>
        </w:tc>
        <w:tc>
          <w:tcPr>
            <w:tcW w:w="1984" w:type="dxa"/>
            <w:vMerge w:val="restart"/>
          </w:tcPr>
          <w:p w:rsidR="00BF3F11" w:rsidRPr="00FB234C" w:rsidRDefault="00BF3F11" w:rsidP="00BF3F11">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Administrative work and agreement on collection due by end of 2023</w:t>
            </w:r>
          </w:p>
        </w:tc>
        <w:tc>
          <w:tcPr>
            <w:tcW w:w="3969" w:type="dxa"/>
            <w:vMerge w:val="restart"/>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Require administrative work.</w:t>
            </w: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5689" w:themeFill="accent2"/>
          </w:tcPr>
          <w:p w:rsidR="00BF3F11" w:rsidRPr="00241DAF" w:rsidRDefault="00BF3F11" w:rsidP="00BF3F11">
            <w:pPr>
              <w:rPr>
                <w:rFonts w:ascii="FilsonProMedium" w:hAnsi="FilsonProMedium"/>
                <w:color w:val="auto"/>
              </w:rPr>
            </w:pP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compliance with the Disability Standards for Accessible Public Transport</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5689" w:themeFill="accent2"/>
          </w:tcPr>
          <w:p w:rsidR="00BF3F11" w:rsidRPr="00241DAF" w:rsidRDefault="00BF3F11" w:rsidP="00BF3F11">
            <w:pPr>
              <w:rPr>
                <w:rFonts w:ascii="FilsonProMedium" w:hAnsi="FilsonProMedium"/>
                <w:color w:val="auto"/>
              </w:rPr>
            </w:pP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Australian, state and territory, and local government websites that meet Web Content Accessibility Guidelines 2.0 accessibility standard or above</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5689" w:themeFill="accent2"/>
          </w:tcPr>
          <w:p w:rsidR="00BF3F11" w:rsidRPr="00241DAF" w:rsidRDefault="00BF3F11" w:rsidP="00BF3F11">
            <w:pPr>
              <w:rPr>
                <w:rFonts w:ascii="FilsonProMedium" w:hAnsi="FilsonProMedium"/>
                <w:color w:val="auto"/>
              </w:rPr>
            </w:pP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social housing dwellings that meet Livable Housing Design silver accessibility standards</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4" w:space="0" w:color="FFFFFF" w:themeColor="background1"/>
            </w:tcBorders>
            <w:shd w:val="clear" w:color="auto" w:fill="00492C" w:themeFill="text2"/>
          </w:tcPr>
          <w:p w:rsidR="00BF3F11" w:rsidRDefault="00BF3F11" w:rsidP="00BF3F11">
            <w:r>
              <w:rPr>
                <w:lang w:val="en-GB"/>
              </w:rPr>
              <w:t>Safety, Rights and</w:t>
            </w:r>
            <w:r w:rsidR="003315D6">
              <w:rPr>
                <w:lang w:val="en-GB"/>
              </w:rPr>
              <w:t> </w:t>
            </w:r>
            <w:r>
              <w:rPr>
                <w:lang w:val="en-GB"/>
              </w:rPr>
              <w:t>Justice</w:t>
            </w: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domestic and family violence services that are accessible and inclusive for women with disability</w:t>
            </w:r>
          </w:p>
        </w:tc>
        <w:tc>
          <w:tcPr>
            <w:tcW w:w="1984" w:type="dxa"/>
            <w:vMerge w:val="restart"/>
          </w:tcPr>
          <w:p w:rsidR="00BF3F11" w:rsidRPr="00FB234C" w:rsidRDefault="00BF3F11" w:rsidP="00BF3F11">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Definitional and methodological work and agreement on collection due by end of 2023</w:t>
            </w:r>
          </w:p>
        </w:tc>
        <w:tc>
          <w:tcPr>
            <w:tcW w:w="3969" w:type="dxa"/>
            <w:vMerge w:val="restart"/>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Require definitional and methodological work.</w:t>
            </w: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492C" w:themeFill="text2"/>
          </w:tcPr>
          <w:p w:rsidR="00BF3F11" w:rsidRPr="00241DAF" w:rsidRDefault="00BF3F11" w:rsidP="00BF3F11">
            <w:pPr>
              <w:rPr>
                <w:rFonts w:ascii="FilsonProMedium" w:hAnsi="FilsonProMedium"/>
                <w:color w:val="auto"/>
              </w:rPr>
            </w:pP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Number of services for people with disability use a trauma informed approach</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492C" w:themeFill="text2"/>
          </w:tcPr>
          <w:p w:rsidR="00BF3F11" w:rsidRPr="00241DAF" w:rsidRDefault="00BF3F11" w:rsidP="00BF3F11">
            <w:pPr>
              <w:rPr>
                <w:rFonts w:ascii="FilsonProMedium" w:hAnsi="FilsonProMedium"/>
                <w:color w:val="auto"/>
              </w:rPr>
            </w:pP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of people with disability supported to communicate and participate when interacting with police or judicial officers at court</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r w:rsidR="00BF3F11" w:rsidTr="00BF3F11">
        <w:trPr>
          <w:trHeight w:val="113"/>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FFFFFF" w:themeColor="background1"/>
            </w:tcBorders>
            <w:shd w:val="clear" w:color="auto" w:fill="180F5E" w:themeFill="accent5"/>
          </w:tcPr>
          <w:p w:rsidR="00BF3F11" w:rsidRDefault="00BF3F11" w:rsidP="00BF3F11">
            <w:r>
              <w:rPr>
                <w:lang w:val="en-GB"/>
              </w:rPr>
              <w:t>Health and Wellbeing</w:t>
            </w:r>
          </w:p>
        </w:tc>
        <w:tc>
          <w:tcPr>
            <w:tcW w:w="6236" w:type="dxa"/>
          </w:tcPr>
          <w:p w:rsidR="00BF3F11" w:rsidRDefault="00BF3F11" w:rsidP="00BF3F11">
            <w:pPr>
              <w:cnfStyle w:val="000000000000" w:firstRow="0" w:lastRow="0" w:firstColumn="0" w:lastColumn="0" w:oddVBand="0" w:evenVBand="0" w:oddHBand="0" w:evenHBand="0" w:firstRowFirstColumn="0" w:firstRowLastColumn="0" w:lastRowFirstColumn="0" w:lastRowLastColumn="0"/>
            </w:pPr>
            <w:r>
              <w:rPr>
                <w:lang w:val="en-GB"/>
              </w:rPr>
              <w:t>% (and number) of disaster management services that have disability inclusive plans in place</w:t>
            </w:r>
          </w:p>
        </w:tc>
        <w:tc>
          <w:tcPr>
            <w:tcW w:w="1984"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c>
          <w:tcPr>
            <w:tcW w:w="3969" w:type="dxa"/>
            <w:vMerge/>
          </w:tcPr>
          <w:p w:rsidR="00BF3F11" w:rsidRPr="00241DAF" w:rsidRDefault="00BF3F11" w:rsidP="00BF3F11">
            <w:pPr>
              <w:cnfStyle w:val="000000000000" w:firstRow="0" w:lastRow="0" w:firstColumn="0" w:lastColumn="0" w:oddVBand="0" w:evenVBand="0" w:oddHBand="0" w:evenHBand="0" w:firstRowFirstColumn="0" w:firstRowLastColumn="0" w:lastRowFirstColumn="0" w:lastRowLastColumn="0"/>
              <w:rPr>
                <w:rFonts w:ascii="FilsonProMedium" w:hAnsi="FilsonProMedium"/>
                <w:color w:val="auto"/>
              </w:rPr>
            </w:pPr>
          </w:p>
        </w:tc>
      </w:tr>
    </w:tbl>
    <w:p w:rsidR="00241DAF" w:rsidRDefault="00241DAF" w:rsidP="00BF3F11">
      <w:pPr>
        <w:rPr>
          <w:lang w:val="en-GB"/>
        </w:rPr>
      </w:pPr>
    </w:p>
    <w:p w:rsidR="00BF3F11" w:rsidRDefault="00BF3F11" w:rsidP="00BF3F11">
      <w:pPr>
        <w:rPr>
          <w:lang w:val="en-GB"/>
        </w:rPr>
        <w:sectPr w:rsidR="00BF3F11" w:rsidSect="00AA769E">
          <w:pgSz w:w="16838" w:h="11906" w:orient="landscape" w:code="9"/>
          <w:pgMar w:top="1134" w:right="1134" w:bottom="1134" w:left="1134" w:header="567" w:footer="567" w:gutter="0"/>
          <w:cols w:space="720"/>
          <w:noEndnote/>
          <w:docGrid w:linePitch="299"/>
        </w:sectPr>
      </w:pPr>
    </w:p>
    <w:p w:rsidR="00241DAF" w:rsidRDefault="00241DAF" w:rsidP="00BF3F11">
      <w:pPr>
        <w:pStyle w:val="Heading1"/>
        <w:rPr>
          <w:lang w:val="en-GB"/>
        </w:rPr>
      </w:pPr>
      <w:bookmarkStart w:id="30" w:name="_Toc121849779"/>
      <w:r>
        <w:rPr>
          <w:lang w:val="en-GB"/>
        </w:rPr>
        <w:lastRenderedPageBreak/>
        <w:t>8. Launch Measures in</w:t>
      </w:r>
      <w:r w:rsidR="00AA769E">
        <w:rPr>
          <w:lang w:val="en-GB"/>
        </w:rPr>
        <w:t xml:space="preserve"> </w:t>
      </w:r>
      <w:r>
        <w:rPr>
          <w:lang w:val="en-GB"/>
        </w:rPr>
        <w:t>the</w:t>
      </w:r>
      <w:r w:rsidR="00AA769E">
        <w:rPr>
          <w:lang w:val="en-GB"/>
        </w:rPr>
        <w:t xml:space="preserve"> </w:t>
      </w:r>
      <w:r>
        <w:rPr>
          <w:lang w:val="en-GB"/>
        </w:rPr>
        <w:t>Outcomes Framework</w:t>
      </w:r>
      <w:bookmarkEnd w:id="30"/>
    </w:p>
    <w:p w:rsidR="00241DAF" w:rsidRDefault="00241DAF" w:rsidP="00BF3F11">
      <w:pPr>
        <w:pStyle w:val="Heading2"/>
        <w:rPr>
          <w:lang w:val="en-GB"/>
        </w:rPr>
      </w:pPr>
      <w:bookmarkStart w:id="31" w:name="_Toc121849780"/>
      <w:r>
        <w:rPr>
          <w:lang w:val="en-GB"/>
        </w:rPr>
        <w:t>8.1</w:t>
      </w:r>
      <w:r w:rsidR="00466983">
        <w:rPr>
          <w:lang w:val="en-GB"/>
        </w:rPr>
        <w:t xml:space="preserve"> </w:t>
      </w:r>
      <w:r>
        <w:rPr>
          <w:lang w:val="en-GB"/>
        </w:rPr>
        <w:t>Improving Launch Measures through Linkage</w:t>
      </w:r>
      <w:bookmarkEnd w:id="31"/>
    </w:p>
    <w:p w:rsidR="00241DAF" w:rsidRDefault="00241DAF" w:rsidP="00BF3F11">
      <w:pPr>
        <w:rPr>
          <w:lang w:val="en-GB"/>
        </w:rPr>
      </w:pPr>
      <w:r>
        <w:rPr>
          <w:lang w:val="en-GB"/>
        </w:rPr>
        <w:t>As well as developing data for future measures, linked data should also help improve some launch measures by:</w:t>
      </w:r>
    </w:p>
    <w:p w:rsidR="00241DAF" w:rsidRDefault="00241DAF" w:rsidP="00BF3F11">
      <w:pPr>
        <w:pStyle w:val="Bullet1"/>
        <w:rPr>
          <w:lang w:val="en-GB"/>
        </w:rPr>
      </w:pPr>
      <w:r>
        <w:rPr>
          <w:lang w:val="en-GB"/>
        </w:rPr>
        <w:t>improving the quality of data used in analysis of the measures</w:t>
      </w:r>
    </w:p>
    <w:p w:rsidR="00241DAF" w:rsidRDefault="00241DAF" w:rsidP="00BF3F11">
      <w:pPr>
        <w:pStyle w:val="Bullet1"/>
        <w:rPr>
          <w:lang w:val="en-GB"/>
        </w:rPr>
      </w:pPr>
      <w:r>
        <w:rPr>
          <w:lang w:val="en-GB"/>
        </w:rPr>
        <w:t>offering new insights that were not previously available</w:t>
      </w:r>
    </w:p>
    <w:p w:rsidR="00241DAF" w:rsidRDefault="00241DAF" w:rsidP="00BF3F11">
      <w:pPr>
        <w:pStyle w:val="Bullet1"/>
        <w:rPr>
          <w:lang w:val="en-GB"/>
        </w:rPr>
      </w:pPr>
      <w:r>
        <w:rPr>
          <w:lang w:val="en-GB"/>
        </w:rPr>
        <w:t xml:space="preserve">increasing the frequency for reporting on the measures </w:t>
      </w:r>
    </w:p>
    <w:p w:rsidR="00241DAF" w:rsidRDefault="00241DAF" w:rsidP="00BF3F11">
      <w:pPr>
        <w:pStyle w:val="Bullet1"/>
        <w:rPr>
          <w:lang w:val="en-GB"/>
        </w:rPr>
      </w:pPr>
      <w:r>
        <w:rPr>
          <w:lang w:val="en-GB"/>
        </w:rPr>
        <w:t xml:space="preserve">allowing people to access data on measures more relevant to them – for example, based upon their geography, type of disability, use of disability supports. </w:t>
      </w:r>
    </w:p>
    <w:p w:rsidR="00241DAF" w:rsidRDefault="00241DAF" w:rsidP="00BF3F11">
      <w:pPr>
        <w:rPr>
          <w:lang w:val="en-GB"/>
        </w:rPr>
      </w:pPr>
      <w:r>
        <w:rPr>
          <w:lang w:val="en-GB"/>
        </w:rPr>
        <w:t>Some of this will be through the NDDA when it is established, and some will be through existing data linkages. For a list of launch measures that may be improved through data linkage, see Table</w:t>
      </w:r>
      <w:r w:rsidR="00BF3F11">
        <w:rPr>
          <w:lang w:val="en-GB"/>
        </w:rPr>
        <w:t> </w:t>
      </w:r>
      <w:r>
        <w:rPr>
          <w:lang w:val="en-GB"/>
        </w:rPr>
        <w:t>8.</w:t>
      </w:r>
    </w:p>
    <w:p w:rsidR="00EF1D2C" w:rsidRDefault="00EF1D2C" w:rsidP="00BF3F11">
      <w:pPr>
        <w:rPr>
          <w:lang w:val="en-GB"/>
        </w:rPr>
      </w:pPr>
    </w:p>
    <w:p w:rsidR="00EF1D2C" w:rsidRDefault="00EF1D2C" w:rsidP="00BF3F11">
      <w:pPr>
        <w:rPr>
          <w:lang w:val="en-GB"/>
        </w:rPr>
        <w:sectPr w:rsidR="00EF1D2C" w:rsidSect="00BF3F11">
          <w:pgSz w:w="11906" w:h="16838" w:code="9"/>
          <w:pgMar w:top="1134" w:right="1134" w:bottom="1134" w:left="1134" w:header="567" w:footer="567" w:gutter="0"/>
          <w:cols w:space="720"/>
          <w:noEndnote/>
          <w:docGrid w:linePitch="299"/>
        </w:sectPr>
      </w:pPr>
    </w:p>
    <w:p w:rsidR="00241DAF" w:rsidRDefault="00241DAF" w:rsidP="00EF1D2C">
      <w:pPr>
        <w:pStyle w:val="TableTitle"/>
        <w:rPr>
          <w:lang w:val="en-GB"/>
        </w:rPr>
      </w:pPr>
      <w:bookmarkStart w:id="32" w:name="_Toc121849781"/>
      <w:r>
        <w:rPr>
          <w:lang w:val="en-GB"/>
        </w:rPr>
        <w:lastRenderedPageBreak/>
        <w:t>Launch Measures amenable to data linkage</w:t>
      </w:r>
      <w:bookmarkEnd w:id="32"/>
    </w:p>
    <w:tbl>
      <w:tblPr>
        <w:tblStyle w:val="LSTable"/>
        <w:tblW w:w="14513" w:type="dxa"/>
        <w:tblLayout w:type="fixed"/>
        <w:tblLook w:val="06A0" w:firstRow="1" w:lastRow="0" w:firstColumn="1" w:lastColumn="0" w:noHBand="1" w:noVBand="1"/>
      </w:tblPr>
      <w:tblGrid>
        <w:gridCol w:w="2381"/>
        <w:gridCol w:w="5669"/>
        <w:gridCol w:w="2438"/>
        <w:gridCol w:w="4025"/>
      </w:tblGrid>
      <w:tr w:rsidR="00EF1D2C" w:rsidTr="00D56211">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2381" w:type="dxa"/>
          </w:tcPr>
          <w:p w:rsidR="00EF1D2C" w:rsidRDefault="00EF1D2C" w:rsidP="00EF1D2C">
            <w:r>
              <w:rPr>
                <w:lang w:val="en-GB"/>
              </w:rPr>
              <w:t>Outcome Area</w:t>
            </w:r>
          </w:p>
        </w:tc>
        <w:tc>
          <w:tcPr>
            <w:tcW w:w="5669" w:type="dxa"/>
          </w:tcPr>
          <w:p w:rsidR="00EF1D2C" w:rsidRDefault="00EF1D2C" w:rsidP="00EF1D2C">
            <w:pPr>
              <w:cnfStyle w:val="100000000000" w:firstRow="1" w:lastRow="0" w:firstColumn="0" w:lastColumn="0" w:oddVBand="0" w:evenVBand="0" w:oddHBand="0" w:evenHBand="0" w:firstRowFirstColumn="0" w:firstRowLastColumn="0" w:lastRowFirstColumn="0" w:lastRowLastColumn="0"/>
            </w:pPr>
            <w:r>
              <w:rPr>
                <w:lang w:val="en-GB"/>
              </w:rPr>
              <w:t>Measure</w:t>
            </w:r>
          </w:p>
        </w:tc>
        <w:tc>
          <w:tcPr>
            <w:tcW w:w="2438" w:type="dxa"/>
          </w:tcPr>
          <w:p w:rsidR="00EF1D2C" w:rsidRDefault="00EF1D2C" w:rsidP="00EF1D2C">
            <w:pPr>
              <w:cnfStyle w:val="100000000000" w:firstRow="1" w:lastRow="0" w:firstColumn="0" w:lastColumn="0" w:oddVBand="0" w:evenVBand="0" w:oddHBand="0" w:evenHBand="0" w:firstRowFirstColumn="0" w:firstRowLastColumn="0" w:lastRowFirstColumn="0" w:lastRowLastColumn="0"/>
            </w:pPr>
            <w:r>
              <w:rPr>
                <w:lang w:val="en-GB"/>
              </w:rPr>
              <w:t>Linkage pathway / timeline</w:t>
            </w:r>
          </w:p>
        </w:tc>
        <w:tc>
          <w:tcPr>
            <w:tcW w:w="4025" w:type="dxa"/>
          </w:tcPr>
          <w:p w:rsidR="00EF1D2C" w:rsidRDefault="00EF1D2C" w:rsidP="00EF1D2C">
            <w:pPr>
              <w:cnfStyle w:val="100000000000" w:firstRow="1" w:lastRow="0" w:firstColumn="0" w:lastColumn="0" w:oddVBand="0" w:evenVBand="0" w:oddHBand="0" w:evenHBand="0" w:firstRowFirstColumn="0" w:firstRowLastColumn="0" w:lastRowFirstColumn="0" w:lastRowLastColumn="0"/>
            </w:pPr>
            <w:r>
              <w:rPr>
                <w:lang w:val="en-GB"/>
              </w:rPr>
              <w:t>Improvement expected from linkage</w:t>
            </w:r>
          </w:p>
        </w:tc>
      </w:tr>
      <w:tr w:rsidR="00EF1D2C" w:rsidTr="00D56211">
        <w:trPr>
          <w:trHeight w:val="113"/>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4" w:space="0" w:color="FFFFFF" w:themeColor="background1"/>
            </w:tcBorders>
            <w:shd w:val="clear" w:color="auto" w:fill="573275" w:themeFill="accent1"/>
          </w:tcPr>
          <w:p w:rsidR="00EF1D2C" w:rsidRDefault="00EF1D2C" w:rsidP="00EF1D2C">
            <w:r>
              <w:rPr>
                <w:lang w:val="en-GB"/>
              </w:rPr>
              <w:t>Employment and Financial Security</w:t>
            </w:r>
          </w:p>
        </w:tc>
        <w:tc>
          <w:tcPr>
            <w:tcW w:w="5669" w:type="dxa"/>
          </w:tcPr>
          <w:p w:rsidR="00EF1D2C" w:rsidRDefault="00EF1D2C" w:rsidP="00EF1D2C">
            <w:pPr>
              <w:cnfStyle w:val="000000000000" w:firstRow="0" w:lastRow="0" w:firstColumn="0" w:lastColumn="0" w:oddVBand="0" w:evenVBand="0" w:oddHBand="0" w:evenHBand="0" w:firstRowFirstColumn="0" w:firstRowLastColumn="0" w:lastRowFirstColumn="0" w:lastRowLastColumn="0"/>
            </w:pPr>
            <w:r>
              <w:rPr>
                <w:lang w:val="en-GB"/>
              </w:rPr>
              <w:t>% of NDIS young people (15–24 years) in employment</w:t>
            </w:r>
          </w:p>
        </w:tc>
        <w:tc>
          <w:tcPr>
            <w:tcW w:w="2438" w:type="dxa"/>
          </w:tcPr>
          <w:p w:rsidR="00EF1D2C" w:rsidRPr="00FB234C" w:rsidRDefault="00EF1D2C" w:rsidP="00EF1D2C">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MADIP – 2023</w:t>
            </w:r>
          </w:p>
        </w:tc>
        <w:tc>
          <w:tcPr>
            <w:tcW w:w="4025" w:type="dxa"/>
          </w:tcPr>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Improved context for why a person may not be in employment (e.g. in education)</w:t>
            </w:r>
          </w:p>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pPr>
            <w:r>
              <w:rPr>
                <w:lang w:val="en-GB"/>
              </w:rPr>
              <w:t>Potential to examine by types and duration of employment</w:t>
            </w:r>
          </w:p>
        </w:tc>
      </w:tr>
      <w:tr w:rsidR="00EF1D2C" w:rsidTr="00D562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573275" w:themeFill="accent1"/>
          </w:tcPr>
          <w:p w:rsidR="00EF1D2C" w:rsidRPr="00241DAF" w:rsidRDefault="00EF1D2C" w:rsidP="00EF1D2C">
            <w:pPr>
              <w:rPr>
                <w:rFonts w:ascii="FilsonProMedium" w:hAnsi="FilsonProMedium"/>
                <w:color w:val="auto"/>
              </w:rPr>
            </w:pPr>
          </w:p>
        </w:tc>
        <w:tc>
          <w:tcPr>
            <w:tcW w:w="5669" w:type="dxa"/>
          </w:tcPr>
          <w:p w:rsidR="00EF1D2C" w:rsidRDefault="00EF1D2C" w:rsidP="00EF1D2C">
            <w:pPr>
              <w:cnfStyle w:val="000000000000" w:firstRow="0" w:lastRow="0" w:firstColumn="0" w:lastColumn="0" w:oddVBand="0" w:evenVBand="0" w:oddHBand="0" w:evenHBand="0" w:firstRowFirstColumn="0" w:firstRowLastColumn="0" w:lastRowFirstColumn="0" w:lastRowLastColumn="0"/>
            </w:pPr>
            <w:r>
              <w:rPr>
                <w:lang w:val="en-GB"/>
              </w:rPr>
              <w:t>% of VET graduates with disability who are employed on completion of training</w:t>
            </w:r>
          </w:p>
        </w:tc>
        <w:tc>
          <w:tcPr>
            <w:tcW w:w="2438" w:type="dxa"/>
          </w:tcPr>
          <w:p w:rsidR="00EF1D2C" w:rsidRPr="00FB234C" w:rsidRDefault="00EF1D2C" w:rsidP="00EF1D2C">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MADIP – 2023</w:t>
            </w:r>
          </w:p>
        </w:tc>
        <w:tc>
          <w:tcPr>
            <w:tcW w:w="4025" w:type="dxa"/>
          </w:tcPr>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Improved disability identification </w:t>
            </w:r>
          </w:p>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pPr>
            <w:r>
              <w:rPr>
                <w:lang w:val="en-GB"/>
              </w:rPr>
              <w:t>Measure can be analysed based on type / complexity of disability</w:t>
            </w:r>
          </w:p>
        </w:tc>
      </w:tr>
      <w:tr w:rsidR="00EF1D2C" w:rsidTr="00D562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573275" w:themeFill="accent1"/>
          </w:tcPr>
          <w:p w:rsidR="00EF1D2C" w:rsidRPr="00241DAF" w:rsidRDefault="00EF1D2C" w:rsidP="00EF1D2C">
            <w:pPr>
              <w:rPr>
                <w:rFonts w:ascii="FilsonProMedium" w:hAnsi="FilsonProMedium"/>
                <w:color w:val="auto"/>
              </w:rPr>
            </w:pPr>
          </w:p>
        </w:tc>
        <w:tc>
          <w:tcPr>
            <w:tcW w:w="5669" w:type="dxa"/>
          </w:tcPr>
          <w:p w:rsidR="00EF1D2C" w:rsidRDefault="00EF1D2C" w:rsidP="00EF1D2C">
            <w:pPr>
              <w:cnfStyle w:val="000000000000" w:firstRow="0" w:lastRow="0" w:firstColumn="0" w:lastColumn="0" w:oddVBand="0" w:evenVBand="0" w:oddHBand="0" w:evenHBand="0" w:firstRowFirstColumn="0" w:firstRowLastColumn="0" w:lastRowFirstColumn="0" w:lastRowLastColumn="0"/>
            </w:pPr>
            <w:r>
              <w:rPr>
                <w:lang w:val="en-GB"/>
              </w:rPr>
              <w:t>Gap in % of people with disability in the labour force who are unemployed compared to % of people without disability</w:t>
            </w:r>
          </w:p>
        </w:tc>
        <w:tc>
          <w:tcPr>
            <w:tcW w:w="2438" w:type="dxa"/>
          </w:tcPr>
          <w:p w:rsidR="00EF1D2C" w:rsidRPr="00FB234C" w:rsidRDefault="00EF1D2C" w:rsidP="00EF1D2C">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MADIP – 2023</w:t>
            </w:r>
          </w:p>
        </w:tc>
        <w:tc>
          <w:tcPr>
            <w:tcW w:w="4025" w:type="dxa"/>
          </w:tcPr>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Improved frequency of data updates</w:t>
            </w:r>
          </w:p>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pPr>
            <w:r>
              <w:rPr>
                <w:lang w:val="en-GB"/>
              </w:rPr>
              <w:t>Data for Australian population</w:t>
            </w:r>
          </w:p>
        </w:tc>
      </w:tr>
      <w:tr w:rsidR="00EF1D2C" w:rsidTr="00D562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573275" w:themeFill="accent1"/>
          </w:tcPr>
          <w:p w:rsidR="00EF1D2C" w:rsidRPr="00241DAF" w:rsidRDefault="00EF1D2C" w:rsidP="00EF1D2C">
            <w:pPr>
              <w:rPr>
                <w:rFonts w:ascii="FilsonProMedium" w:hAnsi="FilsonProMedium"/>
                <w:color w:val="auto"/>
              </w:rPr>
            </w:pPr>
          </w:p>
        </w:tc>
        <w:tc>
          <w:tcPr>
            <w:tcW w:w="5669" w:type="dxa"/>
          </w:tcPr>
          <w:p w:rsidR="00EF1D2C" w:rsidRDefault="00EF1D2C" w:rsidP="00EF1D2C">
            <w:pPr>
              <w:cnfStyle w:val="000000000000" w:firstRow="0" w:lastRow="0" w:firstColumn="0" w:lastColumn="0" w:oddVBand="0" w:evenVBand="0" w:oddHBand="0" w:evenHBand="0" w:firstRowFirstColumn="0" w:firstRowLastColumn="0" w:lastRowFirstColumn="0" w:lastRowLastColumn="0"/>
            </w:pPr>
            <w:r>
              <w:rPr>
                <w:lang w:val="en-GB"/>
              </w:rPr>
              <w:t>% of young people (15–24 years) with disability in the labour force who are employed</w:t>
            </w:r>
          </w:p>
        </w:tc>
        <w:tc>
          <w:tcPr>
            <w:tcW w:w="2438" w:type="dxa"/>
          </w:tcPr>
          <w:p w:rsidR="00EF1D2C" w:rsidRPr="00FB234C" w:rsidRDefault="00EF1D2C" w:rsidP="00EF1D2C">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MADIP – 2023</w:t>
            </w:r>
          </w:p>
        </w:tc>
        <w:tc>
          <w:tcPr>
            <w:tcW w:w="4025" w:type="dxa"/>
          </w:tcPr>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Improved frequency of data updates</w:t>
            </w:r>
          </w:p>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pPr>
            <w:r>
              <w:rPr>
                <w:lang w:val="en-GB"/>
              </w:rPr>
              <w:t>Data for Australian population</w:t>
            </w:r>
          </w:p>
        </w:tc>
      </w:tr>
      <w:tr w:rsidR="00EF1D2C" w:rsidTr="00D562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573275" w:themeFill="accent1"/>
          </w:tcPr>
          <w:p w:rsidR="00EF1D2C" w:rsidRPr="00241DAF" w:rsidRDefault="00EF1D2C" w:rsidP="00EF1D2C">
            <w:pPr>
              <w:rPr>
                <w:rFonts w:ascii="FilsonProMedium" w:hAnsi="FilsonProMedium"/>
                <w:color w:val="auto"/>
              </w:rPr>
            </w:pPr>
          </w:p>
        </w:tc>
        <w:tc>
          <w:tcPr>
            <w:tcW w:w="5669" w:type="dxa"/>
          </w:tcPr>
          <w:p w:rsidR="00EF1D2C" w:rsidRDefault="00EF1D2C" w:rsidP="00EF1D2C">
            <w:pPr>
              <w:cnfStyle w:val="000000000000" w:firstRow="0" w:lastRow="0" w:firstColumn="0" w:lastColumn="0" w:oddVBand="0" w:evenVBand="0" w:oddHBand="0" w:evenHBand="0" w:firstRowFirstColumn="0" w:firstRowLastColumn="0" w:lastRowFirstColumn="0" w:lastRowLastColumn="0"/>
            </w:pPr>
            <w:r>
              <w:rPr>
                <w:lang w:val="en-GB"/>
              </w:rPr>
              <w:t>Gap in median gross income for a person with disability aged 15–64 years compared to people without disability</w:t>
            </w:r>
          </w:p>
        </w:tc>
        <w:tc>
          <w:tcPr>
            <w:tcW w:w="2438" w:type="dxa"/>
          </w:tcPr>
          <w:p w:rsidR="00EF1D2C" w:rsidRPr="00FB234C" w:rsidRDefault="00EF1D2C" w:rsidP="00EF1D2C">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MADIP – 2023</w:t>
            </w:r>
          </w:p>
        </w:tc>
        <w:tc>
          <w:tcPr>
            <w:tcW w:w="4025" w:type="dxa"/>
          </w:tcPr>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Improved frequency of data updates</w:t>
            </w:r>
          </w:p>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pPr>
            <w:r>
              <w:rPr>
                <w:lang w:val="en-GB"/>
              </w:rPr>
              <w:t>Data for Australian population</w:t>
            </w:r>
          </w:p>
        </w:tc>
      </w:tr>
      <w:tr w:rsidR="00EF1D2C" w:rsidTr="00D562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573275" w:themeFill="accent1"/>
          </w:tcPr>
          <w:p w:rsidR="00EF1D2C" w:rsidRPr="00241DAF" w:rsidRDefault="00EF1D2C" w:rsidP="00EF1D2C">
            <w:pPr>
              <w:rPr>
                <w:rFonts w:ascii="FilsonProMedium" w:hAnsi="FilsonProMedium"/>
                <w:color w:val="auto"/>
              </w:rPr>
            </w:pPr>
          </w:p>
        </w:tc>
        <w:tc>
          <w:tcPr>
            <w:tcW w:w="5669" w:type="dxa"/>
          </w:tcPr>
          <w:p w:rsidR="00EF1D2C" w:rsidRDefault="00EF1D2C" w:rsidP="00EF1D2C">
            <w:pPr>
              <w:cnfStyle w:val="000000000000" w:firstRow="0" w:lastRow="0" w:firstColumn="0" w:lastColumn="0" w:oddVBand="0" w:evenVBand="0" w:oddHBand="0" w:evenHBand="0" w:firstRowFirstColumn="0" w:firstRowLastColumn="0" w:lastRowFirstColumn="0" w:lastRowLastColumn="0"/>
            </w:pPr>
            <w:r>
              <w:rPr>
                <w:lang w:val="en-GB"/>
              </w:rPr>
              <w:t>Number of people supported to achieve at least 12 months employment at their work capacity in Disability Employment Services</w:t>
            </w:r>
          </w:p>
        </w:tc>
        <w:tc>
          <w:tcPr>
            <w:tcW w:w="2438" w:type="dxa"/>
          </w:tcPr>
          <w:p w:rsidR="00EF1D2C" w:rsidRPr="00FB234C" w:rsidRDefault="00EF1D2C" w:rsidP="00EF1D2C">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Complex linkage through NDDA – 2025</w:t>
            </w:r>
          </w:p>
        </w:tc>
        <w:tc>
          <w:tcPr>
            <w:tcW w:w="4025" w:type="dxa"/>
          </w:tcPr>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pPr>
            <w:r>
              <w:rPr>
                <w:lang w:val="en-GB"/>
              </w:rPr>
              <w:t>Results can be analysed based by type / complexity of disability</w:t>
            </w:r>
          </w:p>
        </w:tc>
      </w:tr>
      <w:tr w:rsidR="00EF1D2C" w:rsidTr="00D562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573275" w:themeFill="accent1"/>
          </w:tcPr>
          <w:p w:rsidR="00EF1D2C" w:rsidRPr="00241DAF" w:rsidRDefault="00EF1D2C" w:rsidP="00EF1D2C">
            <w:pPr>
              <w:rPr>
                <w:rFonts w:ascii="FilsonProMedium" w:hAnsi="FilsonProMedium"/>
                <w:color w:val="auto"/>
              </w:rPr>
            </w:pPr>
          </w:p>
        </w:tc>
        <w:tc>
          <w:tcPr>
            <w:tcW w:w="5669" w:type="dxa"/>
          </w:tcPr>
          <w:p w:rsidR="00EF1D2C" w:rsidRDefault="00EF1D2C" w:rsidP="00EF1D2C">
            <w:pPr>
              <w:cnfStyle w:val="000000000000" w:firstRow="0" w:lastRow="0" w:firstColumn="0" w:lastColumn="0" w:oddVBand="0" w:evenVBand="0" w:oddHBand="0" w:evenHBand="0" w:firstRowFirstColumn="0" w:firstRowLastColumn="0" w:lastRowFirstColumn="0" w:lastRowLastColumn="0"/>
            </w:pPr>
            <w:r>
              <w:rPr>
                <w:lang w:val="en-GB"/>
              </w:rPr>
              <w:t>% of people with disability in the labour force who use jobactive and successfully find employment within 12 months</w:t>
            </w:r>
          </w:p>
        </w:tc>
        <w:tc>
          <w:tcPr>
            <w:tcW w:w="2438" w:type="dxa"/>
          </w:tcPr>
          <w:p w:rsidR="00EF1D2C" w:rsidRPr="00FB234C" w:rsidRDefault="00EF1D2C" w:rsidP="00EF1D2C">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Complex linkage through NDDA – 2025</w:t>
            </w:r>
          </w:p>
        </w:tc>
        <w:tc>
          <w:tcPr>
            <w:tcW w:w="4025" w:type="dxa"/>
          </w:tcPr>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pPr>
            <w:r>
              <w:rPr>
                <w:lang w:val="en-GB"/>
              </w:rPr>
              <w:t>Results can be analysed based by type / complexity of disability</w:t>
            </w:r>
          </w:p>
        </w:tc>
      </w:tr>
      <w:tr w:rsidR="00EF1D2C" w:rsidTr="00D56211">
        <w:trPr>
          <w:trHeight w:val="113"/>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FFFFFF" w:themeColor="background1"/>
            </w:tcBorders>
            <w:shd w:val="clear" w:color="auto" w:fill="005689" w:themeFill="accent2"/>
          </w:tcPr>
          <w:p w:rsidR="00EF1D2C" w:rsidRDefault="00EF1D2C" w:rsidP="00EF1D2C">
            <w:r>
              <w:rPr>
                <w:lang w:val="en-GB"/>
              </w:rPr>
              <w:lastRenderedPageBreak/>
              <w:t>Inclusive Homes and Communities</w:t>
            </w:r>
          </w:p>
        </w:tc>
        <w:tc>
          <w:tcPr>
            <w:tcW w:w="5669" w:type="dxa"/>
          </w:tcPr>
          <w:p w:rsidR="00EF1D2C" w:rsidRDefault="00EF1D2C" w:rsidP="00EF1D2C">
            <w:pPr>
              <w:cnfStyle w:val="000000000000" w:firstRow="0" w:lastRow="0" w:firstColumn="0" w:lastColumn="0" w:oddVBand="0" w:evenVBand="0" w:oddHBand="0" w:evenHBand="0" w:firstRowFirstColumn="0" w:firstRowLastColumn="0" w:lastRowFirstColumn="0" w:lastRowLastColumn="0"/>
            </w:pPr>
            <w:r>
              <w:rPr>
                <w:lang w:val="en-GB"/>
              </w:rPr>
              <w:t>Average wait time for social housing for people with disability</w:t>
            </w:r>
          </w:p>
        </w:tc>
        <w:tc>
          <w:tcPr>
            <w:tcW w:w="2438" w:type="dxa"/>
          </w:tcPr>
          <w:p w:rsidR="00EF1D2C" w:rsidRPr="00FB234C" w:rsidRDefault="00EF1D2C" w:rsidP="00EF1D2C">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Linkage through NDDA – 2024</w:t>
            </w:r>
          </w:p>
        </w:tc>
        <w:tc>
          <w:tcPr>
            <w:tcW w:w="4025" w:type="dxa"/>
          </w:tcPr>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Improved consistency of definition of disability</w:t>
            </w:r>
          </w:p>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pPr>
            <w:r>
              <w:rPr>
                <w:lang w:val="en-GB"/>
              </w:rPr>
              <w:t>Measure can be analysed based on type / complexity of disability</w:t>
            </w:r>
          </w:p>
        </w:tc>
      </w:tr>
      <w:tr w:rsidR="00EF1D2C" w:rsidTr="00D56211">
        <w:trPr>
          <w:trHeight w:val="113"/>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4" w:space="0" w:color="FFFFFF" w:themeColor="background1"/>
            </w:tcBorders>
            <w:shd w:val="clear" w:color="auto" w:fill="00492C" w:themeFill="text2"/>
          </w:tcPr>
          <w:p w:rsidR="00EF1D2C" w:rsidRDefault="00EF1D2C" w:rsidP="00EF1D2C">
            <w:r>
              <w:rPr>
                <w:lang w:val="en-GB"/>
              </w:rPr>
              <w:t>Safety, Rights and</w:t>
            </w:r>
            <w:r w:rsidR="003315D6">
              <w:rPr>
                <w:lang w:val="en-GB"/>
              </w:rPr>
              <w:t> </w:t>
            </w:r>
            <w:r>
              <w:rPr>
                <w:lang w:val="en-GB"/>
              </w:rPr>
              <w:t>Justice</w:t>
            </w:r>
          </w:p>
        </w:tc>
        <w:tc>
          <w:tcPr>
            <w:tcW w:w="5669" w:type="dxa"/>
          </w:tcPr>
          <w:p w:rsidR="00EF1D2C" w:rsidRDefault="00EF1D2C" w:rsidP="00EF1D2C">
            <w:pPr>
              <w:cnfStyle w:val="000000000000" w:firstRow="0" w:lastRow="0" w:firstColumn="0" w:lastColumn="0" w:oddVBand="0" w:evenVBand="0" w:oddHBand="0" w:evenHBand="0" w:firstRowFirstColumn="0" w:firstRowLastColumn="0" w:lastRowFirstColumn="0" w:lastRowLastColumn="0"/>
            </w:pPr>
            <w:r>
              <w:rPr>
                <w:lang w:val="en-GB"/>
              </w:rPr>
              <w:t>% of people with disability experiencing domestic and family violence who are assisted into safe and secure housing when requested</w:t>
            </w:r>
          </w:p>
        </w:tc>
        <w:tc>
          <w:tcPr>
            <w:tcW w:w="2438" w:type="dxa"/>
          </w:tcPr>
          <w:p w:rsidR="00EF1D2C" w:rsidRPr="00FB234C" w:rsidRDefault="00EF1D2C" w:rsidP="00EF1D2C">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Linkage through NDDA – 2024</w:t>
            </w:r>
          </w:p>
        </w:tc>
        <w:tc>
          <w:tcPr>
            <w:tcW w:w="4025" w:type="dxa"/>
          </w:tcPr>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Improved consistency of definition of disability</w:t>
            </w:r>
          </w:p>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pPr>
            <w:r>
              <w:rPr>
                <w:lang w:val="en-GB"/>
              </w:rPr>
              <w:t>Measure can be analysed based on type / complexity of disability</w:t>
            </w:r>
          </w:p>
        </w:tc>
      </w:tr>
      <w:tr w:rsidR="00EF1D2C" w:rsidTr="00D562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492C" w:themeFill="text2"/>
          </w:tcPr>
          <w:p w:rsidR="00EF1D2C" w:rsidRPr="00241DAF" w:rsidRDefault="00EF1D2C" w:rsidP="00EF1D2C">
            <w:pPr>
              <w:rPr>
                <w:rFonts w:ascii="FilsonProMedium" w:hAnsi="FilsonProMedium"/>
                <w:color w:val="auto"/>
              </w:rPr>
            </w:pPr>
          </w:p>
        </w:tc>
        <w:tc>
          <w:tcPr>
            <w:tcW w:w="5669" w:type="dxa"/>
          </w:tcPr>
          <w:p w:rsidR="00EF1D2C" w:rsidRDefault="00EF1D2C" w:rsidP="00EF1D2C">
            <w:pPr>
              <w:cnfStyle w:val="000000000000" w:firstRow="0" w:lastRow="0" w:firstColumn="0" w:lastColumn="0" w:oddVBand="0" w:evenVBand="0" w:oddHBand="0" w:evenHBand="0" w:firstRowFirstColumn="0" w:firstRowLastColumn="0" w:lastRowFirstColumn="0" w:lastRowLastColumn="0"/>
            </w:pPr>
            <w:r>
              <w:rPr>
                <w:spacing w:val="-1"/>
                <w:lang w:val="en-GB"/>
              </w:rPr>
              <w:t>% of people with disability 15 years and above who have experienced violence compared to people without disability</w:t>
            </w:r>
          </w:p>
        </w:tc>
        <w:tc>
          <w:tcPr>
            <w:tcW w:w="2438" w:type="dxa"/>
          </w:tcPr>
          <w:p w:rsidR="00EF1D2C" w:rsidRPr="00FB234C" w:rsidRDefault="00EF1D2C" w:rsidP="00EF1D2C">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Complex linkage through NDDA – 2025</w:t>
            </w:r>
          </w:p>
        </w:tc>
        <w:tc>
          <w:tcPr>
            <w:tcW w:w="4025" w:type="dxa"/>
          </w:tcPr>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Improved frequency of data updates </w:t>
            </w:r>
          </w:p>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pPr>
            <w:r>
              <w:rPr>
                <w:lang w:val="en-GB"/>
              </w:rPr>
              <w:t>Data for Australian population</w:t>
            </w:r>
          </w:p>
        </w:tc>
      </w:tr>
      <w:tr w:rsidR="00EF1D2C" w:rsidTr="00D56211">
        <w:trPr>
          <w:trHeight w:val="113"/>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4" w:space="0" w:color="FFFFFF" w:themeColor="background1"/>
            </w:tcBorders>
            <w:shd w:val="clear" w:color="auto" w:fill="00492C" w:themeFill="text2"/>
          </w:tcPr>
          <w:p w:rsidR="00EF1D2C" w:rsidRPr="00241DAF" w:rsidRDefault="00EF1D2C" w:rsidP="00EF1D2C">
            <w:pPr>
              <w:rPr>
                <w:rFonts w:ascii="FilsonProMedium" w:hAnsi="FilsonProMedium"/>
                <w:color w:val="auto"/>
              </w:rPr>
            </w:pPr>
          </w:p>
        </w:tc>
        <w:tc>
          <w:tcPr>
            <w:tcW w:w="5669" w:type="dxa"/>
          </w:tcPr>
          <w:p w:rsidR="00EF1D2C" w:rsidRDefault="00EF1D2C" w:rsidP="00EF1D2C">
            <w:pPr>
              <w:cnfStyle w:val="000000000000" w:firstRow="0" w:lastRow="0" w:firstColumn="0" w:lastColumn="0" w:oddVBand="0" w:evenVBand="0" w:oddHBand="0" w:evenHBand="0" w:firstRowFirstColumn="0" w:firstRowLastColumn="0" w:lastRowFirstColumn="0" w:lastRowLastColumn="0"/>
            </w:pPr>
            <w:r>
              <w:rPr>
                <w:lang w:val="en-GB"/>
              </w:rPr>
              <w:t>% of females with disability 15 years and above who have experienced family or domestic violence compared with women without disability</w:t>
            </w:r>
          </w:p>
        </w:tc>
        <w:tc>
          <w:tcPr>
            <w:tcW w:w="2438" w:type="dxa"/>
          </w:tcPr>
          <w:p w:rsidR="00EF1D2C" w:rsidRPr="00FB234C" w:rsidRDefault="00EF1D2C" w:rsidP="00EF1D2C">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Complex linkage through NDDA – 2025</w:t>
            </w:r>
          </w:p>
        </w:tc>
        <w:tc>
          <w:tcPr>
            <w:tcW w:w="4025" w:type="dxa"/>
          </w:tcPr>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Improved frequency of data updates </w:t>
            </w:r>
          </w:p>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pPr>
            <w:r>
              <w:rPr>
                <w:lang w:val="en-GB"/>
              </w:rPr>
              <w:t>Data for Australian population</w:t>
            </w:r>
          </w:p>
        </w:tc>
      </w:tr>
      <w:tr w:rsidR="00EF1D2C" w:rsidTr="00D56211">
        <w:trPr>
          <w:trHeight w:val="113"/>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FFFFFF" w:themeColor="background1"/>
            </w:tcBorders>
            <w:shd w:val="clear" w:color="auto" w:fill="180F5E" w:themeFill="accent5"/>
          </w:tcPr>
          <w:p w:rsidR="00EF1D2C" w:rsidRDefault="00EF1D2C" w:rsidP="00EF1D2C">
            <w:r>
              <w:rPr>
                <w:lang w:val="en-GB"/>
              </w:rPr>
              <w:t>Health and Wellbeing</w:t>
            </w:r>
          </w:p>
        </w:tc>
        <w:tc>
          <w:tcPr>
            <w:tcW w:w="5669" w:type="dxa"/>
          </w:tcPr>
          <w:p w:rsidR="00EF1D2C" w:rsidRDefault="00EF1D2C" w:rsidP="00EF1D2C">
            <w:pPr>
              <w:cnfStyle w:val="000000000000" w:firstRow="0" w:lastRow="0" w:firstColumn="0" w:lastColumn="0" w:oddVBand="0" w:evenVBand="0" w:oddHBand="0" w:evenHBand="0" w:firstRowFirstColumn="0" w:firstRowLastColumn="0" w:lastRowFirstColumn="0" w:lastRowLastColumn="0"/>
            </w:pPr>
            <w:r>
              <w:rPr>
                <w:lang w:val="en-GB"/>
              </w:rPr>
              <w:t>Number of people with disability with GP-type emergency department presentations</w:t>
            </w:r>
          </w:p>
        </w:tc>
        <w:tc>
          <w:tcPr>
            <w:tcW w:w="2438" w:type="dxa"/>
          </w:tcPr>
          <w:p w:rsidR="00EF1D2C" w:rsidRPr="00FB234C" w:rsidRDefault="00EF1D2C" w:rsidP="00EF1D2C">
            <w:pPr>
              <w:cnfStyle w:val="000000000000" w:firstRow="0" w:lastRow="0" w:firstColumn="0" w:lastColumn="0" w:oddVBand="0" w:evenVBand="0" w:oddHBand="0" w:evenHBand="0" w:firstRowFirstColumn="0" w:firstRowLastColumn="0" w:lastRowFirstColumn="0" w:lastRowLastColumn="0"/>
              <w:rPr>
                <w:b/>
                <w:bCs/>
              </w:rPr>
            </w:pPr>
            <w:r w:rsidRPr="00FB234C">
              <w:rPr>
                <w:b/>
                <w:bCs/>
                <w:lang w:val="en-GB"/>
              </w:rPr>
              <w:t>Linkage through NDDA – 2024</w:t>
            </w:r>
          </w:p>
        </w:tc>
        <w:tc>
          <w:tcPr>
            <w:tcW w:w="4025" w:type="dxa"/>
          </w:tcPr>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Improved frequency of data updates </w:t>
            </w:r>
          </w:p>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rPr>
                <w:lang w:val="en-GB"/>
              </w:rPr>
            </w:pPr>
            <w:r>
              <w:rPr>
                <w:lang w:val="en-GB"/>
              </w:rPr>
              <w:t>Data for Australian population</w:t>
            </w:r>
          </w:p>
          <w:p w:rsidR="00EF1D2C" w:rsidRDefault="00EF1D2C" w:rsidP="00EF1D2C">
            <w:pPr>
              <w:pStyle w:val="Bullet1"/>
              <w:cnfStyle w:val="000000000000" w:firstRow="0" w:lastRow="0" w:firstColumn="0" w:lastColumn="0" w:oddVBand="0" w:evenVBand="0" w:oddHBand="0" w:evenHBand="0" w:firstRowFirstColumn="0" w:firstRowLastColumn="0" w:lastRowFirstColumn="0" w:lastRowLastColumn="0"/>
            </w:pPr>
            <w:r>
              <w:rPr>
                <w:lang w:val="en-GB"/>
              </w:rPr>
              <w:t>Analysed according to standardised definition of GP</w:t>
            </w:r>
            <w:r>
              <w:rPr>
                <w:rFonts w:ascii="Cambria Math" w:hAnsi="Cambria Math" w:cs="Cambria Math"/>
                <w:lang w:val="en-GB"/>
              </w:rPr>
              <w:t>‑</w:t>
            </w:r>
            <w:r>
              <w:rPr>
                <w:lang w:val="en-GB"/>
              </w:rPr>
              <w:t>type emergency department presentation</w:t>
            </w:r>
          </w:p>
        </w:tc>
      </w:tr>
    </w:tbl>
    <w:p w:rsidR="00241DAF" w:rsidRDefault="00241DAF" w:rsidP="00FB234C">
      <w:pPr>
        <w:rPr>
          <w:lang w:val="en-GB"/>
        </w:rPr>
      </w:pPr>
    </w:p>
    <w:p w:rsidR="00EF1D2C" w:rsidRDefault="00EF1D2C" w:rsidP="00FB234C">
      <w:pPr>
        <w:rPr>
          <w:lang w:val="en-GB"/>
        </w:rPr>
        <w:sectPr w:rsidR="00EF1D2C" w:rsidSect="00EF1D2C">
          <w:pgSz w:w="16838" w:h="11906" w:orient="landscape" w:code="9"/>
          <w:pgMar w:top="1134" w:right="1134" w:bottom="1134" w:left="1134" w:header="567" w:footer="567" w:gutter="0"/>
          <w:cols w:space="720"/>
          <w:noEndnote/>
          <w:docGrid w:linePitch="299"/>
        </w:sectPr>
      </w:pPr>
    </w:p>
    <w:p w:rsidR="00241DAF" w:rsidRDefault="00241DAF" w:rsidP="00EF1D2C">
      <w:pPr>
        <w:pStyle w:val="Heading2"/>
        <w:rPr>
          <w:lang w:val="en-GB"/>
        </w:rPr>
      </w:pPr>
      <w:bookmarkStart w:id="33" w:name="_Toc121849782"/>
      <w:r>
        <w:rPr>
          <w:lang w:val="en-GB"/>
        </w:rPr>
        <w:lastRenderedPageBreak/>
        <w:t>8.2</w:t>
      </w:r>
      <w:r w:rsidR="00466983">
        <w:rPr>
          <w:lang w:val="en-GB"/>
        </w:rPr>
        <w:t xml:space="preserve"> </w:t>
      </w:r>
      <w:r>
        <w:rPr>
          <w:lang w:val="en-GB"/>
        </w:rPr>
        <w:t>Improving Launch Measures through Collaborative</w:t>
      </w:r>
      <w:r w:rsidR="00EF1D2C">
        <w:rPr>
          <w:lang w:val="en-GB"/>
        </w:rPr>
        <w:t> </w:t>
      </w:r>
      <w:r>
        <w:rPr>
          <w:lang w:val="en-GB"/>
        </w:rPr>
        <w:t>Work</w:t>
      </w:r>
      <w:bookmarkEnd w:id="33"/>
    </w:p>
    <w:p w:rsidR="00241DAF" w:rsidRDefault="00241DAF" w:rsidP="00EF1D2C">
      <w:pPr>
        <w:rPr>
          <w:lang w:val="en-GB"/>
        </w:rPr>
      </w:pPr>
      <w:r>
        <w:rPr>
          <w:lang w:val="en-GB"/>
        </w:rPr>
        <w:t>There are also launch measures that could be improved through collaboration between Australian, state and territory governments. This includes agreeing on standard definitions and collection practices that would allow comparisons across the nation.</w:t>
      </w:r>
    </w:p>
    <w:p w:rsidR="00241DAF" w:rsidRDefault="00241DAF" w:rsidP="00EF1D2C">
      <w:pPr>
        <w:rPr>
          <w:lang w:val="en-GB"/>
        </w:rPr>
      </w:pPr>
      <w:r>
        <w:rPr>
          <w:lang w:val="en-GB"/>
        </w:rPr>
        <w:t>Work on standardising data and data collections is led by the relevant Australian Government agencies for the subject matter. For a list of launch measures that may be improved through collaboration, see Table 9.</w:t>
      </w:r>
    </w:p>
    <w:p w:rsidR="00241DAF" w:rsidRDefault="00241DAF" w:rsidP="00EF1D2C">
      <w:pPr>
        <w:pStyle w:val="TableTitle"/>
        <w:rPr>
          <w:lang w:val="en-GB"/>
        </w:rPr>
      </w:pPr>
      <w:bookmarkStart w:id="34" w:name="_Toc121849783"/>
      <w:r>
        <w:rPr>
          <w:lang w:val="en-GB"/>
        </w:rPr>
        <w:t>Launch Measures amenable to collaborative work</w:t>
      </w:r>
      <w:bookmarkEnd w:id="34"/>
    </w:p>
    <w:tbl>
      <w:tblPr>
        <w:tblStyle w:val="LSTable"/>
        <w:tblW w:w="9643" w:type="dxa"/>
        <w:tblLayout w:type="fixed"/>
        <w:tblLook w:val="06A0" w:firstRow="1" w:lastRow="0" w:firstColumn="1" w:lastColumn="0" w:noHBand="1" w:noVBand="1"/>
      </w:tblPr>
      <w:tblGrid>
        <w:gridCol w:w="2950"/>
        <w:gridCol w:w="6693"/>
      </w:tblGrid>
      <w:tr w:rsidR="00FB234C" w:rsidTr="003315D6">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950" w:type="dxa"/>
          </w:tcPr>
          <w:p w:rsidR="00241DAF" w:rsidRDefault="00241DAF" w:rsidP="00EF1D2C">
            <w:r>
              <w:rPr>
                <w:lang w:val="en-GB"/>
              </w:rPr>
              <w:t>Outcome Area</w:t>
            </w:r>
          </w:p>
        </w:tc>
        <w:tc>
          <w:tcPr>
            <w:tcW w:w="6693" w:type="dxa"/>
          </w:tcPr>
          <w:p w:rsidR="00241DAF" w:rsidRDefault="00241DAF" w:rsidP="00EF1D2C">
            <w:pPr>
              <w:cnfStyle w:val="100000000000" w:firstRow="1" w:lastRow="0" w:firstColumn="0" w:lastColumn="0" w:oddVBand="0" w:evenVBand="0" w:oddHBand="0" w:evenHBand="0" w:firstRowFirstColumn="0" w:firstRowLastColumn="0" w:lastRowFirstColumn="0" w:lastRowLastColumn="0"/>
            </w:pPr>
            <w:r>
              <w:rPr>
                <w:lang w:val="en-GB"/>
              </w:rPr>
              <w:t>Measure</w:t>
            </w:r>
          </w:p>
        </w:tc>
      </w:tr>
      <w:tr w:rsidR="00FB234C"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val="restart"/>
            <w:tcBorders>
              <w:top w:val="single" w:sz="4" w:space="0" w:color="FFFFFF" w:themeColor="background1"/>
            </w:tcBorders>
            <w:shd w:val="clear" w:color="auto" w:fill="573275" w:themeFill="accent1"/>
          </w:tcPr>
          <w:p w:rsidR="00241DAF" w:rsidRDefault="00241DAF" w:rsidP="00EF1D2C">
            <w:r>
              <w:rPr>
                <w:lang w:val="en-GB"/>
              </w:rPr>
              <w:t>Employment and Financial Security</w:t>
            </w:r>
          </w:p>
        </w:tc>
        <w:tc>
          <w:tcPr>
            <w:tcW w:w="6693" w:type="dxa"/>
          </w:tcPr>
          <w:p w:rsidR="00241DAF" w:rsidRDefault="00241DAF" w:rsidP="00EF1D2C">
            <w:pPr>
              <w:cnfStyle w:val="000000000000" w:firstRow="0" w:lastRow="0" w:firstColumn="0" w:lastColumn="0" w:oddVBand="0" w:evenVBand="0" w:oddHBand="0" w:evenHBand="0" w:firstRowFirstColumn="0" w:firstRowLastColumn="0" w:lastRowFirstColumn="0" w:lastRowLastColumn="0"/>
            </w:pPr>
            <w:r>
              <w:rPr>
                <w:lang w:val="en-GB"/>
              </w:rPr>
              <w:t>Number of people supported to achieve at least 12 months employment at their work capacity in Disability Employment</w:t>
            </w:r>
            <w:r w:rsidR="00AA769E">
              <w:rPr>
                <w:lang w:val="en-GB"/>
              </w:rPr>
              <w:t xml:space="preserve"> </w:t>
            </w:r>
            <w:r>
              <w:rPr>
                <w:lang w:val="en-GB"/>
              </w:rPr>
              <w:t xml:space="preserve">Services </w:t>
            </w:r>
          </w:p>
        </w:tc>
      </w:tr>
      <w:tr w:rsidR="00FB234C"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tcBorders>
              <w:top w:val="single" w:sz="4" w:space="0" w:color="FFFFFF" w:themeColor="background1"/>
            </w:tcBorders>
            <w:shd w:val="clear" w:color="auto" w:fill="573275" w:themeFill="accent1"/>
          </w:tcPr>
          <w:p w:rsidR="00241DAF" w:rsidRPr="00241DAF" w:rsidRDefault="00241DAF" w:rsidP="00EF1D2C">
            <w:pPr>
              <w:rPr>
                <w:rFonts w:ascii="FilsonProMedium" w:hAnsi="FilsonProMedium"/>
                <w:color w:val="auto"/>
              </w:rPr>
            </w:pPr>
          </w:p>
        </w:tc>
        <w:tc>
          <w:tcPr>
            <w:tcW w:w="6693" w:type="dxa"/>
          </w:tcPr>
          <w:p w:rsidR="00241DAF" w:rsidRDefault="00241DAF" w:rsidP="00EF1D2C">
            <w:pPr>
              <w:cnfStyle w:val="000000000000" w:firstRow="0" w:lastRow="0" w:firstColumn="0" w:lastColumn="0" w:oddVBand="0" w:evenVBand="0" w:oddHBand="0" w:evenHBand="0" w:firstRowFirstColumn="0" w:firstRowLastColumn="0" w:lastRowFirstColumn="0" w:lastRowLastColumn="0"/>
            </w:pPr>
            <w:r>
              <w:rPr>
                <w:lang w:val="en-GB"/>
              </w:rPr>
              <w:t>% of people with disability in the labour force who use jobactive and successfully find employment within 12 months</w:t>
            </w:r>
          </w:p>
        </w:tc>
      </w:tr>
      <w:tr w:rsidR="00FB234C"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val="restart"/>
            <w:tcBorders>
              <w:top w:val="single" w:sz="4" w:space="0" w:color="FFFFFF" w:themeColor="background1"/>
            </w:tcBorders>
            <w:shd w:val="clear" w:color="auto" w:fill="005689" w:themeFill="accent2"/>
          </w:tcPr>
          <w:p w:rsidR="00241DAF" w:rsidRDefault="00241DAF" w:rsidP="00EF1D2C">
            <w:r>
              <w:rPr>
                <w:lang w:val="en-GB"/>
              </w:rPr>
              <w:t>Inclusive Homes and</w:t>
            </w:r>
            <w:r w:rsidR="003315D6">
              <w:rPr>
                <w:lang w:val="en-GB"/>
              </w:rPr>
              <w:t> </w:t>
            </w:r>
            <w:r>
              <w:rPr>
                <w:lang w:val="en-GB"/>
              </w:rPr>
              <w:t>Communities</w:t>
            </w:r>
          </w:p>
        </w:tc>
        <w:tc>
          <w:tcPr>
            <w:tcW w:w="6693" w:type="dxa"/>
          </w:tcPr>
          <w:p w:rsidR="00241DAF" w:rsidRDefault="00241DAF" w:rsidP="00EF1D2C">
            <w:pPr>
              <w:cnfStyle w:val="000000000000" w:firstRow="0" w:lastRow="0" w:firstColumn="0" w:lastColumn="0" w:oddVBand="0" w:evenVBand="0" w:oddHBand="0" w:evenHBand="0" w:firstRowFirstColumn="0" w:firstRowLastColumn="0" w:lastRowFirstColumn="0" w:lastRowLastColumn="0"/>
            </w:pPr>
            <w:r>
              <w:rPr>
                <w:lang w:val="en-GB"/>
              </w:rPr>
              <w:t>Average wait time for social housing for people with disability</w:t>
            </w:r>
          </w:p>
        </w:tc>
      </w:tr>
      <w:tr w:rsidR="00FB234C"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tcBorders>
              <w:top w:val="single" w:sz="4" w:space="0" w:color="FFFFFF" w:themeColor="background1"/>
            </w:tcBorders>
            <w:shd w:val="clear" w:color="auto" w:fill="005689" w:themeFill="accent2"/>
          </w:tcPr>
          <w:p w:rsidR="00241DAF" w:rsidRPr="00241DAF" w:rsidRDefault="00241DAF" w:rsidP="00EF1D2C">
            <w:pPr>
              <w:rPr>
                <w:rFonts w:ascii="FilsonProMedium" w:hAnsi="FilsonProMedium"/>
                <w:color w:val="auto"/>
              </w:rPr>
            </w:pPr>
          </w:p>
        </w:tc>
        <w:tc>
          <w:tcPr>
            <w:tcW w:w="6693" w:type="dxa"/>
          </w:tcPr>
          <w:p w:rsidR="00241DAF" w:rsidRDefault="00241DAF" w:rsidP="00EF1D2C">
            <w:pPr>
              <w:cnfStyle w:val="000000000000" w:firstRow="0" w:lastRow="0" w:firstColumn="0" w:lastColumn="0" w:oddVBand="0" w:evenVBand="0" w:oddHBand="0" w:evenHBand="0" w:firstRowFirstColumn="0" w:firstRowLastColumn="0" w:lastRowFirstColumn="0" w:lastRowLastColumn="0"/>
            </w:pPr>
            <w:r>
              <w:rPr>
                <w:lang w:val="en-GB"/>
              </w:rPr>
              <w:t>% of people with disability actively involved in community, cultural, or religious groups in the past 12 months or have taken part in an activity they organised</w:t>
            </w:r>
          </w:p>
        </w:tc>
      </w:tr>
      <w:tr w:rsidR="00FB234C"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tcBorders>
              <w:top w:val="single" w:sz="4" w:space="0" w:color="FFFFFF" w:themeColor="background1"/>
            </w:tcBorders>
            <w:shd w:val="clear" w:color="auto" w:fill="005689" w:themeFill="accent2"/>
          </w:tcPr>
          <w:p w:rsidR="00241DAF" w:rsidRPr="00241DAF" w:rsidRDefault="00241DAF" w:rsidP="00EF1D2C">
            <w:pPr>
              <w:rPr>
                <w:rFonts w:ascii="FilsonProMedium" w:hAnsi="FilsonProMedium"/>
                <w:color w:val="auto"/>
              </w:rPr>
            </w:pPr>
          </w:p>
        </w:tc>
        <w:tc>
          <w:tcPr>
            <w:tcW w:w="6693" w:type="dxa"/>
          </w:tcPr>
          <w:p w:rsidR="00241DAF" w:rsidRDefault="00241DAF" w:rsidP="00EF1D2C">
            <w:pPr>
              <w:cnfStyle w:val="000000000000" w:firstRow="0" w:lastRow="0" w:firstColumn="0" w:lastColumn="0" w:oddVBand="0" w:evenVBand="0" w:oddHBand="0" w:evenHBand="0" w:firstRowFirstColumn="0" w:firstRowLastColumn="0" w:lastRowFirstColumn="0" w:lastRowLastColumn="0"/>
            </w:pPr>
            <w:r>
              <w:rPr>
                <w:lang w:val="en-GB"/>
              </w:rPr>
              <w:t>% difference in digital inclusion between people with disability and the Australian population</w:t>
            </w:r>
          </w:p>
        </w:tc>
      </w:tr>
      <w:tr w:rsidR="00FB234C"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val="restart"/>
            <w:tcBorders>
              <w:top w:val="single" w:sz="4" w:space="0" w:color="FFFFFF" w:themeColor="background1"/>
            </w:tcBorders>
            <w:shd w:val="clear" w:color="auto" w:fill="00492C" w:themeFill="text2"/>
          </w:tcPr>
          <w:p w:rsidR="00241DAF" w:rsidRDefault="00241DAF" w:rsidP="00EF1D2C">
            <w:r>
              <w:rPr>
                <w:lang w:val="en-GB"/>
              </w:rPr>
              <w:t>Safety, Rights and</w:t>
            </w:r>
            <w:r w:rsidR="00AA769E">
              <w:rPr>
                <w:lang w:val="en-GB"/>
              </w:rPr>
              <w:t xml:space="preserve"> </w:t>
            </w:r>
            <w:r>
              <w:rPr>
                <w:lang w:val="en-GB"/>
              </w:rPr>
              <w:t>Justice</w:t>
            </w:r>
          </w:p>
        </w:tc>
        <w:tc>
          <w:tcPr>
            <w:tcW w:w="6693" w:type="dxa"/>
          </w:tcPr>
          <w:p w:rsidR="00241DAF" w:rsidRDefault="00241DAF" w:rsidP="00EF1D2C">
            <w:pPr>
              <w:cnfStyle w:val="000000000000" w:firstRow="0" w:lastRow="0" w:firstColumn="0" w:lastColumn="0" w:oddVBand="0" w:evenVBand="0" w:oddHBand="0" w:evenHBand="0" w:firstRowFirstColumn="0" w:firstRowLastColumn="0" w:lastRowFirstColumn="0" w:lastRowLastColumn="0"/>
            </w:pPr>
            <w:r>
              <w:rPr>
                <w:lang w:val="en-GB"/>
              </w:rPr>
              <w:t>Number of complaints related to abuse and neglect per 1,000 NDIS participants</w:t>
            </w:r>
          </w:p>
        </w:tc>
      </w:tr>
      <w:tr w:rsidR="00FB234C"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tcBorders>
              <w:top w:val="single" w:sz="4" w:space="0" w:color="FFFFFF" w:themeColor="background1"/>
            </w:tcBorders>
            <w:shd w:val="clear" w:color="auto" w:fill="00492C" w:themeFill="text2"/>
          </w:tcPr>
          <w:p w:rsidR="00241DAF" w:rsidRPr="00241DAF" w:rsidRDefault="00241DAF" w:rsidP="00EF1D2C">
            <w:pPr>
              <w:rPr>
                <w:rFonts w:ascii="FilsonProMedium" w:hAnsi="FilsonProMedium"/>
                <w:color w:val="auto"/>
              </w:rPr>
            </w:pPr>
          </w:p>
        </w:tc>
        <w:tc>
          <w:tcPr>
            <w:tcW w:w="6693" w:type="dxa"/>
          </w:tcPr>
          <w:p w:rsidR="00241DAF" w:rsidRDefault="00241DAF" w:rsidP="00EF1D2C">
            <w:pPr>
              <w:cnfStyle w:val="000000000000" w:firstRow="0" w:lastRow="0" w:firstColumn="0" w:lastColumn="0" w:oddVBand="0" w:evenVBand="0" w:oddHBand="0" w:evenHBand="0" w:firstRowFirstColumn="0" w:firstRowLastColumn="0" w:lastRowFirstColumn="0" w:lastRowLastColumn="0"/>
            </w:pPr>
            <w:r>
              <w:rPr>
                <w:lang w:val="en-GB"/>
              </w:rPr>
              <w:t>% of people with disability 15 years and above who have experienced violence compared to people without disability</w:t>
            </w:r>
          </w:p>
        </w:tc>
      </w:tr>
      <w:tr w:rsidR="00FB234C"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tcBorders>
              <w:top w:val="single" w:sz="4" w:space="0" w:color="FFFFFF" w:themeColor="background1"/>
            </w:tcBorders>
            <w:shd w:val="clear" w:color="auto" w:fill="00492C" w:themeFill="text2"/>
          </w:tcPr>
          <w:p w:rsidR="00241DAF" w:rsidRPr="00241DAF" w:rsidRDefault="00241DAF" w:rsidP="00EF1D2C">
            <w:pPr>
              <w:rPr>
                <w:rFonts w:ascii="FilsonProMedium" w:hAnsi="FilsonProMedium"/>
                <w:color w:val="auto"/>
              </w:rPr>
            </w:pPr>
          </w:p>
        </w:tc>
        <w:tc>
          <w:tcPr>
            <w:tcW w:w="6693" w:type="dxa"/>
          </w:tcPr>
          <w:p w:rsidR="00241DAF" w:rsidRDefault="00241DAF" w:rsidP="00EF1D2C">
            <w:pPr>
              <w:cnfStyle w:val="000000000000" w:firstRow="0" w:lastRow="0" w:firstColumn="0" w:lastColumn="0" w:oddVBand="0" w:evenVBand="0" w:oddHBand="0" w:evenHBand="0" w:firstRowFirstColumn="0" w:firstRowLastColumn="0" w:lastRowFirstColumn="0" w:lastRowLastColumn="0"/>
            </w:pPr>
            <w:r>
              <w:rPr>
                <w:lang w:val="en-GB"/>
              </w:rPr>
              <w:t>% of people with disability experiencing domestic and family</w:t>
            </w:r>
            <w:r w:rsidR="00AA769E">
              <w:rPr>
                <w:lang w:val="en-GB"/>
              </w:rPr>
              <w:t xml:space="preserve"> </w:t>
            </w:r>
            <w:r>
              <w:rPr>
                <w:lang w:val="en-GB"/>
              </w:rPr>
              <w:t>violence who are assisted into safe and secure housing when requested</w:t>
            </w:r>
          </w:p>
        </w:tc>
      </w:tr>
      <w:tr w:rsidR="00FB234C"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tcBorders>
              <w:top w:val="single" w:sz="4" w:space="0" w:color="FFFFFF" w:themeColor="background1"/>
            </w:tcBorders>
            <w:shd w:val="clear" w:color="auto" w:fill="00492C" w:themeFill="text2"/>
          </w:tcPr>
          <w:p w:rsidR="00241DAF" w:rsidRPr="00241DAF" w:rsidRDefault="00241DAF" w:rsidP="00EF1D2C">
            <w:pPr>
              <w:rPr>
                <w:rFonts w:ascii="FilsonProMedium" w:hAnsi="FilsonProMedium"/>
                <w:color w:val="auto"/>
              </w:rPr>
            </w:pPr>
          </w:p>
        </w:tc>
        <w:tc>
          <w:tcPr>
            <w:tcW w:w="6693" w:type="dxa"/>
          </w:tcPr>
          <w:p w:rsidR="00241DAF" w:rsidRDefault="00241DAF" w:rsidP="00EF1D2C">
            <w:pPr>
              <w:cnfStyle w:val="000000000000" w:firstRow="0" w:lastRow="0" w:firstColumn="0" w:lastColumn="0" w:oddVBand="0" w:evenVBand="0" w:oddHBand="0" w:evenHBand="0" w:firstRowFirstColumn="0" w:firstRowLastColumn="0" w:lastRowFirstColumn="0" w:lastRowLastColumn="0"/>
            </w:pPr>
            <w:r>
              <w:rPr>
                <w:lang w:val="en-GB"/>
              </w:rPr>
              <w:t>% of females with disability 15 years and above who have experienced family or domestic violence compared with women</w:t>
            </w:r>
            <w:r w:rsidR="00AA769E">
              <w:rPr>
                <w:lang w:val="en-GB"/>
              </w:rPr>
              <w:t xml:space="preserve"> </w:t>
            </w:r>
            <w:r>
              <w:rPr>
                <w:lang w:val="en-GB"/>
              </w:rPr>
              <w:t>without disability</w:t>
            </w:r>
          </w:p>
        </w:tc>
      </w:tr>
      <w:tr w:rsidR="00FB234C"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tcBorders>
              <w:top w:val="single" w:sz="4" w:space="0" w:color="FFFFFF" w:themeColor="background1"/>
            </w:tcBorders>
            <w:shd w:val="clear" w:color="auto" w:fill="00492C" w:themeFill="text2"/>
          </w:tcPr>
          <w:p w:rsidR="00241DAF" w:rsidRPr="00241DAF" w:rsidRDefault="00241DAF" w:rsidP="00EF1D2C">
            <w:pPr>
              <w:rPr>
                <w:rFonts w:ascii="FilsonProMedium" w:hAnsi="FilsonProMedium"/>
                <w:color w:val="auto"/>
              </w:rPr>
            </w:pPr>
          </w:p>
        </w:tc>
        <w:tc>
          <w:tcPr>
            <w:tcW w:w="6693" w:type="dxa"/>
          </w:tcPr>
          <w:p w:rsidR="00241DAF" w:rsidRDefault="00241DAF" w:rsidP="00EF1D2C">
            <w:pPr>
              <w:cnfStyle w:val="000000000000" w:firstRow="0" w:lastRow="0" w:firstColumn="0" w:lastColumn="0" w:oddVBand="0" w:evenVBand="0" w:oddHBand="0" w:evenHBand="0" w:firstRowFirstColumn="0" w:firstRowLastColumn="0" w:lastRowFirstColumn="0" w:lastRowLastColumn="0"/>
            </w:pPr>
            <w:r>
              <w:rPr>
                <w:lang w:val="en-GB"/>
              </w:rPr>
              <w:t>% of complaints related to disability discrimination lodged</w:t>
            </w:r>
            <w:r w:rsidR="00AA769E">
              <w:rPr>
                <w:lang w:val="en-GB"/>
              </w:rPr>
              <w:t xml:space="preserve"> </w:t>
            </w:r>
            <w:r>
              <w:rPr>
                <w:lang w:val="en-GB"/>
              </w:rPr>
              <w:t>with</w:t>
            </w:r>
            <w:r w:rsidR="00AA769E">
              <w:rPr>
                <w:lang w:val="en-GB"/>
              </w:rPr>
              <w:t xml:space="preserve"> </w:t>
            </w:r>
            <w:r>
              <w:rPr>
                <w:lang w:val="en-GB"/>
              </w:rPr>
              <w:t>the Australian Human Rights Commission/relevant state and territory bodies that are investigated and resolved</w:t>
            </w:r>
          </w:p>
        </w:tc>
      </w:tr>
      <w:tr w:rsidR="003315D6"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val="restart"/>
            <w:tcBorders>
              <w:top w:val="single" w:sz="4" w:space="0" w:color="FFFFFF" w:themeColor="background1"/>
            </w:tcBorders>
            <w:shd w:val="clear" w:color="auto" w:fill="7A0441" w:themeFill="accent3"/>
          </w:tcPr>
          <w:p w:rsidR="003315D6" w:rsidRPr="00241DAF" w:rsidRDefault="003315D6" w:rsidP="003315D6">
            <w:pPr>
              <w:rPr>
                <w:rFonts w:ascii="FilsonProMedium" w:hAnsi="FilsonProMedium"/>
                <w:color w:val="auto"/>
              </w:rPr>
            </w:pPr>
            <w:r>
              <w:rPr>
                <w:lang w:val="en-GB"/>
              </w:rPr>
              <w:t>Personal and Community Support</w:t>
            </w:r>
          </w:p>
        </w:tc>
        <w:tc>
          <w:tcPr>
            <w:tcW w:w="6693" w:type="dxa"/>
          </w:tcPr>
          <w:p w:rsidR="003315D6" w:rsidRDefault="003315D6" w:rsidP="003315D6">
            <w:pPr>
              <w:cnfStyle w:val="000000000000" w:firstRow="0" w:lastRow="0" w:firstColumn="0" w:lastColumn="0" w:oddVBand="0" w:evenVBand="0" w:oddHBand="0" w:evenHBand="0" w:firstRowFirstColumn="0" w:firstRowLastColumn="0" w:lastRowFirstColumn="0" w:lastRowLastColumn="0"/>
              <w:rPr>
                <w:lang w:val="en-GB"/>
              </w:rPr>
            </w:pPr>
            <w:r>
              <w:rPr>
                <w:lang w:val="en-GB"/>
              </w:rPr>
              <w:t>% of informal carers of people with disability who report that alternative care arrangements are available and affordable</w:t>
            </w:r>
          </w:p>
        </w:tc>
      </w:tr>
      <w:tr w:rsidR="003315D6"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tcBorders>
              <w:top w:val="single" w:sz="4" w:space="0" w:color="FFFFFF" w:themeColor="background1"/>
            </w:tcBorders>
            <w:shd w:val="clear" w:color="auto" w:fill="7A0441" w:themeFill="accent3"/>
          </w:tcPr>
          <w:p w:rsidR="003315D6" w:rsidRPr="00241DAF" w:rsidRDefault="003315D6" w:rsidP="003315D6">
            <w:pPr>
              <w:rPr>
                <w:rFonts w:ascii="FilsonProMedium" w:hAnsi="FilsonProMedium"/>
                <w:color w:val="auto"/>
              </w:rPr>
            </w:pPr>
          </w:p>
        </w:tc>
        <w:tc>
          <w:tcPr>
            <w:tcW w:w="6693" w:type="dxa"/>
          </w:tcPr>
          <w:p w:rsidR="003315D6" w:rsidRDefault="003315D6" w:rsidP="003315D6">
            <w:pPr>
              <w:cnfStyle w:val="000000000000" w:firstRow="0" w:lastRow="0" w:firstColumn="0" w:lastColumn="0" w:oddVBand="0" w:evenVBand="0" w:oddHBand="0" w:evenHBand="0" w:firstRowFirstColumn="0" w:firstRowLastColumn="0" w:lastRowFirstColumn="0" w:lastRowLastColumn="0"/>
              <w:rPr>
                <w:lang w:val="en-GB"/>
              </w:rPr>
            </w:pPr>
            <w:r>
              <w:rPr>
                <w:lang w:val="en-GB"/>
              </w:rPr>
              <w:t>% utilisation of NDIS participants’ plans on assistive technology supports</w:t>
            </w:r>
          </w:p>
        </w:tc>
      </w:tr>
      <w:tr w:rsidR="003315D6"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val="restart"/>
            <w:tcBorders>
              <w:top w:val="single" w:sz="4" w:space="0" w:color="FFFFFF" w:themeColor="background1"/>
            </w:tcBorders>
            <w:shd w:val="clear" w:color="auto" w:fill="CD163F" w:themeFill="accent4"/>
          </w:tcPr>
          <w:p w:rsidR="003315D6" w:rsidRPr="00241DAF" w:rsidRDefault="003315D6" w:rsidP="003315D6">
            <w:pPr>
              <w:rPr>
                <w:rFonts w:ascii="FilsonProMedium" w:hAnsi="FilsonProMedium"/>
                <w:color w:val="auto"/>
              </w:rPr>
            </w:pPr>
            <w:r>
              <w:rPr>
                <w:lang w:val="en-GB"/>
              </w:rPr>
              <w:t>Education and Learning</w:t>
            </w:r>
          </w:p>
        </w:tc>
        <w:tc>
          <w:tcPr>
            <w:tcW w:w="6693" w:type="dxa"/>
          </w:tcPr>
          <w:p w:rsidR="003315D6" w:rsidRDefault="003315D6" w:rsidP="003315D6">
            <w:pPr>
              <w:cnfStyle w:val="000000000000" w:firstRow="0" w:lastRow="0" w:firstColumn="0" w:lastColumn="0" w:oddVBand="0" w:evenVBand="0" w:oddHBand="0" w:evenHBand="0" w:firstRowFirstColumn="0" w:firstRowLastColumn="0" w:lastRowFirstColumn="0" w:lastRowLastColumn="0"/>
              <w:rPr>
                <w:lang w:val="en-GB"/>
              </w:rPr>
            </w:pPr>
            <w:r>
              <w:rPr>
                <w:spacing w:val="-1"/>
                <w:lang w:val="en-GB"/>
              </w:rPr>
              <w:t>% of children with disability enrolled in a pre</w:t>
            </w:r>
            <w:r>
              <w:rPr>
                <w:rFonts w:ascii="Cambria Math" w:hAnsi="Cambria Math" w:cs="Cambria Math"/>
                <w:spacing w:val="-1"/>
                <w:lang w:val="en-GB"/>
              </w:rPr>
              <w:t>‑</w:t>
            </w:r>
            <w:r>
              <w:rPr>
                <w:spacing w:val="-1"/>
                <w:lang w:val="en-GB"/>
              </w:rPr>
              <w:t>school program the year before full</w:t>
            </w:r>
            <w:r>
              <w:rPr>
                <w:rFonts w:ascii="Cambria Math" w:hAnsi="Cambria Math" w:cs="Cambria Math"/>
                <w:spacing w:val="-1"/>
                <w:lang w:val="en-GB"/>
              </w:rPr>
              <w:t>‑</w:t>
            </w:r>
            <w:r>
              <w:rPr>
                <w:spacing w:val="-1"/>
                <w:lang w:val="en-GB"/>
              </w:rPr>
              <w:t>time schooling vs representation in community</w:t>
            </w:r>
          </w:p>
        </w:tc>
      </w:tr>
      <w:tr w:rsidR="003315D6"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tcBorders>
              <w:top w:val="single" w:sz="4" w:space="0" w:color="FFFFFF" w:themeColor="background1"/>
            </w:tcBorders>
            <w:shd w:val="clear" w:color="auto" w:fill="CD163F" w:themeFill="accent4"/>
          </w:tcPr>
          <w:p w:rsidR="003315D6" w:rsidRPr="00241DAF" w:rsidRDefault="003315D6" w:rsidP="003315D6">
            <w:pPr>
              <w:rPr>
                <w:rFonts w:ascii="FilsonProMedium" w:hAnsi="FilsonProMedium"/>
                <w:color w:val="auto"/>
              </w:rPr>
            </w:pPr>
          </w:p>
        </w:tc>
        <w:tc>
          <w:tcPr>
            <w:tcW w:w="6693" w:type="dxa"/>
          </w:tcPr>
          <w:p w:rsidR="003315D6" w:rsidRDefault="003315D6" w:rsidP="003315D6">
            <w:pPr>
              <w:cnfStyle w:val="000000000000" w:firstRow="0" w:lastRow="0" w:firstColumn="0" w:lastColumn="0" w:oddVBand="0" w:evenVBand="0" w:oddHBand="0" w:evenHBand="0" w:firstRowFirstColumn="0" w:firstRowLastColumn="0" w:lastRowFirstColumn="0" w:lastRowLastColumn="0"/>
              <w:rPr>
                <w:lang w:val="en-GB"/>
              </w:rPr>
            </w:pPr>
            <w:r>
              <w:rPr>
                <w:lang w:val="en-GB"/>
              </w:rPr>
              <w:t>% of students with disability who complete Year 10 (or equivalent)</w:t>
            </w:r>
          </w:p>
        </w:tc>
      </w:tr>
      <w:tr w:rsidR="003315D6"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vMerge/>
            <w:tcBorders>
              <w:top w:val="single" w:sz="4" w:space="0" w:color="FFFFFF" w:themeColor="background1"/>
            </w:tcBorders>
            <w:shd w:val="clear" w:color="auto" w:fill="CD163F" w:themeFill="accent4"/>
          </w:tcPr>
          <w:p w:rsidR="003315D6" w:rsidRPr="00241DAF" w:rsidRDefault="003315D6" w:rsidP="003315D6">
            <w:pPr>
              <w:rPr>
                <w:rFonts w:ascii="FilsonProMedium" w:hAnsi="FilsonProMedium"/>
                <w:color w:val="auto"/>
              </w:rPr>
            </w:pPr>
          </w:p>
        </w:tc>
        <w:tc>
          <w:tcPr>
            <w:tcW w:w="6693" w:type="dxa"/>
          </w:tcPr>
          <w:p w:rsidR="003315D6" w:rsidRDefault="003315D6" w:rsidP="003315D6">
            <w:pPr>
              <w:cnfStyle w:val="000000000000" w:firstRow="0" w:lastRow="0" w:firstColumn="0" w:lastColumn="0" w:oddVBand="0" w:evenVBand="0" w:oddHBand="0" w:evenHBand="0" w:firstRowFirstColumn="0" w:firstRowLastColumn="0" w:lastRowFirstColumn="0" w:lastRowLastColumn="0"/>
              <w:rPr>
                <w:lang w:val="en-GB"/>
              </w:rPr>
            </w:pPr>
            <w:r>
              <w:rPr>
                <w:lang w:val="en-GB"/>
              </w:rPr>
              <w:t>% of students with disability who complete Year 12 (or equivalent)</w:t>
            </w:r>
          </w:p>
        </w:tc>
      </w:tr>
      <w:tr w:rsidR="003315D6" w:rsidTr="003315D6">
        <w:trPr>
          <w:trHeight w:val="113"/>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FFFFFF" w:themeColor="background1"/>
            </w:tcBorders>
            <w:shd w:val="clear" w:color="auto" w:fill="180F5E" w:themeFill="accent5"/>
          </w:tcPr>
          <w:p w:rsidR="003315D6" w:rsidRPr="00241DAF" w:rsidRDefault="003315D6" w:rsidP="003315D6">
            <w:pPr>
              <w:rPr>
                <w:rFonts w:ascii="FilsonProMedium" w:hAnsi="FilsonProMedium"/>
                <w:color w:val="auto"/>
              </w:rPr>
            </w:pPr>
            <w:r>
              <w:rPr>
                <w:lang w:val="en-GB"/>
              </w:rPr>
              <w:t>Health and Wellbeing</w:t>
            </w:r>
          </w:p>
        </w:tc>
        <w:tc>
          <w:tcPr>
            <w:tcW w:w="6693" w:type="dxa"/>
          </w:tcPr>
          <w:p w:rsidR="003315D6" w:rsidRDefault="003315D6" w:rsidP="003315D6">
            <w:pPr>
              <w:cnfStyle w:val="000000000000" w:firstRow="0" w:lastRow="0" w:firstColumn="0" w:lastColumn="0" w:oddVBand="0" w:evenVBand="0" w:oddHBand="0" w:evenHBand="0" w:firstRowFirstColumn="0" w:firstRowLastColumn="0" w:lastRowFirstColumn="0" w:lastRowLastColumn="0"/>
              <w:rPr>
                <w:lang w:val="en-GB"/>
              </w:rPr>
            </w:pPr>
            <w:r>
              <w:rPr>
                <w:lang w:val="en-GB"/>
              </w:rPr>
              <w:t>Number of people with disability with GP-type emergency department presentations</w:t>
            </w:r>
          </w:p>
        </w:tc>
      </w:tr>
    </w:tbl>
    <w:p w:rsidR="00241DAF" w:rsidRDefault="00241DAF" w:rsidP="00EF1D2C">
      <w:pPr>
        <w:rPr>
          <w:lang w:val="en-GB"/>
        </w:rPr>
      </w:pPr>
    </w:p>
    <w:p w:rsidR="00241DAF" w:rsidRDefault="00241DAF" w:rsidP="00EF1D2C">
      <w:pPr>
        <w:pStyle w:val="Heading1"/>
        <w:rPr>
          <w:lang w:val="en-GB"/>
        </w:rPr>
      </w:pPr>
      <w:bookmarkStart w:id="35" w:name="_Toc121849784"/>
      <w:r>
        <w:rPr>
          <w:lang w:val="en-GB"/>
        </w:rPr>
        <w:lastRenderedPageBreak/>
        <w:t>9. Australian, State and Territory Government Commitments</w:t>
      </w:r>
      <w:bookmarkEnd w:id="35"/>
    </w:p>
    <w:p w:rsidR="00241DAF" w:rsidRDefault="00241DAF" w:rsidP="00EF1D2C">
      <w:pPr>
        <w:rPr>
          <w:lang w:val="en-GB"/>
        </w:rPr>
      </w:pPr>
      <w:r>
        <w:rPr>
          <w:lang w:val="en-GB"/>
        </w:rPr>
        <w:t xml:space="preserve">All levels of government in Australia have endorsed the Strategy and the Outcomes Framework. The DIP, under the Outcomes Framework, has also been endorsed by the Australian, state and territory governments. </w:t>
      </w:r>
    </w:p>
    <w:p w:rsidR="00241DAF" w:rsidRDefault="00241DAF" w:rsidP="00EF1D2C">
      <w:pPr>
        <w:rPr>
          <w:lang w:val="en-GB"/>
        </w:rPr>
      </w:pPr>
      <w:r>
        <w:rPr>
          <w:lang w:val="en-GB"/>
        </w:rPr>
        <w:t>All levels of government have agreed to work closely with people with disability over the life of the Strategy. The views of people with disability, disability sector stakeholders and diverse groups within the sector will be heard and considered. Engagement with groups such as First Nations people with disability, people with disability from culturally and linguistically diverse communities and women with disability will ensure a broad range of views are included and considered.</w:t>
      </w:r>
    </w:p>
    <w:p w:rsidR="00241DAF" w:rsidRDefault="00241DAF" w:rsidP="00EF1D2C">
      <w:pPr>
        <w:pStyle w:val="Heading2"/>
        <w:rPr>
          <w:lang w:val="en-GB"/>
        </w:rPr>
      </w:pPr>
      <w:bookmarkStart w:id="36" w:name="_Toc121849785"/>
      <w:r>
        <w:rPr>
          <w:lang w:val="en-GB"/>
        </w:rPr>
        <w:t>9.1</w:t>
      </w:r>
      <w:r w:rsidR="00466983">
        <w:rPr>
          <w:lang w:val="en-GB"/>
        </w:rPr>
        <w:t xml:space="preserve"> </w:t>
      </w:r>
      <w:r>
        <w:rPr>
          <w:lang w:val="en-GB"/>
        </w:rPr>
        <w:t>Australian Government</w:t>
      </w:r>
      <w:bookmarkEnd w:id="36"/>
    </w:p>
    <w:p w:rsidR="00241DAF" w:rsidRDefault="00241DAF" w:rsidP="00EF1D2C">
      <w:pPr>
        <w:rPr>
          <w:lang w:val="en-GB"/>
        </w:rPr>
      </w:pPr>
      <w:r>
        <w:rPr>
          <w:lang w:val="en-GB"/>
        </w:rPr>
        <w:t>The following key Australian Government agencies have developed or are developing their own disability data improvement plans (DIPs):</w:t>
      </w:r>
    </w:p>
    <w:p w:rsidR="00241DAF" w:rsidRDefault="00241DAF" w:rsidP="00EF1D2C">
      <w:pPr>
        <w:pStyle w:val="Bullet1"/>
        <w:rPr>
          <w:lang w:val="en-GB"/>
        </w:rPr>
      </w:pPr>
      <w:r>
        <w:rPr>
          <w:lang w:val="en-GB"/>
        </w:rPr>
        <w:t>Attorney-General’s</w:t>
      </w:r>
    </w:p>
    <w:p w:rsidR="00241DAF" w:rsidRDefault="00241DAF" w:rsidP="00EF1D2C">
      <w:pPr>
        <w:pStyle w:val="Bullet1"/>
        <w:rPr>
          <w:lang w:val="en-GB"/>
        </w:rPr>
      </w:pPr>
      <w:r>
        <w:rPr>
          <w:lang w:val="en-GB"/>
        </w:rPr>
        <w:t>Education</w:t>
      </w:r>
    </w:p>
    <w:p w:rsidR="00241DAF" w:rsidRDefault="00241DAF" w:rsidP="00EF1D2C">
      <w:pPr>
        <w:pStyle w:val="Bullet1"/>
        <w:rPr>
          <w:lang w:val="en-GB"/>
        </w:rPr>
      </w:pPr>
      <w:r>
        <w:rPr>
          <w:lang w:val="en-GB"/>
        </w:rPr>
        <w:t>Health and Aged Care</w:t>
      </w:r>
    </w:p>
    <w:p w:rsidR="00241DAF" w:rsidRDefault="00241DAF" w:rsidP="00EF1D2C">
      <w:pPr>
        <w:pStyle w:val="Bullet1"/>
        <w:rPr>
          <w:lang w:val="en-GB"/>
        </w:rPr>
      </w:pPr>
      <w:r>
        <w:rPr>
          <w:lang w:val="en-GB"/>
        </w:rPr>
        <w:t>Infrastructure, Transport, Regional Development, Communications and the Arts</w:t>
      </w:r>
    </w:p>
    <w:p w:rsidR="00241DAF" w:rsidRDefault="00241DAF" w:rsidP="00EF1D2C">
      <w:pPr>
        <w:pStyle w:val="Bullet1"/>
        <w:rPr>
          <w:lang w:val="en-GB"/>
        </w:rPr>
      </w:pPr>
      <w:r>
        <w:rPr>
          <w:lang w:val="en-GB"/>
        </w:rPr>
        <w:t>Social Services</w:t>
      </w:r>
    </w:p>
    <w:p w:rsidR="00241DAF" w:rsidRDefault="00241DAF" w:rsidP="00EF1D2C">
      <w:pPr>
        <w:pStyle w:val="Bullet1"/>
        <w:rPr>
          <w:lang w:val="en-GB"/>
        </w:rPr>
      </w:pPr>
      <w:r>
        <w:rPr>
          <w:lang w:val="en-GB"/>
        </w:rPr>
        <w:t>Prime Minister and Cabinet (Office for Women)</w:t>
      </w:r>
    </w:p>
    <w:p w:rsidR="00241DAF" w:rsidRDefault="00241DAF" w:rsidP="00EF1D2C">
      <w:pPr>
        <w:pStyle w:val="Bullet1"/>
        <w:rPr>
          <w:lang w:val="en-GB"/>
        </w:rPr>
      </w:pPr>
      <w:r>
        <w:rPr>
          <w:lang w:val="en-GB"/>
        </w:rPr>
        <w:t>Treasury</w:t>
      </w:r>
    </w:p>
    <w:p w:rsidR="00241DAF" w:rsidRDefault="00241DAF" w:rsidP="00EF1D2C">
      <w:pPr>
        <w:pStyle w:val="Bullet1"/>
        <w:rPr>
          <w:lang w:val="en-GB"/>
        </w:rPr>
      </w:pPr>
      <w:r>
        <w:rPr>
          <w:lang w:val="en-GB"/>
        </w:rPr>
        <w:t>Industry, Science and Resources.</w:t>
      </w:r>
    </w:p>
    <w:p w:rsidR="00241DAF" w:rsidRDefault="00241DAF" w:rsidP="00EF1D2C">
      <w:pPr>
        <w:rPr>
          <w:lang w:val="en-GB"/>
        </w:rPr>
      </w:pPr>
      <w:r>
        <w:rPr>
          <w:lang w:val="en-GB"/>
        </w:rPr>
        <w:t>Input from these individual agency DIPs has informed the development of this national DIP.</w:t>
      </w:r>
    </w:p>
    <w:p w:rsidR="00241DAF" w:rsidRDefault="00241DAF" w:rsidP="00EF1D2C">
      <w:pPr>
        <w:pStyle w:val="Heading2"/>
        <w:rPr>
          <w:lang w:val="en-GB"/>
        </w:rPr>
      </w:pPr>
      <w:bookmarkStart w:id="37" w:name="_Toc121849786"/>
      <w:r>
        <w:rPr>
          <w:lang w:val="en-GB"/>
        </w:rPr>
        <w:t>9.2</w:t>
      </w:r>
      <w:r w:rsidR="00466983">
        <w:rPr>
          <w:lang w:val="en-GB"/>
        </w:rPr>
        <w:t xml:space="preserve"> </w:t>
      </w:r>
      <w:r>
        <w:rPr>
          <w:lang w:val="en-GB"/>
        </w:rPr>
        <w:t>State and Territory Governments</w:t>
      </w:r>
      <w:bookmarkEnd w:id="37"/>
    </w:p>
    <w:p w:rsidR="00241DAF" w:rsidRDefault="00241DAF" w:rsidP="00EF1D2C">
      <w:pPr>
        <w:rPr>
          <w:lang w:val="en-GB"/>
        </w:rPr>
      </w:pPr>
      <w:r>
        <w:rPr>
          <w:lang w:val="en-GB"/>
        </w:rPr>
        <w:t>State and territory governments have contributed to developing this DIP and will continue to work with the Australian Government to develop future measures and improve the quality and usability of data about people with disability. State and territory data is critical to measuring the progress of the Strategy.</w:t>
      </w:r>
    </w:p>
    <w:sectPr w:rsidR="00241DAF" w:rsidSect="00EF1D2C">
      <w:pgSz w:w="11906" w:h="16838" w:code="9"/>
      <w:pgMar w:top="1134" w:right="1134" w:bottom="1134" w:left="1134"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04E" w:rsidRDefault="00C9304E" w:rsidP="00EF1D2C">
      <w:pPr>
        <w:spacing w:before="0" w:after="0" w:line="240" w:lineRule="auto"/>
      </w:pPr>
      <w:r>
        <w:separator/>
      </w:r>
    </w:p>
    <w:p w:rsidR="00C9304E" w:rsidRDefault="00C9304E"/>
  </w:endnote>
  <w:endnote w:type="continuationSeparator" w:id="0">
    <w:p w:rsidR="00C9304E" w:rsidRDefault="00C9304E" w:rsidP="00EF1D2C">
      <w:pPr>
        <w:spacing w:before="0" w:after="0" w:line="240" w:lineRule="auto"/>
      </w:pPr>
      <w:r>
        <w:continuationSeparator/>
      </w:r>
    </w:p>
    <w:p w:rsidR="00C9304E" w:rsidRDefault="00C93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Sans-Regular">
    <w:altName w:val="Calibri"/>
    <w:panose1 w:val="00000000000000000000"/>
    <w:charset w:val="4D"/>
    <w:family w:val="auto"/>
    <w:notTrueType/>
    <w:pitch w:val="default"/>
    <w:sig w:usb0="00000003" w:usb1="00000000" w:usb2="00000000" w:usb3="00000000" w:csb0="00000001" w:csb1="00000000"/>
  </w:font>
  <w:font w:name="FilsonProMedium">
    <w:altName w:val="Calibri"/>
    <w:panose1 w:val="00000000000000000000"/>
    <w:charset w:val="4D"/>
    <w:family w:val="auto"/>
    <w:notTrueType/>
    <w:pitch w:val="default"/>
    <w:sig w:usb0="00000003" w:usb1="00000000" w:usb2="00000000" w:usb3="00000000" w:csb0="00000001" w:csb1="00000000"/>
  </w:font>
  <w:font w:name="NunitoSans-Bold">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D2C" w:rsidRDefault="00EF1D2C">
    <w:pPr>
      <w:pStyle w:val="Footer"/>
    </w:pPr>
    <w:r>
      <w:fldChar w:fldCharType="begin"/>
    </w:r>
    <w:r>
      <w:instrText xml:space="preserve"> PAGE   \* MERGEFORMAT </w:instrText>
    </w:r>
    <w:r>
      <w:fldChar w:fldCharType="separate"/>
    </w:r>
    <w:r w:rsidR="00A905F9">
      <w:rPr>
        <w:noProof/>
      </w:rPr>
      <w:t>28</w:t>
    </w:r>
    <w:r>
      <w:fldChar w:fldCharType="end"/>
    </w:r>
    <w:r>
      <w:rPr>
        <w:noProof/>
      </w:rPr>
      <w:tab/>
    </w:r>
    <w:r w:rsidRPr="00EF1D2C">
      <w:rPr>
        <w:noProof/>
      </w:rPr>
      <w:t>Australia’s Disability Strategy 2021 – 2031</w:t>
    </w:r>
    <w:r w:rsidR="00466983">
      <w:rPr>
        <w:noProof/>
      </w:rPr>
      <w:t xml:space="preserve"> – </w:t>
    </w:r>
    <w:r w:rsidR="00466983">
      <w:rPr>
        <w:noProof/>
      </w:rPr>
      <w:fldChar w:fldCharType="begin"/>
    </w:r>
    <w:r w:rsidR="00466983">
      <w:rPr>
        <w:noProof/>
      </w:rPr>
      <w:instrText xml:space="preserve"> STYLEREF  Subtitle  \* MERGEFORMAT </w:instrText>
    </w:r>
    <w:r w:rsidR="00466983">
      <w:rPr>
        <w:noProof/>
      </w:rPr>
      <w:fldChar w:fldCharType="separate"/>
    </w:r>
    <w:r w:rsidR="00A905F9">
      <w:rPr>
        <w:noProof/>
      </w:rPr>
      <w:t>Data Improvement Plan</w:t>
    </w:r>
    <w:r w:rsidR="004669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04E" w:rsidRDefault="00C9304E" w:rsidP="00EF1D2C">
      <w:pPr>
        <w:spacing w:before="0" w:after="0" w:line="240" w:lineRule="auto"/>
      </w:pPr>
      <w:r>
        <w:separator/>
      </w:r>
    </w:p>
    <w:p w:rsidR="00C9304E" w:rsidRDefault="00C9304E"/>
  </w:footnote>
  <w:footnote w:type="continuationSeparator" w:id="0">
    <w:p w:rsidR="00C9304E" w:rsidRDefault="00C9304E" w:rsidP="00EF1D2C">
      <w:pPr>
        <w:spacing w:before="0" w:after="0" w:line="240" w:lineRule="auto"/>
      </w:pPr>
      <w:r>
        <w:continuationSeparator/>
      </w:r>
    </w:p>
    <w:p w:rsidR="00C9304E" w:rsidRDefault="00C9304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1"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cs="Times New Roman" w:hint="default"/>
        <w:b w:val="0"/>
        <w:i w:val="0"/>
        <w:color w:val="auto"/>
      </w:rPr>
    </w:lvl>
    <w:lvl w:ilvl="1">
      <w:start w:val="1"/>
      <w:numFmt w:val="lowerLetter"/>
      <w:lvlText w:val="%2."/>
      <w:lvlJc w:val="left"/>
      <w:pPr>
        <w:ind w:left="568" w:hanging="284"/>
      </w:pPr>
      <w:rPr>
        <w:rFonts w:cs="Times New Roman" w:hint="default"/>
      </w:rPr>
    </w:lvl>
    <w:lvl w:ilvl="2">
      <w:start w:val="1"/>
      <w:numFmt w:val="lowerRoman"/>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2"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cs="Times New Roman" w:hint="default"/>
        <w:b/>
        <w:i w:val="0"/>
        <w:caps w:val="0"/>
        <w:color w:val="573275" w:themeColor="accent1"/>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20336ADE"/>
    <w:multiLevelType w:val="multilevel"/>
    <w:tmpl w:val="1EC823D4"/>
    <w:styleLink w:val="TableNumbers"/>
    <w:lvl w:ilvl="0">
      <w:start w:val="1"/>
      <w:numFmt w:val="decimal"/>
      <w:pStyle w:val="TableTitle"/>
      <w:suff w:val="space"/>
      <w:lvlText w:val="Table %1:"/>
      <w:lvlJc w:val="left"/>
      <w:pPr>
        <w:ind w:left="1134" w:hanging="1134"/>
      </w:pPr>
      <w:rPr>
        <w:rFonts w:cs="Times New Roman" w:hint="default"/>
        <w:b/>
        <w:i w:val="0"/>
        <w:caps w:val="0"/>
        <w:color w:val="00492C" w:themeColor="text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83C45CE"/>
    <w:multiLevelType w:val="multilevel"/>
    <w:tmpl w:val="1EC823D4"/>
    <w:numStyleLink w:val="TableNumbers"/>
  </w:abstractNum>
  <w:abstractNum w:abstractNumId="5" w15:restartNumberingAfterBreak="0">
    <w:nsid w:val="2D890E47"/>
    <w:multiLevelType w:val="hybridMultilevel"/>
    <w:tmpl w:val="E628387E"/>
    <w:lvl w:ilvl="0" w:tplc="6B982C78">
      <w:start w:val="1"/>
      <w:numFmt w:val="decimal"/>
      <w:lvlText w:val="%1."/>
      <w:lvlJc w:val="left"/>
      <w:pPr>
        <w:ind w:left="720" w:hanging="360"/>
      </w:pPr>
      <w:rPr>
        <w:rFonts w:cs="Times New Roman" w:hint="default"/>
        <w:caps w:val="0"/>
        <w:vanish w:val="0"/>
        <w:color w:val="000000" w:themeColor="text1"/>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41396E59"/>
    <w:multiLevelType w:val="multilevel"/>
    <w:tmpl w:val="4624390C"/>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cs="Times New Roman" w:hint="default"/>
      </w:rPr>
    </w:lvl>
    <w:lvl w:ilvl="5">
      <w:start w:val="1"/>
      <w:numFmt w:val="lowerRoman"/>
      <w:lvlText w:val="(%6)"/>
      <w:lvlJc w:val="left"/>
      <w:pPr>
        <w:ind w:left="1020" w:hanging="170"/>
      </w:pPr>
      <w:rPr>
        <w:rFonts w:cs="Times New Roman" w:hint="default"/>
      </w:rPr>
    </w:lvl>
    <w:lvl w:ilvl="6">
      <w:start w:val="1"/>
      <w:numFmt w:val="decimal"/>
      <w:lvlText w:val="%7."/>
      <w:lvlJc w:val="left"/>
      <w:pPr>
        <w:ind w:left="1190" w:hanging="170"/>
      </w:pPr>
      <w:rPr>
        <w:rFonts w:cs="Times New Roman" w:hint="default"/>
      </w:rPr>
    </w:lvl>
    <w:lvl w:ilvl="7">
      <w:start w:val="1"/>
      <w:numFmt w:val="lowerLetter"/>
      <w:lvlText w:val="%8."/>
      <w:lvlJc w:val="left"/>
      <w:pPr>
        <w:ind w:left="1360" w:hanging="170"/>
      </w:pPr>
      <w:rPr>
        <w:rFonts w:cs="Times New Roman" w:hint="default"/>
      </w:rPr>
    </w:lvl>
    <w:lvl w:ilvl="8">
      <w:start w:val="1"/>
      <w:numFmt w:val="lowerRoman"/>
      <w:lvlText w:val="%9."/>
      <w:lvlJc w:val="left"/>
      <w:pPr>
        <w:ind w:left="1530" w:hanging="170"/>
      </w:pPr>
      <w:rPr>
        <w:rFonts w:cs="Times New Roman" w:hint="default"/>
      </w:rPr>
    </w:lvl>
  </w:abstractNum>
  <w:abstractNum w:abstractNumId="7" w15:restartNumberingAfterBreak="0">
    <w:nsid w:val="50517343"/>
    <w:multiLevelType w:val="multilevel"/>
    <w:tmpl w:val="1EC823D4"/>
    <w:numStyleLink w:val="TableNumbers"/>
  </w:abstractNum>
  <w:abstractNum w:abstractNumId="8"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5563048B"/>
    <w:multiLevelType w:val="multilevel"/>
    <w:tmpl w:val="C284D0B0"/>
    <w:numStyleLink w:val="FigureNumbers"/>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1134" w:hanging="1134"/>
      </w:pPr>
      <w:rPr>
        <w:rFonts w:cs="Times New Roman" w:hint="default"/>
      </w:rPr>
    </w:lvl>
    <w:lvl w:ilvl="4">
      <w:start w:val="1"/>
      <w:numFmt w:val="decimal"/>
      <w:lvlText w:val="%1.%2.%3.%4.%5"/>
      <w:lvlJc w:val="left"/>
      <w:pPr>
        <w:ind w:left="1418" w:hanging="1418"/>
      </w:pPr>
      <w:rPr>
        <w:rFonts w:cs="Times New Roman" w:hint="default"/>
      </w:rPr>
    </w:lvl>
    <w:lvl w:ilvl="5">
      <w:start w:val="1"/>
      <w:numFmt w:val="decimal"/>
      <w:lvlText w:val="%1.%2.%3.%4.%5.%6"/>
      <w:lvlJc w:val="left"/>
      <w:pPr>
        <w:ind w:left="1701" w:hanging="1701"/>
      </w:pPr>
      <w:rPr>
        <w:rFonts w:cs="Times New Roman" w:hint="default"/>
      </w:rPr>
    </w:lvl>
    <w:lvl w:ilvl="6">
      <w:start w:val="1"/>
      <w:numFmt w:val="decimal"/>
      <w:lvlText w:val="%1.%2.%3.%4.%5.%6.%7"/>
      <w:lvlJc w:val="left"/>
      <w:pPr>
        <w:ind w:left="1701" w:hanging="1701"/>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5F82426C"/>
    <w:multiLevelType w:val="multilevel"/>
    <w:tmpl w:val="1EC823D4"/>
    <w:numStyleLink w:val="TableNumbers"/>
  </w:abstractNum>
  <w:abstractNum w:abstractNumId="1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num w:numId="1">
    <w:abstractNumId w:val="8"/>
  </w:num>
  <w:num w:numId="2">
    <w:abstractNumId w:val="8"/>
  </w:num>
  <w:num w:numId="3">
    <w:abstractNumId w:val="6"/>
  </w:num>
  <w:num w:numId="4">
    <w:abstractNumId w:val="6"/>
  </w:num>
  <w:num w:numId="5">
    <w:abstractNumId w:val="6"/>
  </w:num>
  <w:num w:numId="6">
    <w:abstractNumId w:val="13"/>
  </w:num>
  <w:num w:numId="7">
    <w:abstractNumId w:val="13"/>
  </w:num>
  <w:num w:numId="8">
    <w:abstractNumId w:val="13"/>
  </w:num>
  <w:num w:numId="9">
    <w:abstractNumId w:val="13"/>
  </w:num>
  <w:num w:numId="10">
    <w:abstractNumId w:val="2"/>
  </w:num>
  <w:num w:numId="11">
    <w:abstractNumId w:val="9"/>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0"/>
  </w:num>
  <w:num w:numId="20">
    <w:abstractNumId w:val="1"/>
  </w:num>
  <w:num w:numId="21">
    <w:abstractNumId w:val="11"/>
  </w:num>
  <w:num w:numId="22">
    <w:abstractNumId w:val="11"/>
  </w:num>
  <w:num w:numId="23">
    <w:abstractNumId w:val="11"/>
    <w:lvlOverride w:ilvl="0">
      <w:lvl w:ilvl="0">
        <w:start w:val="1"/>
        <w:numFmt w:val="decimal"/>
        <w:pStyle w:val="List1Numbered1"/>
        <w:lvlText w:val="%1."/>
        <w:lvlJc w:val="left"/>
        <w:pPr>
          <w:ind w:left="284" w:hanging="284"/>
        </w:pPr>
        <w:rPr>
          <w:rFonts w:cs="Times New Roman" w:hint="default"/>
          <w:b/>
          <w:bCs w:val="0"/>
          <w:i w:val="0"/>
          <w:color w:val="FFFFFF" w:themeColor="background1"/>
        </w:rPr>
      </w:lvl>
    </w:lvlOverride>
  </w:num>
  <w:num w:numId="24">
    <w:abstractNumId w:val="10"/>
  </w:num>
  <w:num w:numId="25">
    <w:abstractNumId w:val="5"/>
  </w:num>
  <w:num w:numId="26">
    <w:abstractNumId w:val="3"/>
  </w:num>
  <w:num w:numId="27">
    <w:abstractNumId w:val="7"/>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AF"/>
    <w:rsid w:val="000D4328"/>
    <w:rsid w:val="00171080"/>
    <w:rsid w:val="00241DAF"/>
    <w:rsid w:val="003315D6"/>
    <w:rsid w:val="00384AEA"/>
    <w:rsid w:val="003F29E1"/>
    <w:rsid w:val="003F5EAC"/>
    <w:rsid w:val="00466983"/>
    <w:rsid w:val="00634EEE"/>
    <w:rsid w:val="00763CBA"/>
    <w:rsid w:val="00802742"/>
    <w:rsid w:val="00864BC8"/>
    <w:rsid w:val="009243BD"/>
    <w:rsid w:val="00927308"/>
    <w:rsid w:val="00960F83"/>
    <w:rsid w:val="00A905F9"/>
    <w:rsid w:val="00AA769E"/>
    <w:rsid w:val="00B75B77"/>
    <w:rsid w:val="00B83B03"/>
    <w:rsid w:val="00BF3F11"/>
    <w:rsid w:val="00C75391"/>
    <w:rsid w:val="00C9304E"/>
    <w:rsid w:val="00D476B3"/>
    <w:rsid w:val="00D56211"/>
    <w:rsid w:val="00D76C14"/>
    <w:rsid w:val="00E74641"/>
    <w:rsid w:val="00EF1D2C"/>
    <w:rsid w:val="00FB2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0B150D"/>
  <w14:defaultImageDpi w14:val="0"/>
  <w15:docId w15:val="{19620D53-307E-45E5-AD4D-578DE179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color w:val="000000" w:themeColor="text1"/>
        <w:sz w:val="22"/>
        <w:szCs w:val="22"/>
        <w:lang w:val="en-AU" w:eastAsia="en-AU" w:bidi="ar-SA"/>
      </w:rPr>
    </w:rPrDefault>
    <w:pPrDefault>
      <w:pPr>
        <w:spacing w:before="24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9E1"/>
    <w:pPr>
      <w:suppressAutoHyphens/>
    </w:pPr>
  </w:style>
  <w:style w:type="paragraph" w:styleId="Heading1">
    <w:name w:val="heading 1"/>
    <w:basedOn w:val="Normal"/>
    <w:next w:val="Normal"/>
    <w:link w:val="Heading1Char"/>
    <w:uiPriority w:val="9"/>
    <w:qFormat/>
    <w:rsid w:val="003F5EAC"/>
    <w:pPr>
      <w:keepNext/>
      <w:keepLines/>
      <w:pageBreakBefore/>
      <w:spacing w:before="0" w:after="480"/>
      <w:outlineLvl w:val="0"/>
    </w:pPr>
    <w:rPr>
      <w:rFonts w:asciiTheme="majorHAnsi" w:eastAsiaTheme="majorEastAsia" w:hAnsiTheme="majorHAnsi"/>
      <w:b/>
      <w:color w:val="00492C" w:themeColor="text2"/>
      <w:sz w:val="68"/>
      <w:szCs w:val="32"/>
    </w:rPr>
  </w:style>
  <w:style w:type="paragraph" w:styleId="Heading2">
    <w:name w:val="heading 2"/>
    <w:basedOn w:val="Normal"/>
    <w:next w:val="Normal"/>
    <w:link w:val="Heading2Char"/>
    <w:uiPriority w:val="9"/>
    <w:qFormat/>
    <w:rsid w:val="003F5EAC"/>
    <w:pPr>
      <w:keepNext/>
      <w:keepLines/>
      <w:pBdr>
        <w:top w:val="single" w:sz="24" w:space="12" w:color="00492C" w:themeColor="text2"/>
      </w:pBdr>
      <w:spacing w:before="360" w:after="240"/>
      <w:outlineLvl w:val="1"/>
    </w:pPr>
    <w:rPr>
      <w:rFonts w:asciiTheme="majorHAnsi" w:eastAsiaTheme="majorEastAsia" w:hAnsiTheme="majorHAnsi"/>
      <w:b/>
      <w:color w:val="00492C" w:themeColor="text2"/>
      <w:sz w:val="36"/>
      <w:szCs w:val="26"/>
    </w:rPr>
  </w:style>
  <w:style w:type="paragraph" w:styleId="Heading3">
    <w:name w:val="heading 3"/>
    <w:basedOn w:val="Normal"/>
    <w:next w:val="Normal"/>
    <w:link w:val="Heading3Char"/>
    <w:uiPriority w:val="9"/>
    <w:qFormat/>
    <w:rsid w:val="003F29E1"/>
    <w:pPr>
      <w:keepNext/>
      <w:keepLines/>
      <w:outlineLvl w:val="2"/>
    </w:pPr>
    <w:rPr>
      <w:rFonts w:asciiTheme="majorHAnsi" w:eastAsiaTheme="majorEastAsia" w:hAnsiTheme="majorHAnsi"/>
      <w:b/>
      <w:sz w:val="24"/>
      <w:szCs w:val="24"/>
    </w:rPr>
  </w:style>
  <w:style w:type="paragraph" w:styleId="Heading4">
    <w:name w:val="heading 4"/>
    <w:basedOn w:val="Normal"/>
    <w:next w:val="Normal"/>
    <w:link w:val="Heading4Char"/>
    <w:uiPriority w:val="9"/>
    <w:unhideWhenUsed/>
    <w:qFormat/>
    <w:rsid w:val="003F29E1"/>
    <w:pPr>
      <w:keepNext/>
      <w:keepLines/>
      <w:outlineLvl w:val="3"/>
    </w:pPr>
    <w:rPr>
      <w:rFonts w:eastAsiaTheme="majorEastAsia"/>
      <w:b/>
      <w:iCs/>
      <w:sz w:val="24"/>
    </w:rPr>
  </w:style>
  <w:style w:type="paragraph" w:styleId="Heading5">
    <w:name w:val="heading 5"/>
    <w:basedOn w:val="Normal"/>
    <w:next w:val="Normal"/>
    <w:link w:val="Heading5Char"/>
    <w:uiPriority w:val="9"/>
    <w:unhideWhenUsed/>
    <w:qFormat/>
    <w:rsid w:val="003F29E1"/>
    <w:pPr>
      <w:keepNext/>
      <w:keepLines/>
      <w:outlineLvl w:val="4"/>
    </w:pPr>
    <w:rPr>
      <w:rFonts w:eastAsiaTheme="majorEastAsia"/>
      <w:b/>
      <w:i/>
    </w:rPr>
  </w:style>
  <w:style w:type="paragraph" w:styleId="Heading6">
    <w:name w:val="heading 6"/>
    <w:basedOn w:val="Normal"/>
    <w:next w:val="Normal"/>
    <w:link w:val="Heading6Char"/>
    <w:uiPriority w:val="9"/>
    <w:unhideWhenUsed/>
    <w:qFormat/>
    <w:rsid w:val="003F29E1"/>
    <w:pPr>
      <w:keepNext/>
      <w:keepLines/>
      <w:outlineLvl w:val="5"/>
    </w:pPr>
    <w:rPr>
      <w:rFonts w:eastAsiaTheme="majorEastAsia"/>
      <w:b/>
      <w:i/>
    </w:rPr>
  </w:style>
  <w:style w:type="paragraph" w:styleId="Heading7">
    <w:name w:val="heading 7"/>
    <w:basedOn w:val="Normal"/>
    <w:next w:val="Normal"/>
    <w:link w:val="Heading7Char"/>
    <w:uiPriority w:val="9"/>
    <w:unhideWhenUsed/>
    <w:qFormat/>
    <w:rsid w:val="003F29E1"/>
    <w:pPr>
      <w:keepNext/>
      <w:keepLines/>
      <w:outlineLvl w:val="6"/>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F5EAC"/>
    <w:rPr>
      <w:rFonts w:asciiTheme="majorHAnsi" w:eastAsiaTheme="majorEastAsia" w:hAnsiTheme="majorHAnsi" w:cs="Times New Roman"/>
      <w:b/>
      <w:color w:val="00492C" w:themeColor="text2"/>
      <w:sz w:val="32"/>
      <w:szCs w:val="32"/>
    </w:rPr>
  </w:style>
  <w:style w:type="character" w:customStyle="1" w:styleId="Heading2Char">
    <w:name w:val="Heading 2 Char"/>
    <w:basedOn w:val="DefaultParagraphFont"/>
    <w:link w:val="Heading2"/>
    <w:uiPriority w:val="9"/>
    <w:locked/>
    <w:rsid w:val="003F5EAC"/>
    <w:rPr>
      <w:rFonts w:asciiTheme="majorHAnsi" w:eastAsiaTheme="majorEastAsia" w:hAnsiTheme="majorHAnsi" w:cs="Times New Roman"/>
      <w:b/>
      <w:color w:val="00492C" w:themeColor="text2"/>
      <w:sz w:val="26"/>
      <w:szCs w:val="26"/>
    </w:rPr>
  </w:style>
  <w:style w:type="character" w:customStyle="1" w:styleId="Heading3Char">
    <w:name w:val="Heading 3 Char"/>
    <w:basedOn w:val="DefaultParagraphFont"/>
    <w:link w:val="Heading3"/>
    <w:uiPriority w:val="9"/>
    <w:locked/>
    <w:rsid w:val="003F29E1"/>
    <w:rPr>
      <w:rFonts w:asciiTheme="majorHAnsi" w:eastAsiaTheme="majorEastAsia" w:hAnsiTheme="majorHAnsi" w:cs="Times New Roman"/>
      <w:b/>
      <w:color w:val="000000" w:themeColor="text1"/>
      <w:sz w:val="24"/>
      <w:szCs w:val="24"/>
      <w:lang w:val="x-none" w:eastAsia="en-US"/>
    </w:rPr>
  </w:style>
  <w:style w:type="character" w:customStyle="1" w:styleId="Heading4Char">
    <w:name w:val="Heading 4 Char"/>
    <w:basedOn w:val="DefaultParagraphFont"/>
    <w:link w:val="Heading4"/>
    <w:uiPriority w:val="9"/>
    <w:locked/>
    <w:rsid w:val="003F29E1"/>
    <w:rPr>
      <w:rFonts w:eastAsiaTheme="majorEastAsia" w:cs="Times New Roman"/>
      <w:b/>
      <w:iCs/>
      <w:sz w:val="20"/>
      <w:szCs w:val="20"/>
      <w:lang w:val="x-none" w:eastAsia="en-US"/>
    </w:rPr>
  </w:style>
  <w:style w:type="character" w:customStyle="1" w:styleId="Heading5Char">
    <w:name w:val="Heading 5 Char"/>
    <w:basedOn w:val="DefaultParagraphFont"/>
    <w:link w:val="Heading5"/>
    <w:uiPriority w:val="9"/>
    <w:locked/>
    <w:rsid w:val="003F29E1"/>
    <w:rPr>
      <w:rFonts w:eastAsiaTheme="majorEastAsia" w:cs="Times New Roman"/>
      <w:b/>
      <w:i/>
      <w:sz w:val="20"/>
      <w:szCs w:val="20"/>
      <w:lang w:val="x-none" w:eastAsia="en-US"/>
    </w:rPr>
  </w:style>
  <w:style w:type="character" w:customStyle="1" w:styleId="Heading6Char">
    <w:name w:val="Heading 6 Char"/>
    <w:basedOn w:val="DefaultParagraphFont"/>
    <w:link w:val="Heading6"/>
    <w:uiPriority w:val="9"/>
    <w:locked/>
    <w:rsid w:val="003F29E1"/>
    <w:rPr>
      <w:rFonts w:eastAsiaTheme="majorEastAsia" w:cs="Times New Roman"/>
      <w:b/>
      <w:i/>
      <w:color w:val="000000" w:themeColor="text1"/>
      <w:sz w:val="20"/>
      <w:szCs w:val="20"/>
      <w:lang w:val="x-none" w:eastAsia="en-US"/>
    </w:rPr>
  </w:style>
  <w:style w:type="character" w:customStyle="1" w:styleId="Heading7Char">
    <w:name w:val="Heading 7 Char"/>
    <w:basedOn w:val="DefaultParagraphFont"/>
    <w:link w:val="Heading7"/>
    <w:uiPriority w:val="9"/>
    <w:locked/>
    <w:rsid w:val="003F29E1"/>
    <w:rPr>
      <w:rFonts w:eastAsiaTheme="majorEastAsia" w:cs="Times New Roman"/>
      <w:i/>
      <w:iCs/>
      <w:color w:val="000000" w:themeColor="text1"/>
      <w:sz w:val="20"/>
      <w:szCs w:val="20"/>
      <w:lang w:val="x-none" w:eastAsia="en-US"/>
    </w:rPr>
  </w:style>
  <w:style w:type="paragraph" w:styleId="Subtitle">
    <w:name w:val="Subtitle"/>
    <w:basedOn w:val="Normal"/>
    <w:next w:val="Normal"/>
    <w:link w:val="SubtitleChar"/>
    <w:uiPriority w:val="23"/>
    <w:qFormat/>
    <w:rsid w:val="00466983"/>
    <w:pPr>
      <w:keepLines/>
      <w:numPr>
        <w:ilvl w:val="1"/>
      </w:numPr>
      <w:spacing w:after="480" w:line="360" w:lineRule="exact"/>
      <w:contextualSpacing/>
      <w:outlineLvl w:val="1"/>
    </w:pPr>
    <w:rPr>
      <w:b/>
      <w:color w:val="005689" w:themeColor="accent2"/>
      <w:sz w:val="36"/>
    </w:rPr>
  </w:style>
  <w:style w:type="character" w:customStyle="1" w:styleId="SubtitleChar">
    <w:name w:val="Subtitle Char"/>
    <w:basedOn w:val="DefaultParagraphFont"/>
    <w:link w:val="Subtitle"/>
    <w:uiPriority w:val="23"/>
    <w:locked/>
    <w:rsid w:val="00466983"/>
    <w:rPr>
      <w:rFonts w:cs="Times New Roman"/>
      <w:b/>
      <w:color w:val="005689" w:themeColor="accent2"/>
      <w:sz w:val="36"/>
    </w:rPr>
  </w:style>
  <w:style w:type="character" w:styleId="Hyperlink">
    <w:name w:val="Hyperlink"/>
    <w:basedOn w:val="DefaultParagraphFont"/>
    <w:uiPriority w:val="99"/>
    <w:unhideWhenUsed/>
    <w:rsid w:val="003F29E1"/>
    <w:rPr>
      <w:rFonts w:cs="Times New Roman"/>
      <w:color w:val="005AFF"/>
      <w:u w:val="single"/>
    </w:rPr>
  </w:style>
  <w:style w:type="paragraph" w:customStyle="1" w:styleId="Bullet1">
    <w:name w:val="Bullet 1"/>
    <w:basedOn w:val="Normal"/>
    <w:uiPriority w:val="2"/>
    <w:qFormat/>
    <w:rsid w:val="00AA769E"/>
    <w:pPr>
      <w:numPr>
        <w:numId w:val="9"/>
      </w:numPr>
      <w:spacing w:before="120"/>
      <w:contextualSpacing/>
    </w:pPr>
  </w:style>
  <w:style w:type="paragraph" w:styleId="Caption">
    <w:name w:val="caption"/>
    <w:basedOn w:val="Normal"/>
    <w:next w:val="Normal"/>
    <w:uiPriority w:val="19"/>
    <w:qFormat/>
    <w:rsid w:val="003F29E1"/>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3F29E1"/>
    <w:pPr>
      <w:spacing w:before="120" w:after="0" w:line="240" w:lineRule="auto"/>
    </w:pPr>
    <w:rPr>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rPr>
        <w:rFonts w:cs="Times New Roman"/>
      </w:rPr>
      <w:tblPr/>
      <w:tcPr>
        <w:shd w:val="clear" w:color="auto" w:fill="BD9ED6" w:themeFill="accent1" w:themeFillTint="66"/>
      </w:tcPr>
    </w:tblStylePr>
    <w:tblStylePr w:type="band1Horz">
      <w:rPr>
        <w:rFonts w:cs="Times New Roman"/>
      </w:rPr>
      <w:tblPr/>
      <w:tcPr>
        <w:shd w:val="clear" w:color="auto" w:fill="BD9ED6" w:themeFill="accent1" w:themeFillTint="66"/>
      </w:tcPr>
    </w:tblStylePr>
  </w:style>
  <w:style w:type="table" w:customStyle="1" w:styleId="DSSADSTable1">
    <w:name w:val="DSS ADS Table 1"/>
    <w:basedOn w:val="TableNormal"/>
    <w:uiPriority w:val="99"/>
    <w:rsid w:val="00EF1D2C"/>
    <w:pPr>
      <w:spacing w:before="60" w:after="60"/>
    </w:pPr>
    <w:tblPr>
      <w:tblBorders>
        <w:top w:val="single" w:sz="4" w:space="0" w:color="00492C" w:themeColor="text2"/>
        <w:left w:val="single" w:sz="4" w:space="0" w:color="00492C" w:themeColor="text2"/>
        <w:bottom w:val="single" w:sz="4" w:space="0" w:color="00492C" w:themeColor="text2"/>
        <w:right w:val="single" w:sz="4" w:space="0" w:color="00492C" w:themeColor="text2"/>
        <w:insideH w:val="single" w:sz="4" w:space="0" w:color="00492C" w:themeColor="text2"/>
        <w:insideV w:val="single" w:sz="4" w:space="0" w:color="00492C" w:themeColor="text2"/>
      </w:tblBorders>
      <w:tblCellMar>
        <w:top w:w="57" w:type="dxa"/>
        <w:bottom w:w="57" w:type="dxa"/>
      </w:tblCellMar>
    </w:tblPr>
    <w:tblStylePr w:type="firstRow">
      <w:rPr>
        <w:rFonts w:cs="Times New Roman"/>
        <w:b/>
        <w:color w:val="FFFFFF" w:themeColor="background1"/>
      </w:rPr>
      <w:tblPr/>
      <w:tcPr>
        <w:tcBorders>
          <w:insideV w:val="single" w:sz="4" w:space="0" w:color="FFFFFF" w:themeColor="background1"/>
        </w:tcBorders>
        <w:shd w:val="clear" w:color="auto" w:fill="00492C" w:themeFill="text2"/>
      </w:tcPr>
    </w:tblStylePr>
    <w:tblStylePr w:type="firstCol">
      <w:rPr>
        <w:rFonts w:cs="Times New Roman"/>
        <w:b/>
        <w:color w:val="FFFFFF" w:themeColor="background1"/>
      </w:rPr>
      <w:tblPr/>
      <w:tcPr>
        <w:tcBorders>
          <w:insideH w:val="single" w:sz="4" w:space="0" w:color="FFFFFF" w:themeColor="background1"/>
        </w:tcBorders>
        <w:shd w:val="clear" w:color="auto" w:fill="007345" w:themeFill="text2" w:themeFillTint="E6"/>
      </w:tcPr>
    </w:tblStylePr>
  </w:style>
  <w:style w:type="table" w:customStyle="1" w:styleId="LSTable">
    <w:name w:val="LS Table"/>
    <w:basedOn w:val="TableNormal"/>
    <w:uiPriority w:val="99"/>
    <w:rsid w:val="003315D6"/>
    <w:pPr>
      <w:spacing w:before="60" w:after="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blStylePr w:type="firstRow">
      <w:rPr>
        <w:rFonts w:cs="Times New Roman"/>
        <w:b/>
        <w:color w:val="000000" w:themeColor="text1"/>
      </w:rPr>
      <w:tblPr/>
      <w:tcPr>
        <w:tcBorders>
          <w:top w:val="nil"/>
          <w:left w:val="nil"/>
          <w:bottom w:val="single" w:sz="4" w:space="0" w:color="000000" w:themeColor="text1"/>
          <w:right w:val="nil"/>
          <w:insideH w:val="nil"/>
          <w:insideV w:val="nil"/>
          <w:tl2br w:val="nil"/>
          <w:tr2bl w:val="nil"/>
        </w:tcBorders>
      </w:tcPr>
    </w:tblStylePr>
    <w:tblStylePr w:type="firstCol">
      <w:rPr>
        <w:rFonts w:cs="Times New Roman"/>
        <w:b/>
        <w:color w:val="FFFFFF" w:themeColor="background1"/>
      </w:rPr>
      <w:tblPr/>
      <w:tcPr>
        <w:tcBorders>
          <w:insideH w:val="single" w:sz="4" w:space="0" w:color="FFFFFF" w:themeColor="background1"/>
        </w:tcBorders>
      </w:tcPr>
    </w:tblStylePr>
  </w:style>
  <w:style w:type="character" w:styleId="Emphasis">
    <w:name w:val="Emphasis"/>
    <w:basedOn w:val="DefaultParagraphFont"/>
    <w:uiPriority w:val="33"/>
    <w:qFormat/>
    <w:rsid w:val="003F29E1"/>
    <w:rPr>
      <w:rFonts w:cs="Times New Roman"/>
      <w:i/>
      <w:iCs/>
    </w:rPr>
  </w:style>
  <w:style w:type="paragraph" w:customStyle="1" w:styleId="FigureTitle">
    <w:name w:val="Figure Title"/>
    <w:basedOn w:val="Normal"/>
    <w:uiPriority w:val="12"/>
    <w:qFormat/>
    <w:rsid w:val="003F29E1"/>
    <w:pPr>
      <w:keepNext/>
      <w:numPr>
        <w:numId w:val="11"/>
      </w:numPr>
    </w:pPr>
    <w:rPr>
      <w:rFonts w:asciiTheme="majorHAnsi" w:hAnsiTheme="majorHAnsi"/>
    </w:rPr>
  </w:style>
  <w:style w:type="character" w:styleId="FollowedHyperlink">
    <w:name w:val="FollowedHyperlink"/>
    <w:basedOn w:val="DefaultParagraphFont"/>
    <w:uiPriority w:val="99"/>
    <w:rsid w:val="003F29E1"/>
    <w:rPr>
      <w:rFonts w:cs="Times New Roman"/>
      <w:color w:val="005AFF"/>
      <w:u w:val="single"/>
    </w:rPr>
  </w:style>
  <w:style w:type="paragraph" w:styleId="Footer">
    <w:name w:val="footer"/>
    <w:basedOn w:val="Normal"/>
    <w:link w:val="FooterChar"/>
    <w:uiPriority w:val="99"/>
    <w:rsid w:val="003F29E1"/>
    <w:pPr>
      <w:tabs>
        <w:tab w:val="left" w:pos="284"/>
      </w:tabs>
      <w:spacing w:before="0" w:after="0"/>
    </w:pPr>
    <w:rPr>
      <w:rFonts w:asciiTheme="majorHAnsi" w:hAnsiTheme="majorHAnsi"/>
      <w:sz w:val="16"/>
    </w:rPr>
  </w:style>
  <w:style w:type="character" w:customStyle="1" w:styleId="FooterChar">
    <w:name w:val="Footer Char"/>
    <w:basedOn w:val="DefaultParagraphFont"/>
    <w:link w:val="Footer"/>
    <w:uiPriority w:val="99"/>
    <w:locked/>
    <w:rsid w:val="003F29E1"/>
    <w:rPr>
      <w:rFonts w:asciiTheme="majorHAnsi" w:hAnsiTheme="majorHAnsi" w:cs="Times New Roman"/>
      <w:color w:val="000000" w:themeColor="text1"/>
      <w:sz w:val="20"/>
      <w:szCs w:val="20"/>
      <w:lang w:val="x-none" w:eastAsia="en-US"/>
    </w:rPr>
  </w:style>
  <w:style w:type="character" w:styleId="FootnoteReference">
    <w:name w:val="footnote reference"/>
    <w:basedOn w:val="DefaultParagraphFont"/>
    <w:uiPriority w:val="99"/>
    <w:rsid w:val="003F29E1"/>
    <w:rPr>
      <w:rFonts w:cs="Times New Roman"/>
      <w:vertAlign w:val="superscript"/>
    </w:rPr>
  </w:style>
  <w:style w:type="paragraph" w:styleId="FootnoteText">
    <w:name w:val="footnote text"/>
    <w:basedOn w:val="Normal"/>
    <w:link w:val="FootnoteTextChar"/>
    <w:uiPriority w:val="99"/>
    <w:rsid w:val="003F29E1"/>
    <w:pPr>
      <w:spacing w:before="60"/>
    </w:pPr>
    <w:rPr>
      <w:sz w:val="18"/>
    </w:rPr>
  </w:style>
  <w:style w:type="character" w:customStyle="1" w:styleId="FootnoteTextChar">
    <w:name w:val="Footnote Text Char"/>
    <w:basedOn w:val="DefaultParagraphFont"/>
    <w:link w:val="FootnoteText"/>
    <w:uiPriority w:val="99"/>
    <w:locked/>
    <w:rsid w:val="003F29E1"/>
    <w:rPr>
      <w:rFonts w:eastAsia="Times New Roman" w:cs="Times New Roman"/>
      <w:color w:val="000000" w:themeColor="text1"/>
      <w:sz w:val="20"/>
      <w:szCs w:val="20"/>
      <w:lang w:val="x-none" w:eastAsia="en-US"/>
    </w:rPr>
  </w:style>
  <w:style w:type="paragraph" w:styleId="Header">
    <w:name w:val="header"/>
    <w:basedOn w:val="Normal"/>
    <w:link w:val="HeaderChar"/>
    <w:uiPriority w:val="99"/>
    <w:rsid w:val="003F29E1"/>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locked/>
    <w:rsid w:val="003F29E1"/>
    <w:rPr>
      <w:rFonts w:asciiTheme="majorHAnsi" w:hAnsiTheme="majorHAnsi" w:cs="Times New Roman"/>
      <w:b/>
      <w:color w:val="000000" w:themeColor="text1"/>
      <w:sz w:val="20"/>
      <w:szCs w:val="20"/>
      <w:lang w:val="x-none" w:eastAsia="en-US"/>
    </w:rPr>
  </w:style>
  <w:style w:type="character" w:styleId="IntenseEmphasis">
    <w:name w:val="Intense Emphasis"/>
    <w:basedOn w:val="DefaultParagraphFont"/>
    <w:uiPriority w:val="33"/>
    <w:qFormat/>
    <w:rsid w:val="003F29E1"/>
    <w:rPr>
      <w:rFonts w:cs="Times New Roman"/>
      <w:b/>
      <w:i/>
      <w:iCs/>
      <w:color w:val="000000" w:themeColor="text1"/>
    </w:rPr>
  </w:style>
  <w:style w:type="paragraph" w:customStyle="1" w:styleId="IntroPara">
    <w:name w:val="Intro Para"/>
    <w:basedOn w:val="Normal"/>
    <w:uiPriority w:val="1"/>
    <w:qFormat/>
    <w:rsid w:val="003F29E1"/>
    <w:pPr>
      <w:spacing w:after="240" w:line="400" w:lineRule="atLeast"/>
      <w:contextualSpacing/>
    </w:pPr>
    <w:rPr>
      <w:rFonts w:asciiTheme="majorHAnsi" w:hAnsiTheme="majorHAnsi"/>
      <w:color w:val="005689" w:themeColor="accent2"/>
      <w:sz w:val="28"/>
    </w:rPr>
  </w:style>
  <w:style w:type="paragraph" w:customStyle="1" w:styleId="List1Numbered1">
    <w:name w:val="List 1 Numbered 1"/>
    <w:basedOn w:val="Normal"/>
    <w:uiPriority w:val="2"/>
    <w:qFormat/>
    <w:rsid w:val="003F29E1"/>
    <w:pPr>
      <w:numPr>
        <w:numId w:val="23"/>
      </w:numPr>
    </w:pPr>
  </w:style>
  <w:style w:type="paragraph" w:styleId="NoSpacing">
    <w:name w:val="No Spacing"/>
    <w:uiPriority w:val="1"/>
    <w:qFormat/>
    <w:rsid w:val="003F29E1"/>
    <w:pPr>
      <w:spacing w:before="120" w:after="60" w:line="240" w:lineRule="auto"/>
      <w:contextualSpacing/>
    </w:pPr>
    <w:rPr>
      <w:sz w:val="20"/>
      <w:szCs w:val="20"/>
      <w:lang w:eastAsia="en-US"/>
    </w:rPr>
  </w:style>
  <w:style w:type="paragraph" w:customStyle="1" w:styleId="NormalIndent5mm">
    <w:name w:val="Normal Indent 5mm"/>
    <w:basedOn w:val="Normal"/>
    <w:qFormat/>
    <w:rsid w:val="003F29E1"/>
    <w:pPr>
      <w:ind w:left="284"/>
    </w:pPr>
  </w:style>
  <w:style w:type="character" w:styleId="PlaceholderText">
    <w:name w:val="Placeholder Text"/>
    <w:basedOn w:val="DefaultParagraphFont"/>
    <w:uiPriority w:val="99"/>
    <w:semiHidden/>
    <w:rsid w:val="003F29E1"/>
    <w:rPr>
      <w:rFonts w:cs="Times New Roman"/>
      <w:color w:val="808080"/>
    </w:rPr>
  </w:style>
  <w:style w:type="character" w:styleId="Strong">
    <w:name w:val="Strong"/>
    <w:basedOn w:val="DefaultParagraphFont"/>
    <w:uiPriority w:val="33"/>
    <w:qFormat/>
    <w:rsid w:val="003F29E1"/>
    <w:rPr>
      <w:rFonts w:cs="Times New Roman"/>
      <w:b/>
      <w:bCs/>
    </w:rPr>
  </w:style>
  <w:style w:type="table" w:styleId="TableGrid">
    <w:name w:val="Table Grid"/>
    <w:basedOn w:val="TableNormal"/>
    <w:uiPriority w:val="39"/>
    <w:rsid w:val="003F29E1"/>
    <w:pPr>
      <w:spacing w:before="120"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FigureTitle"/>
    <w:uiPriority w:val="12"/>
    <w:qFormat/>
    <w:rsid w:val="00FB234C"/>
    <w:pPr>
      <w:numPr>
        <w:numId w:val="29"/>
      </w:numPr>
      <w:spacing w:before="480"/>
    </w:pPr>
    <w:rPr>
      <w:b/>
      <w:color w:val="00492C" w:themeColor="text2"/>
    </w:rPr>
  </w:style>
  <w:style w:type="paragraph" w:styleId="Title">
    <w:name w:val="Title"/>
    <w:basedOn w:val="Normal"/>
    <w:next w:val="Normal"/>
    <w:link w:val="TitleChar"/>
    <w:uiPriority w:val="22"/>
    <w:qFormat/>
    <w:rsid w:val="003F29E1"/>
    <w:pPr>
      <w:keepLines/>
      <w:contextualSpacing/>
      <w:outlineLvl w:val="0"/>
    </w:pPr>
    <w:rPr>
      <w:rFonts w:asciiTheme="majorHAnsi" w:eastAsiaTheme="majorEastAsia" w:hAnsiTheme="majorHAnsi"/>
      <w:b/>
      <w:color w:val="005689" w:themeColor="accent2"/>
      <w:kern w:val="28"/>
      <w:sz w:val="60"/>
      <w:szCs w:val="56"/>
    </w:rPr>
  </w:style>
  <w:style w:type="character" w:customStyle="1" w:styleId="TitleChar">
    <w:name w:val="Title Char"/>
    <w:basedOn w:val="DefaultParagraphFont"/>
    <w:link w:val="Title"/>
    <w:uiPriority w:val="22"/>
    <w:locked/>
    <w:rsid w:val="003F29E1"/>
    <w:rPr>
      <w:rFonts w:asciiTheme="majorHAnsi" w:eastAsiaTheme="majorEastAsia" w:hAnsiTheme="majorHAnsi" w:cs="Times New Roman"/>
      <w:b/>
      <w:color w:val="005689" w:themeColor="accent2"/>
      <w:kern w:val="28"/>
      <w:sz w:val="56"/>
      <w:szCs w:val="56"/>
      <w:lang w:val="x-none" w:eastAsia="en-US"/>
    </w:rPr>
  </w:style>
  <w:style w:type="paragraph" w:styleId="TOC1">
    <w:name w:val="toc 1"/>
    <w:basedOn w:val="Normal"/>
    <w:next w:val="Normal"/>
    <w:autoRedefine/>
    <w:uiPriority w:val="39"/>
    <w:rsid w:val="00466983"/>
    <w:pPr>
      <w:keepNext/>
      <w:tabs>
        <w:tab w:val="right" w:pos="9628"/>
      </w:tabs>
      <w:spacing w:after="0" w:line="340" w:lineRule="atLeast"/>
    </w:pPr>
    <w:rPr>
      <w:rFonts w:asciiTheme="majorHAnsi" w:hAnsiTheme="majorHAnsi"/>
      <w:b/>
      <w:sz w:val="24"/>
    </w:rPr>
  </w:style>
  <w:style w:type="paragraph" w:styleId="TOC2">
    <w:name w:val="toc 2"/>
    <w:basedOn w:val="Normal"/>
    <w:next w:val="Normal"/>
    <w:autoRedefine/>
    <w:uiPriority w:val="39"/>
    <w:rsid w:val="00466983"/>
    <w:pPr>
      <w:tabs>
        <w:tab w:val="right" w:pos="9628"/>
      </w:tabs>
      <w:spacing w:before="0" w:after="0"/>
    </w:pPr>
    <w:rPr>
      <w:rFonts w:asciiTheme="majorHAnsi" w:hAnsiTheme="majorHAnsi"/>
    </w:rPr>
  </w:style>
  <w:style w:type="paragraph" w:styleId="TOC3">
    <w:name w:val="toc 3"/>
    <w:basedOn w:val="Normal"/>
    <w:next w:val="Normal"/>
    <w:autoRedefine/>
    <w:uiPriority w:val="39"/>
    <w:rsid w:val="00466983"/>
    <w:pPr>
      <w:tabs>
        <w:tab w:val="right" w:pos="9628"/>
      </w:tabs>
      <w:spacing w:before="0" w:after="0"/>
      <w:ind w:left="567" w:hanging="567"/>
      <w:contextualSpacing/>
    </w:pPr>
  </w:style>
  <w:style w:type="paragraph" w:styleId="TOC4">
    <w:name w:val="toc 4"/>
    <w:basedOn w:val="Normal"/>
    <w:next w:val="Normal"/>
    <w:autoRedefine/>
    <w:uiPriority w:val="39"/>
    <w:rsid w:val="003F29E1"/>
    <w:pPr>
      <w:tabs>
        <w:tab w:val="right" w:pos="9628"/>
      </w:tabs>
      <w:spacing w:before="60"/>
      <w:ind w:left="1135" w:hanging="851"/>
    </w:pPr>
  </w:style>
  <w:style w:type="paragraph" w:styleId="TOCHeading">
    <w:name w:val="TOC Heading"/>
    <w:basedOn w:val="Heading2"/>
    <w:next w:val="Normal"/>
    <w:uiPriority w:val="39"/>
    <w:qFormat/>
    <w:rsid w:val="00466983"/>
    <w:pPr>
      <w:spacing w:after="120"/>
      <w:outlineLvl w:val="9"/>
    </w:pPr>
  </w:style>
  <w:style w:type="character" w:customStyle="1" w:styleId="UnresolvedMention">
    <w:name w:val="Unresolved Mention"/>
    <w:basedOn w:val="DefaultParagraphFont"/>
    <w:uiPriority w:val="99"/>
    <w:semiHidden/>
    <w:unhideWhenUsed/>
    <w:rsid w:val="003F29E1"/>
    <w:rPr>
      <w:rFonts w:cs="Times New Roman"/>
      <w:color w:val="605E5C"/>
      <w:shd w:val="clear" w:color="auto" w:fill="E1DFDD"/>
    </w:rPr>
  </w:style>
  <w:style w:type="numbering" w:customStyle="1" w:styleId="KCBullets">
    <w:name w:val="KC Bullets"/>
    <w:pPr>
      <w:numPr>
        <w:numId w:val="19"/>
      </w:numPr>
    </w:pPr>
  </w:style>
  <w:style w:type="numbering" w:customStyle="1" w:styleId="List1Numbered">
    <w:name w:val="List 1 Numbered"/>
    <w:pPr>
      <w:numPr>
        <w:numId w:val="20"/>
      </w:numPr>
    </w:pPr>
  </w:style>
  <w:style w:type="numbering" w:customStyle="1" w:styleId="FigureNumbers">
    <w:name w:val="Figure Numbers"/>
    <w:pPr>
      <w:numPr>
        <w:numId w:val="10"/>
      </w:numPr>
    </w:pPr>
  </w:style>
  <w:style w:type="numbering" w:customStyle="1" w:styleId="TableNumbers">
    <w:name w:val="Table Numbers"/>
    <w:pPr>
      <w:numPr>
        <w:numId w:val="26"/>
      </w:numPr>
    </w:pPr>
  </w:style>
  <w:style w:type="numbering" w:customStyle="1" w:styleId="BoxedBullets">
    <w:name w:val="Boxed Bullets"/>
    <w:pPr>
      <w:numPr>
        <w:numId w:val="3"/>
      </w:numPr>
    </w:pPr>
  </w:style>
  <w:style w:type="numbering" w:customStyle="1" w:styleId="AppendixNumbers">
    <w:name w:val="Appendix Numbers"/>
    <w:pPr>
      <w:numPr>
        <w:numId w:val="1"/>
      </w:numPr>
    </w:pPr>
  </w:style>
  <w:style w:type="numbering" w:customStyle="1" w:styleId="NumberedHeadings">
    <w:name w:val="Numbered Headings"/>
    <w:pPr>
      <w:numPr>
        <w:numId w:val="12"/>
      </w:numPr>
    </w:pPr>
  </w:style>
  <w:style w:type="numbering" w:customStyle="1" w:styleId="DefaultBullets">
    <w:name w:val="Default Bullet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 TargetMode="External"/><Relationship Id="rId13" Type="http://schemas.openxmlformats.org/officeDocument/2006/relationships/hyperlink" Target="https://www.aihw.gov.au/australias-disability-strategy" TargetMode="External"/><Relationship Id="rId18" Type="http://schemas.openxmlformats.org/officeDocument/2006/relationships/hyperlink" Target="https://www.abs.gov.au/statistics/health/disability/disability-ageing-and-carers-australia-summary-findings/latest-release" TargetMode="External"/><Relationship Id="rId26" Type="http://schemas.openxmlformats.org/officeDocument/2006/relationships/hyperlink" Target="https://ndda.dss.gov.au/" TargetMode="External"/><Relationship Id="rId3" Type="http://schemas.openxmlformats.org/officeDocument/2006/relationships/settings" Target="settings.xml"/><Relationship Id="rId21" Type="http://schemas.openxmlformats.org/officeDocument/2006/relationships/hyperlink" Target="https://www.abs.gov.au/about/data-services/data-integration/integrated-data/business-longitudinal-analysis-data-environment-blade"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isabilitygateway.gov.au/document/3121" TargetMode="External"/><Relationship Id="rId17" Type="http://schemas.openxmlformats.org/officeDocument/2006/relationships/hyperlink" Target="https://www.aihw.gov.au/australias-disability-strategy" TargetMode="External"/><Relationship Id="rId25" Type="http://schemas.openxmlformats.org/officeDocument/2006/relationships/hyperlink" Target="https://www.abs.gov.a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bs.gov.au/websitedbs/D3310114.nsf/home/Quality:+The+ABS+Data+Quality+Framework" TargetMode="External"/><Relationship Id="rId20" Type="http://schemas.openxmlformats.org/officeDocument/2006/relationships/hyperlink" Target="https://www.abs.gov.au/about/data-services/data-integration/integrated-data/multi-agency-data-integration-project-madip" TargetMode="External"/><Relationship Id="rId29" Type="http://schemas.openxmlformats.org/officeDocument/2006/relationships/hyperlink" Target="https://www.aihw.gov.au/australias-disability-strate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sabilitygateway.gov.au/ads" TargetMode="External"/><Relationship Id="rId24" Type="http://schemas.openxmlformats.org/officeDocument/2006/relationships/hyperlink" Target="https://www.aihw.gov.au/" TargetMode="External"/><Relationship Id="rId32" Type="http://schemas.openxmlformats.org/officeDocument/2006/relationships/hyperlink" Target="https://www.aihw.gov.au/australias-disability-strategy" TargetMode="External"/><Relationship Id="rId5" Type="http://schemas.openxmlformats.org/officeDocument/2006/relationships/footnotes" Target="footnotes.xml"/><Relationship Id="rId15" Type="http://schemas.openxmlformats.org/officeDocument/2006/relationships/hyperlink" Target="https://www.dss.gov.au/our-responsibilities/disability-and-carers/program-services/consultation-and-advocacy/national-disability-peak-bodies" TargetMode="External"/><Relationship Id="rId23" Type="http://schemas.openxmlformats.org/officeDocument/2006/relationships/hyperlink" Target="https://www.aedc.gov.au/" TargetMode="External"/><Relationship Id="rId28" Type="http://schemas.openxmlformats.org/officeDocument/2006/relationships/hyperlink" Target="https://www.aihw.gov.au/australias-disability-strategy" TargetMode="External"/><Relationship Id="rId10" Type="http://schemas.openxmlformats.org/officeDocument/2006/relationships/hyperlink" Target="mailto:copyright@dss.gov.au" TargetMode="External"/><Relationship Id="rId19" Type="http://schemas.openxmlformats.org/officeDocument/2006/relationships/hyperlink" Target="https://www.aihw.gov.au/australias-disability-strategy" TargetMode="External"/><Relationship Id="rId31" Type="http://schemas.openxmlformats.org/officeDocument/2006/relationships/hyperlink" Target="https://www.aihw.gov.au/australias-disability-strategy" TargetMode="External"/><Relationship Id="rId4" Type="http://schemas.openxmlformats.org/officeDocument/2006/relationships/webSettings" Target="webSettings.xml"/><Relationship Id="rId9" Type="http://schemas.openxmlformats.org/officeDocument/2006/relationships/hyperlink" Target="https://www.dss.gov.au/" TargetMode="External"/><Relationship Id="rId14" Type="http://schemas.openxmlformats.org/officeDocument/2006/relationships/hyperlink" Target="https://www.dss.gov.au/our-responsibilities/disability-and-carers/program-services/consultation-and-advocacy/national-disability-peak-bodies" TargetMode="External"/><Relationship Id="rId22" Type="http://schemas.openxmlformats.org/officeDocument/2006/relationships/hyperlink" Target="https://www.acara.edu.au/" TargetMode="External"/><Relationship Id="rId27" Type="http://schemas.openxmlformats.org/officeDocument/2006/relationships/hyperlink" Target="https://www.aihw.gov.au/australias-disability-strateg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6461</Words>
  <Characters>36248</Characters>
  <Application>Microsoft Office Word</Application>
  <DocSecurity>0</DocSecurity>
  <Lines>1035</Lines>
  <Paragraphs>569</Paragraphs>
  <ScaleCrop>false</ScaleCrop>
  <HeadingPairs>
    <vt:vector size="2" baseType="variant">
      <vt:variant>
        <vt:lpstr>Title</vt:lpstr>
      </vt:variant>
      <vt:variant>
        <vt:i4>1</vt:i4>
      </vt:variant>
    </vt:vector>
  </HeadingPairs>
  <TitlesOfParts>
    <vt:vector size="1" baseType="lpstr">
      <vt:lpstr>Australia’s Disability Strategy 2021 – 2031</vt:lpstr>
    </vt:vector>
  </TitlesOfParts>
  <Company/>
  <LinksUpToDate>false</LinksUpToDate>
  <CharactersWithSpaces>42140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Disability Strategy 2021 – 2031</dc:title>
  <dc:subject/>
  <dc:creator>Department of Social Services</dc:creator>
  <cp:keywords>[SEC=UNOFFICIAL]</cp:keywords>
  <dc:description/>
  <cp:lastModifiedBy>HURST, Ann</cp:lastModifiedBy>
  <cp:revision>2</cp:revision>
  <dcterms:created xsi:type="dcterms:W3CDTF">2023-01-23T05:31:00Z</dcterms:created>
  <dcterms:modified xsi:type="dcterms:W3CDTF">2023-01-23T05:31:00Z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24A407DF29D84A56AFA1E935A198DDFE</vt:lpwstr>
  </property>
  <property fmtid="{D5CDD505-2E9C-101B-9397-08002B2CF9AE}" pid="9" name="PM_ProtectiveMarkingValue_Footer">
    <vt:lpwstr>UNOFFICIAL</vt:lpwstr>
  </property>
  <property fmtid="{D5CDD505-2E9C-101B-9397-08002B2CF9AE}" pid="10" name="PM_Originator_Hash_SHA1">
    <vt:lpwstr>3D6A70663B995E112FA10EB758BC7826B794B2F6</vt:lpwstr>
  </property>
  <property fmtid="{D5CDD505-2E9C-101B-9397-08002B2CF9AE}" pid="11" name="PM_OriginationTimeStamp">
    <vt:lpwstr>2023-01-23T05:31:05Z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C86A495C600B9AEE28B87077B0748228</vt:lpwstr>
  </property>
  <property fmtid="{D5CDD505-2E9C-101B-9397-08002B2CF9AE}" pid="21" name="PM_Hash_Salt">
    <vt:lpwstr>6A15AC97338570C0CC5DC487FD497B3B</vt:lpwstr>
  </property>
  <property fmtid="{D5CDD505-2E9C-101B-9397-08002B2CF9AE}" pid="22" name="PM_Hash_SHA1">
    <vt:lpwstr>E8C681F090222F68E85B9FB742248D4AB5CA8A99</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UNOFFICIAL</vt:lpwstr>
  </property>
  <property fmtid="{D5CDD505-2E9C-101B-9397-08002B2CF9AE}" pid="27" name="PM_Qualifier_Prev">
    <vt:lpwstr/>
  </property>
</Properties>
</file>