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76F6" w14:textId="0DCB662C" w:rsidR="00881AEF" w:rsidRDefault="000D7F17" w:rsidP="004E1AE7">
      <w:pPr>
        <w:pStyle w:val="Title"/>
      </w:pPr>
      <w:r w:rsidRPr="000D7F17">
        <w:t xml:space="preserve">Rapport </w:t>
      </w:r>
      <w:proofErr w:type="spellStart"/>
      <w:r w:rsidRPr="000D7F17">
        <w:t>sur</w:t>
      </w:r>
      <w:proofErr w:type="spellEnd"/>
      <w:r w:rsidRPr="000D7F17">
        <w:t xml:space="preserve"> les Plans </w:t>
      </w:r>
      <w:proofErr w:type="spellStart"/>
      <w:r w:rsidRPr="000D7F17">
        <w:t>d’actions</w:t>
      </w:r>
      <w:proofErr w:type="spellEnd"/>
      <w:r w:rsidRPr="000D7F17">
        <w:t xml:space="preserve"> </w:t>
      </w:r>
      <w:proofErr w:type="spellStart"/>
      <w:r w:rsidRPr="000D7F17">
        <w:t>ciblés</w:t>
      </w:r>
      <w:proofErr w:type="spellEnd"/>
    </w:p>
    <w:p w14:paraId="3E597896" w14:textId="4F819580" w:rsidR="00881AEF" w:rsidRPr="001E74CA" w:rsidRDefault="000D7F17" w:rsidP="00883D2F">
      <w:pPr>
        <w:spacing w:before="240" w:after="240"/>
        <w:rPr>
          <w:sz w:val="56"/>
          <w:szCs w:val="56"/>
        </w:rPr>
      </w:pPr>
      <w:r w:rsidRPr="000D7F17">
        <w:rPr>
          <w:sz w:val="56"/>
          <w:szCs w:val="56"/>
        </w:rPr>
        <w:t>1</w:t>
      </w:r>
      <w:r w:rsidRPr="000D7F17">
        <w:rPr>
          <w:sz w:val="56"/>
          <w:szCs w:val="56"/>
          <w:vertAlign w:val="superscript"/>
        </w:rPr>
        <w:t>er</w:t>
      </w:r>
      <w:r w:rsidRPr="000D7F17">
        <w:rPr>
          <w:sz w:val="56"/>
          <w:szCs w:val="56"/>
        </w:rPr>
        <w:t xml:space="preserve"> </w:t>
      </w:r>
      <w:proofErr w:type="spellStart"/>
      <w:r w:rsidRPr="000D7F17">
        <w:rPr>
          <w:sz w:val="56"/>
          <w:szCs w:val="56"/>
        </w:rPr>
        <w:t>juillet</w:t>
      </w:r>
      <w:proofErr w:type="spellEnd"/>
      <w:r w:rsidRPr="000D7F17">
        <w:rPr>
          <w:sz w:val="56"/>
          <w:szCs w:val="56"/>
        </w:rPr>
        <w:t xml:space="preserve"> 2022 - 30 </w:t>
      </w:r>
      <w:proofErr w:type="spellStart"/>
      <w:r w:rsidRPr="000D7F17">
        <w:rPr>
          <w:sz w:val="56"/>
          <w:szCs w:val="56"/>
        </w:rPr>
        <w:t>juin</w:t>
      </w:r>
      <w:proofErr w:type="spellEnd"/>
      <w:r w:rsidRPr="000D7F17">
        <w:rPr>
          <w:sz w:val="56"/>
          <w:szCs w:val="56"/>
        </w:rPr>
        <w:t xml:space="preserve"> 2023</w:t>
      </w:r>
    </w:p>
    <w:p w14:paraId="3BCBD241" w14:textId="0391A017" w:rsidR="00881AEF" w:rsidRPr="001E74CA" w:rsidRDefault="000D7F17" w:rsidP="000D7F17">
      <w:pPr>
        <w:spacing w:before="240" w:after="240"/>
        <w:rPr>
          <w:sz w:val="34"/>
          <w:szCs w:val="34"/>
        </w:rPr>
      </w:pPr>
      <w:proofErr w:type="spellStart"/>
      <w:r w:rsidRPr="000D7F17">
        <w:rPr>
          <w:sz w:val="34"/>
          <w:szCs w:val="34"/>
        </w:rPr>
        <w:t>Stratégie</w:t>
      </w:r>
      <w:proofErr w:type="spellEnd"/>
      <w:r w:rsidRPr="000D7F17">
        <w:rPr>
          <w:sz w:val="34"/>
          <w:szCs w:val="34"/>
        </w:rPr>
        <w:t xml:space="preserve"> </w:t>
      </w:r>
      <w:proofErr w:type="spellStart"/>
      <w:r w:rsidRPr="000D7F17">
        <w:rPr>
          <w:sz w:val="34"/>
          <w:szCs w:val="34"/>
        </w:rPr>
        <w:t>australienne</w:t>
      </w:r>
      <w:proofErr w:type="spellEnd"/>
      <w:r w:rsidRPr="000D7F17">
        <w:rPr>
          <w:sz w:val="34"/>
          <w:szCs w:val="34"/>
        </w:rPr>
        <w:t xml:space="preserve"> en </w:t>
      </w:r>
      <w:proofErr w:type="spellStart"/>
      <w:r w:rsidRPr="000D7F17">
        <w:rPr>
          <w:sz w:val="34"/>
          <w:szCs w:val="34"/>
        </w:rPr>
        <w:t>matière</w:t>
      </w:r>
      <w:proofErr w:type="spellEnd"/>
      <w:r w:rsidRPr="000D7F17">
        <w:rPr>
          <w:sz w:val="34"/>
          <w:szCs w:val="34"/>
        </w:rPr>
        <w:t xml:space="preserve"> de handicap 2021-2031</w:t>
      </w:r>
      <w:r>
        <w:rPr>
          <w:sz w:val="34"/>
          <w:szCs w:val="34"/>
        </w:rPr>
        <w:t xml:space="preserve"> </w:t>
      </w:r>
      <w:r w:rsidRPr="000D7F17">
        <w:rPr>
          <w:sz w:val="34"/>
          <w:szCs w:val="34"/>
        </w:rPr>
        <w:t>(Australia’s Disability Strategy 2021-2031)</w:t>
      </w:r>
    </w:p>
    <w:p w14:paraId="45937412" w14:textId="77777777" w:rsidR="000842DE" w:rsidRDefault="000842DE" w:rsidP="008807F6"/>
    <w:p w14:paraId="10843787" w14:textId="77777777" w:rsidR="0065053A" w:rsidRDefault="0065053A" w:rsidP="008807F6">
      <w:pPr>
        <w:sectPr w:rsidR="0065053A" w:rsidSect="009538AF">
          <w:pgSz w:w="11906" w:h="16838" w:code="9"/>
          <w:pgMar w:top="1440" w:right="1440" w:bottom="1440" w:left="1440" w:header="706" w:footer="706" w:gutter="0"/>
          <w:cols w:space="708"/>
          <w:docGrid w:linePitch="360"/>
        </w:sectPr>
      </w:pPr>
    </w:p>
    <w:p w14:paraId="040D21BD" w14:textId="362A0A45" w:rsidR="00FB6BEB" w:rsidRPr="00FB6BEB" w:rsidRDefault="00EB1FA5" w:rsidP="00FB6BEB">
      <w:pPr>
        <w:spacing w:after="0" w:line="240" w:lineRule="auto"/>
        <w:rPr>
          <w:rFonts w:asciiTheme="minorHAnsi" w:hAnsiTheme="minorHAnsi" w:cstheme="minorHAnsi"/>
        </w:rPr>
      </w:pPr>
      <w:r w:rsidRPr="00EB1FA5">
        <w:rPr>
          <w:rFonts w:asciiTheme="minorHAnsi" w:hAnsiTheme="minorHAnsi" w:cstheme="minorHAnsi"/>
        </w:rPr>
        <w:lastRenderedPageBreak/>
        <w:t xml:space="preserve">Le </w:t>
      </w:r>
      <w:proofErr w:type="spellStart"/>
      <w:r w:rsidRPr="00EB1FA5">
        <w:rPr>
          <w:rFonts w:asciiTheme="minorHAnsi" w:hAnsiTheme="minorHAnsi" w:cstheme="minorHAnsi"/>
        </w:rPr>
        <w:t>présent</w:t>
      </w:r>
      <w:proofErr w:type="spellEnd"/>
      <w:r w:rsidRPr="00EB1FA5">
        <w:rPr>
          <w:rFonts w:asciiTheme="minorHAnsi" w:hAnsiTheme="minorHAnsi" w:cstheme="minorHAnsi"/>
        </w:rPr>
        <w:t xml:space="preserve"> document, </w:t>
      </w:r>
      <w:proofErr w:type="spellStart"/>
      <w:r w:rsidRPr="00EB1FA5">
        <w:rPr>
          <w:rFonts w:asciiTheme="minorHAnsi" w:hAnsiTheme="minorHAnsi" w:cstheme="minorHAnsi"/>
        </w:rPr>
        <w:t>intitulé</w:t>
      </w:r>
      <w:proofErr w:type="spellEnd"/>
      <w:r w:rsidRPr="00EB1FA5">
        <w:rPr>
          <w:rFonts w:asciiTheme="minorHAnsi" w:hAnsiTheme="minorHAnsi" w:cstheme="minorHAnsi"/>
        </w:rPr>
        <w:t xml:space="preserve"> « Rapport </w:t>
      </w:r>
      <w:proofErr w:type="spellStart"/>
      <w:r w:rsidRPr="00EB1FA5">
        <w:rPr>
          <w:rFonts w:asciiTheme="minorHAnsi" w:hAnsiTheme="minorHAnsi" w:cstheme="minorHAnsi"/>
        </w:rPr>
        <w:t>sur</w:t>
      </w:r>
      <w:proofErr w:type="spellEnd"/>
      <w:r w:rsidRPr="00EB1FA5">
        <w:rPr>
          <w:rFonts w:asciiTheme="minorHAnsi" w:hAnsiTheme="minorHAnsi" w:cstheme="minorHAnsi"/>
        </w:rPr>
        <w:t xml:space="preserve"> les Plans </w:t>
      </w:r>
      <w:proofErr w:type="spellStart"/>
      <w:r w:rsidRPr="00EB1FA5">
        <w:rPr>
          <w:rFonts w:asciiTheme="minorHAnsi" w:hAnsiTheme="minorHAnsi" w:cstheme="minorHAnsi"/>
        </w:rPr>
        <w:t>d’actions</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ciblés</w:t>
      </w:r>
      <w:proofErr w:type="spellEnd"/>
      <w:r w:rsidRPr="00EB1FA5">
        <w:rPr>
          <w:rFonts w:asciiTheme="minorHAnsi" w:hAnsiTheme="minorHAnsi" w:cstheme="minorHAnsi"/>
        </w:rPr>
        <w:t xml:space="preserve">, 1er </w:t>
      </w:r>
      <w:proofErr w:type="spellStart"/>
      <w:r w:rsidRPr="00EB1FA5">
        <w:rPr>
          <w:rFonts w:asciiTheme="minorHAnsi" w:hAnsiTheme="minorHAnsi" w:cstheme="minorHAnsi"/>
        </w:rPr>
        <w:t>juillet</w:t>
      </w:r>
      <w:proofErr w:type="spellEnd"/>
      <w:r w:rsidRPr="00EB1FA5">
        <w:rPr>
          <w:rFonts w:asciiTheme="minorHAnsi" w:hAnsiTheme="minorHAnsi" w:cstheme="minorHAnsi"/>
        </w:rPr>
        <w:t xml:space="preserve"> 2022 - 30 </w:t>
      </w:r>
      <w:proofErr w:type="spellStart"/>
      <w:r w:rsidRPr="00EB1FA5">
        <w:rPr>
          <w:rFonts w:asciiTheme="minorHAnsi" w:hAnsiTheme="minorHAnsi" w:cstheme="minorHAnsi"/>
        </w:rPr>
        <w:t>juin</w:t>
      </w:r>
      <w:proofErr w:type="spellEnd"/>
      <w:r w:rsidRPr="00EB1FA5">
        <w:rPr>
          <w:rFonts w:asciiTheme="minorHAnsi" w:hAnsiTheme="minorHAnsi" w:cstheme="minorHAnsi"/>
        </w:rPr>
        <w:t xml:space="preserve"> 2023, </w:t>
      </w:r>
      <w:proofErr w:type="spellStart"/>
      <w:r w:rsidRPr="00EB1FA5">
        <w:rPr>
          <w:rFonts w:asciiTheme="minorHAnsi" w:hAnsiTheme="minorHAnsi" w:cstheme="minorHAnsi"/>
        </w:rPr>
        <w:t>Stratégie</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australienne</w:t>
      </w:r>
      <w:proofErr w:type="spellEnd"/>
      <w:r w:rsidRPr="00EB1FA5">
        <w:rPr>
          <w:rFonts w:asciiTheme="minorHAnsi" w:hAnsiTheme="minorHAnsi" w:cstheme="minorHAnsi"/>
        </w:rPr>
        <w:t xml:space="preserve"> en </w:t>
      </w:r>
      <w:proofErr w:type="spellStart"/>
      <w:r w:rsidRPr="00EB1FA5">
        <w:rPr>
          <w:rFonts w:asciiTheme="minorHAnsi" w:hAnsiTheme="minorHAnsi" w:cstheme="minorHAnsi"/>
        </w:rPr>
        <w:t>matière</w:t>
      </w:r>
      <w:proofErr w:type="spellEnd"/>
      <w:r w:rsidRPr="00EB1FA5">
        <w:rPr>
          <w:rFonts w:asciiTheme="minorHAnsi" w:hAnsiTheme="minorHAnsi" w:cstheme="minorHAnsi"/>
        </w:rPr>
        <w:t xml:space="preserve"> de handicap 2021-2031 », </w:t>
      </w:r>
      <w:proofErr w:type="spellStart"/>
      <w:r w:rsidRPr="00EB1FA5">
        <w:rPr>
          <w:rFonts w:asciiTheme="minorHAnsi" w:hAnsiTheme="minorHAnsi" w:cstheme="minorHAnsi"/>
        </w:rPr>
        <w:t>est</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autorisé</w:t>
      </w:r>
      <w:proofErr w:type="spellEnd"/>
      <w:r w:rsidRPr="00EB1FA5">
        <w:rPr>
          <w:rFonts w:asciiTheme="minorHAnsi" w:hAnsiTheme="minorHAnsi" w:cstheme="minorHAnsi"/>
        </w:rPr>
        <w:t xml:space="preserve"> en </w:t>
      </w:r>
      <w:proofErr w:type="spellStart"/>
      <w:r w:rsidRPr="00EB1FA5">
        <w:rPr>
          <w:rFonts w:asciiTheme="minorHAnsi" w:hAnsiTheme="minorHAnsi" w:cstheme="minorHAnsi"/>
        </w:rPr>
        <w:t>vertu</w:t>
      </w:r>
      <w:proofErr w:type="spellEnd"/>
      <w:r w:rsidRPr="00EB1FA5">
        <w:rPr>
          <w:rFonts w:asciiTheme="minorHAnsi" w:hAnsiTheme="minorHAnsi" w:cstheme="minorHAnsi"/>
        </w:rPr>
        <w:t xml:space="preserve"> de la licence Creative Commons Attribution 4.0 International License, à </w:t>
      </w:r>
      <w:proofErr w:type="spellStart"/>
      <w:r w:rsidRPr="00EB1FA5">
        <w:rPr>
          <w:rFonts w:asciiTheme="minorHAnsi" w:hAnsiTheme="minorHAnsi" w:cstheme="minorHAnsi"/>
        </w:rPr>
        <w:t>l’exception</w:t>
      </w:r>
      <w:proofErr w:type="spellEnd"/>
      <w:r w:rsidRPr="00EB1FA5">
        <w:rPr>
          <w:rFonts w:asciiTheme="minorHAnsi" w:hAnsiTheme="minorHAnsi" w:cstheme="minorHAnsi"/>
        </w:rPr>
        <w:t xml:space="preserve"> :</w:t>
      </w:r>
    </w:p>
    <w:p w14:paraId="10A2AF35" w14:textId="61FFC235" w:rsidR="00FB6BEB" w:rsidRPr="000842DE" w:rsidRDefault="00EB1FA5" w:rsidP="00EB1FA5">
      <w:pPr>
        <w:pStyle w:val="ListParagraph"/>
        <w:numPr>
          <w:ilvl w:val="0"/>
          <w:numId w:val="34"/>
        </w:numPr>
        <w:spacing w:before="240" w:after="120" w:line="240" w:lineRule="auto"/>
        <w:contextualSpacing w:val="0"/>
        <w:rPr>
          <w:rFonts w:asciiTheme="minorHAnsi" w:hAnsiTheme="minorHAnsi" w:cstheme="minorHAnsi"/>
        </w:rPr>
      </w:pPr>
      <w:r w:rsidRPr="00EB1FA5">
        <w:rPr>
          <w:rFonts w:asciiTheme="minorHAnsi" w:hAnsiTheme="minorHAnsi" w:cstheme="minorHAnsi"/>
        </w:rPr>
        <w:t xml:space="preserve">du logo et de la marque de la </w:t>
      </w:r>
      <w:proofErr w:type="spellStart"/>
      <w:r w:rsidRPr="00EB1FA5">
        <w:rPr>
          <w:rFonts w:asciiTheme="minorHAnsi" w:hAnsiTheme="minorHAnsi" w:cstheme="minorHAnsi"/>
        </w:rPr>
        <w:t>Stratégie</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australienne</w:t>
      </w:r>
      <w:proofErr w:type="spellEnd"/>
      <w:r w:rsidRPr="00EB1FA5">
        <w:rPr>
          <w:rFonts w:asciiTheme="minorHAnsi" w:hAnsiTheme="minorHAnsi" w:cstheme="minorHAnsi"/>
        </w:rPr>
        <w:t xml:space="preserve"> en </w:t>
      </w:r>
      <w:proofErr w:type="spellStart"/>
      <w:r w:rsidRPr="00EB1FA5">
        <w:rPr>
          <w:rFonts w:asciiTheme="minorHAnsi" w:hAnsiTheme="minorHAnsi" w:cstheme="minorHAnsi"/>
        </w:rPr>
        <w:t>matière</w:t>
      </w:r>
      <w:proofErr w:type="spellEnd"/>
      <w:r w:rsidRPr="00EB1FA5">
        <w:rPr>
          <w:rFonts w:asciiTheme="minorHAnsi" w:hAnsiTheme="minorHAnsi" w:cstheme="minorHAnsi"/>
        </w:rPr>
        <w:t xml:space="preserve"> de handicap 2021-2031 (Australia’s Disability Strategy 2021-2031) ;</w:t>
      </w:r>
    </w:p>
    <w:p w14:paraId="4C2833E8" w14:textId="278B7CCE" w:rsidR="00FB6BEB" w:rsidRPr="000842DE" w:rsidRDefault="00EB1FA5" w:rsidP="00EB1FA5">
      <w:pPr>
        <w:pStyle w:val="ListParagraph"/>
        <w:numPr>
          <w:ilvl w:val="0"/>
          <w:numId w:val="34"/>
        </w:numPr>
        <w:spacing w:before="120" w:after="120" w:line="240" w:lineRule="auto"/>
        <w:contextualSpacing w:val="0"/>
        <w:rPr>
          <w:rFonts w:asciiTheme="minorHAnsi" w:hAnsiTheme="minorHAnsi" w:cstheme="minorHAnsi"/>
        </w:rPr>
      </w:pPr>
      <w:r w:rsidRPr="00EB1FA5">
        <w:rPr>
          <w:rFonts w:asciiTheme="minorHAnsi" w:hAnsiTheme="minorHAnsi" w:cstheme="minorHAnsi"/>
        </w:rPr>
        <w:t xml:space="preserve">de tout </w:t>
      </w:r>
      <w:proofErr w:type="spellStart"/>
      <w:r w:rsidRPr="00EB1FA5">
        <w:rPr>
          <w:rFonts w:asciiTheme="minorHAnsi" w:hAnsiTheme="minorHAnsi" w:cstheme="minorHAnsi"/>
        </w:rPr>
        <w:t>contenu</w:t>
      </w:r>
      <w:proofErr w:type="spellEnd"/>
      <w:r w:rsidRPr="00EB1FA5">
        <w:rPr>
          <w:rFonts w:asciiTheme="minorHAnsi" w:hAnsiTheme="minorHAnsi" w:cstheme="minorHAnsi"/>
        </w:rPr>
        <w:t xml:space="preserve"> de tiers ;</w:t>
      </w:r>
    </w:p>
    <w:p w14:paraId="3D5C3934" w14:textId="43565347" w:rsidR="00FB6BEB" w:rsidRPr="000842DE" w:rsidRDefault="00EB1FA5" w:rsidP="00EB1FA5">
      <w:pPr>
        <w:pStyle w:val="ListParagraph"/>
        <w:numPr>
          <w:ilvl w:val="0"/>
          <w:numId w:val="34"/>
        </w:numPr>
        <w:spacing w:before="120" w:after="120" w:line="240" w:lineRule="auto"/>
        <w:contextualSpacing w:val="0"/>
        <w:rPr>
          <w:rFonts w:asciiTheme="minorHAnsi" w:hAnsiTheme="minorHAnsi" w:cstheme="minorHAnsi"/>
        </w:rPr>
      </w:pPr>
      <w:proofErr w:type="gramStart"/>
      <w:r w:rsidRPr="00EB1FA5">
        <w:rPr>
          <w:rFonts w:asciiTheme="minorHAnsi" w:hAnsiTheme="minorHAnsi" w:cstheme="minorHAnsi"/>
        </w:rPr>
        <w:t>de</w:t>
      </w:r>
      <w:proofErr w:type="gramEnd"/>
      <w:r w:rsidRPr="00EB1FA5">
        <w:rPr>
          <w:rFonts w:asciiTheme="minorHAnsi" w:hAnsiTheme="minorHAnsi" w:cstheme="minorHAnsi"/>
        </w:rPr>
        <w:t xml:space="preserve"> </w:t>
      </w:r>
      <w:proofErr w:type="spellStart"/>
      <w:r w:rsidRPr="00EB1FA5">
        <w:rPr>
          <w:rFonts w:asciiTheme="minorHAnsi" w:hAnsiTheme="minorHAnsi" w:cstheme="minorHAnsi"/>
        </w:rPr>
        <w:t>toutes</w:t>
      </w:r>
      <w:proofErr w:type="spellEnd"/>
      <w:r w:rsidRPr="00EB1FA5">
        <w:rPr>
          <w:rFonts w:asciiTheme="minorHAnsi" w:hAnsiTheme="minorHAnsi" w:cstheme="minorHAnsi"/>
        </w:rPr>
        <w:t xml:space="preserve"> les images et </w:t>
      </w:r>
      <w:proofErr w:type="spellStart"/>
      <w:r w:rsidRPr="00EB1FA5">
        <w:rPr>
          <w:rFonts w:asciiTheme="minorHAnsi" w:hAnsiTheme="minorHAnsi" w:cstheme="minorHAnsi"/>
        </w:rPr>
        <w:t>photographies</w:t>
      </w:r>
      <w:proofErr w:type="spellEnd"/>
      <w:r w:rsidRPr="00EB1FA5">
        <w:rPr>
          <w:rFonts w:asciiTheme="minorHAnsi" w:hAnsiTheme="minorHAnsi" w:cstheme="minorHAnsi"/>
        </w:rPr>
        <w:t>.</w:t>
      </w:r>
    </w:p>
    <w:p w14:paraId="496D6FE9" w14:textId="1D38F75D" w:rsidR="00FB6BEB" w:rsidRPr="00FB6BEB" w:rsidRDefault="00EB1FA5" w:rsidP="000842DE">
      <w:pPr>
        <w:spacing w:before="240" w:after="0" w:line="240" w:lineRule="auto"/>
        <w:rPr>
          <w:rFonts w:asciiTheme="minorHAnsi" w:hAnsiTheme="minorHAnsi" w:cstheme="minorHAnsi"/>
        </w:rPr>
      </w:pPr>
      <w:r w:rsidRPr="00EB1FA5">
        <w:rPr>
          <w:rFonts w:asciiTheme="minorHAnsi" w:hAnsiTheme="minorHAnsi" w:cstheme="minorHAnsi"/>
        </w:rPr>
        <w:t xml:space="preserve">De plus </w:t>
      </w:r>
      <w:proofErr w:type="spellStart"/>
      <w:r w:rsidRPr="00EB1FA5">
        <w:rPr>
          <w:rFonts w:asciiTheme="minorHAnsi" w:hAnsiTheme="minorHAnsi" w:cstheme="minorHAnsi"/>
        </w:rPr>
        <w:t>amples</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informations</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sur</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cette</w:t>
      </w:r>
      <w:proofErr w:type="spellEnd"/>
      <w:r w:rsidRPr="00EB1FA5">
        <w:rPr>
          <w:rFonts w:asciiTheme="minorHAnsi" w:hAnsiTheme="minorHAnsi" w:cstheme="minorHAnsi"/>
        </w:rPr>
        <w:t xml:space="preserve"> licence CC By </w:t>
      </w:r>
      <w:proofErr w:type="spellStart"/>
      <w:r w:rsidRPr="00EB1FA5">
        <w:rPr>
          <w:rFonts w:asciiTheme="minorHAnsi" w:hAnsiTheme="minorHAnsi" w:cstheme="minorHAnsi"/>
        </w:rPr>
        <w:t>sont</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disponibles</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sur</w:t>
      </w:r>
      <w:proofErr w:type="spellEnd"/>
      <w:r w:rsidRPr="00EB1FA5">
        <w:rPr>
          <w:rFonts w:asciiTheme="minorHAnsi" w:hAnsiTheme="minorHAnsi" w:cstheme="minorHAnsi"/>
        </w:rPr>
        <w:t xml:space="preserve"> le site Web de Creative Commons à </w:t>
      </w:r>
      <w:proofErr w:type="spellStart"/>
      <w:r w:rsidRPr="00EB1FA5">
        <w:rPr>
          <w:rFonts w:asciiTheme="minorHAnsi" w:hAnsiTheme="minorHAnsi" w:cstheme="minorHAnsi"/>
        </w:rPr>
        <w:t>l’adresse</w:t>
      </w:r>
      <w:proofErr w:type="spellEnd"/>
      <w:r w:rsidRPr="00EB1FA5">
        <w:rPr>
          <w:rFonts w:asciiTheme="minorHAnsi" w:hAnsiTheme="minorHAnsi" w:cstheme="minorHAnsi"/>
        </w:rPr>
        <w:t xml:space="preserve"> </w:t>
      </w:r>
      <w:proofErr w:type="spellStart"/>
      <w:proofErr w:type="gramStart"/>
      <w:r w:rsidRPr="00EB1FA5">
        <w:rPr>
          <w:rFonts w:asciiTheme="minorHAnsi" w:hAnsiTheme="minorHAnsi" w:cstheme="minorHAnsi"/>
        </w:rPr>
        <w:t>suivante</w:t>
      </w:r>
      <w:proofErr w:type="spellEnd"/>
      <w:r w:rsidRPr="00EB1FA5">
        <w:rPr>
          <w:rFonts w:asciiTheme="minorHAnsi" w:hAnsiTheme="minorHAnsi" w:cstheme="minorHAnsi"/>
        </w:rPr>
        <w:t xml:space="preserve"> :</w:t>
      </w:r>
      <w:proofErr w:type="gramEnd"/>
    </w:p>
    <w:p w14:paraId="066B238D" w14:textId="50BED261" w:rsidR="00FB6BEB" w:rsidRPr="00FB6BEB" w:rsidRDefault="00DF1353" w:rsidP="00FB6BEB">
      <w:pPr>
        <w:spacing w:after="0" w:line="240" w:lineRule="auto"/>
        <w:rPr>
          <w:rFonts w:asciiTheme="minorHAnsi" w:hAnsiTheme="minorHAnsi" w:cstheme="minorHAnsi"/>
        </w:rPr>
      </w:pPr>
      <w:hyperlink r:id="rId9" w:history="1">
        <w:r w:rsidR="008E5C12" w:rsidRPr="006B0001">
          <w:rPr>
            <w:rStyle w:val="Hyperlink"/>
            <w:rFonts w:asciiTheme="minorHAnsi" w:hAnsiTheme="minorHAnsi" w:cstheme="minorHAnsi"/>
          </w:rPr>
          <w:t>https://creativecommons.org/licenses/by/4.0/legalcode</w:t>
        </w:r>
      </w:hyperlink>
    </w:p>
    <w:p w14:paraId="6CDCD157" w14:textId="16DC3845" w:rsidR="00FB6BEB" w:rsidRPr="00FB6BEB" w:rsidRDefault="00EB1FA5" w:rsidP="000842DE">
      <w:pPr>
        <w:spacing w:before="240" w:after="0" w:line="240" w:lineRule="auto"/>
        <w:rPr>
          <w:rFonts w:asciiTheme="minorHAnsi" w:hAnsiTheme="minorHAnsi" w:cstheme="minorHAnsi"/>
        </w:rPr>
      </w:pPr>
      <w:r w:rsidRPr="00EB1FA5">
        <w:rPr>
          <w:rFonts w:asciiTheme="minorHAnsi" w:hAnsiTheme="minorHAnsi" w:cstheme="minorHAnsi"/>
        </w:rPr>
        <w:t xml:space="preserve">Mention </w:t>
      </w:r>
      <w:proofErr w:type="spellStart"/>
      <w:proofErr w:type="gramStart"/>
      <w:r w:rsidRPr="00EB1FA5">
        <w:rPr>
          <w:rFonts w:asciiTheme="minorHAnsi" w:hAnsiTheme="minorHAnsi" w:cstheme="minorHAnsi"/>
        </w:rPr>
        <w:t>d’attribution</w:t>
      </w:r>
      <w:proofErr w:type="spellEnd"/>
      <w:r w:rsidRPr="00EB1FA5">
        <w:rPr>
          <w:rFonts w:asciiTheme="minorHAnsi" w:hAnsiTheme="minorHAnsi" w:cstheme="minorHAnsi"/>
        </w:rPr>
        <w:t xml:space="preserve"> :</w:t>
      </w:r>
      <w:proofErr w:type="gramEnd"/>
      <w:r w:rsidRPr="00EB1FA5">
        <w:rPr>
          <w:rFonts w:asciiTheme="minorHAnsi" w:hAnsiTheme="minorHAnsi" w:cstheme="minorHAnsi"/>
        </w:rPr>
        <w:t xml:space="preserve"> </w:t>
      </w:r>
      <w:r w:rsidR="00FB6BEB" w:rsidRPr="00FB6BEB">
        <w:rPr>
          <w:rFonts w:asciiTheme="minorHAnsi" w:hAnsiTheme="minorHAnsi" w:cstheme="minorHAnsi"/>
        </w:rPr>
        <w:t xml:space="preserve"> </w:t>
      </w:r>
    </w:p>
    <w:p w14:paraId="3AD5EC4C" w14:textId="5EF65992" w:rsidR="00FB6BEB" w:rsidRPr="00FB6BEB" w:rsidRDefault="00EB1FA5" w:rsidP="000842DE">
      <w:pPr>
        <w:spacing w:before="240" w:after="0" w:line="240" w:lineRule="auto"/>
        <w:rPr>
          <w:rFonts w:asciiTheme="minorHAnsi" w:hAnsiTheme="minorHAnsi" w:cstheme="minorHAnsi"/>
        </w:rPr>
      </w:pPr>
      <w:proofErr w:type="spellStart"/>
      <w:r w:rsidRPr="00EB1FA5">
        <w:rPr>
          <w:rFonts w:asciiTheme="minorHAnsi" w:hAnsiTheme="minorHAnsi" w:cstheme="minorHAnsi"/>
        </w:rPr>
        <w:t>Toute</w:t>
      </w:r>
      <w:proofErr w:type="spellEnd"/>
      <w:r w:rsidRPr="00EB1FA5">
        <w:rPr>
          <w:rFonts w:asciiTheme="minorHAnsi" w:hAnsiTheme="minorHAnsi" w:cstheme="minorHAnsi"/>
        </w:rPr>
        <w:t xml:space="preserve"> utilisation du </w:t>
      </w:r>
      <w:proofErr w:type="spellStart"/>
      <w:r w:rsidRPr="00EB1FA5">
        <w:rPr>
          <w:rFonts w:asciiTheme="minorHAnsi" w:hAnsiTheme="minorHAnsi" w:cstheme="minorHAnsi"/>
        </w:rPr>
        <w:t>présent</w:t>
      </w:r>
      <w:proofErr w:type="spellEnd"/>
      <w:r w:rsidRPr="00EB1FA5">
        <w:rPr>
          <w:rFonts w:asciiTheme="minorHAnsi" w:hAnsiTheme="minorHAnsi" w:cstheme="minorHAnsi"/>
        </w:rPr>
        <w:t xml:space="preserve"> document, en </w:t>
      </w:r>
      <w:proofErr w:type="spellStart"/>
      <w:r w:rsidRPr="00EB1FA5">
        <w:rPr>
          <w:rFonts w:asciiTheme="minorHAnsi" w:hAnsiTheme="minorHAnsi" w:cstheme="minorHAnsi"/>
        </w:rPr>
        <w:t>totalité</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ou</w:t>
      </w:r>
      <w:proofErr w:type="spellEnd"/>
      <w:r w:rsidRPr="00EB1FA5">
        <w:rPr>
          <w:rFonts w:asciiTheme="minorHAnsi" w:hAnsiTheme="minorHAnsi" w:cstheme="minorHAnsi"/>
        </w:rPr>
        <w:t xml:space="preserve"> en </w:t>
      </w:r>
      <w:proofErr w:type="spellStart"/>
      <w:r w:rsidRPr="00EB1FA5">
        <w:rPr>
          <w:rFonts w:asciiTheme="minorHAnsi" w:hAnsiTheme="minorHAnsi" w:cstheme="minorHAnsi"/>
        </w:rPr>
        <w:t>partie</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doit</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inclure</w:t>
      </w:r>
      <w:proofErr w:type="spellEnd"/>
      <w:r w:rsidRPr="00EB1FA5">
        <w:rPr>
          <w:rFonts w:asciiTheme="minorHAnsi" w:hAnsiTheme="minorHAnsi" w:cstheme="minorHAnsi"/>
        </w:rPr>
        <w:t xml:space="preserve"> la mention </w:t>
      </w:r>
      <w:proofErr w:type="spellStart"/>
      <w:r w:rsidRPr="00EB1FA5">
        <w:rPr>
          <w:rFonts w:asciiTheme="minorHAnsi" w:hAnsiTheme="minorHAnsi" w:cstheme="minorHAnsi"/>
        </w:rPr>
        <w:t>d’attribution</w:t>
      </w:r>
      <w:proofErr w:type="spellEnd"/>
      <w:r w:rsidRPr="00EB1FA5">
        <w:rPr>
          <w:rFonts w:asciiTheme="minorHAnsi" w:hAnsiTheme="minorHAnsi" w:cstheme="minorHAnsi"/>
        </w:rPr>
        <w:t xml:space="preserve"> </w:t>
      </w:r>
      <w:proofErr w:type="spellStart"/>
      <w:proofErr w:type="gramStart"/>
      <w:r w:rsidRPr="00EB1FA5">
        <w:rPr>
          <w:rFonts w:asciiTheme="minorHAnsi" w:hAnsiTheme="minorHAnsi" w:cstheme="minorHAnsi"/>
        </w:rPr>
        <w:t>suivante</w:t>
      </w:r>
      <w:proofErr w:type="spellEnd"/>
      <w:r w:rsidRPr="00EB1FA5">
        <w:rPr>
          <w:rFonts w:asciiTheme="minorHAnsi" w:hAnsiTheme="minorHAnsi" w:cstheme="minorHAnsi"/>
        </w:rPr>
        <w:t xml:space="preserve"> :</w:t>
      </w:r>
      <w:proofErr w:type="gramEnd"/>
      <w:r>
        <w:rPr>
          <w:rFonts w:asciiTheme="minorHAnsi" w:hAnsiTheme="minorHAnsi" w:cstheme="minorHAnsi"/>
        </w:rPr>
        <w:t xml:space="preserve"> </w:t>
      </w:r>
      <w:r w:rsidRPr="00EB1FA5">
        <w:rPr>
          <w:rFonts w:asciiTheme="minorHAnsi" w:hAnsiTheme="minorHAnsi" w:cstheme="minorHAnsi"/>
        </w:rPr>
        <w:t>« © Commonwealth of Australia (Department of Social Services) 2023 ».</w:t>
      </w:r>
    </w:p>
    <w:p w14:paraId="13448D78" w14:textId="1C48E003" w:rsidR="008C13A0" w:rsidRDefault="00EB1FA5" w:rsidP="000842DE">
      <w:pPr>
        <w:spacing w:before="240" w:after="0" w:line="240" w:lineRule="auto"/>
        <w:rPr>
          <w:rFonts w:asciiTheme="minorHAnsi" w:hAnsiTheme="minorHAnsi" w:cstheme="minorHAnsi"/>
        </w:rPr>
      </w:pPr>
      <w:proofErr w:type="spellStart"/>
      <w:r w:rsidRPr="00EB1FA5">
        <w:rPr>
          <w:rFonts w:asciiTheme="minorHAnsi" w:hAnsiTheme="minorHAnsi" w:cstheme="minorHAnsi"/>
        </w:rPr>
        <w:t>Toute</w:t>
      </w:r>
      <w:proofErr w:type="spellEnd"/>
      <w:r w:rsidRPr="00EB1FA5">
        <w:rPr>
          <w:rFonts w:asciiTheme="minorHAnsi" w:hAnsiTheme="minorHAnsi" w:cstheme="minorHAnsi"/>
        </w:rPr>
        <w:t xml:space="preserve"> question </w:t>
      </w:r>
      <w:proofErr w:type="spellStart"/>
      <w:r w:rsidRPr="00EB1FA5">
        <w:rPr>
          <w:rFonts w:asciiTheme="minorHAnsi" w:hAnsiTheme="minorHAnsi" w:cstheme="minorHAnsi"/>
        </w:rPr>
        <w:t>concernant</w:t>
      </w:r>
      <w:proofErr w:type="spellEnd"/>
      <w:r w:rsidRPr="00EB1FA5">
        <w:rPr>
          <w:rFonts w:asciiTheme="minorHAnsi" w:hAnsiTheme="minorHAnsi" w:cstheme="minorHAnsi"/>
        </w:rPr>
        <w:t xml:space="preserve"> le </w:t>
      </w:r>
      <w:proofErr w:type="spellStart"/>
      <w:r w:rsidRPr="00EB1FA5">
        <w:rPr>
          <w:rFonts w:asciiTheme="minorHAnsi" w:hAnsiTheme="minorHAnsi" w:cstheme="minorHAnsi"/>
        </w:rPr>
        <w:t>régime</w:t>
      </w:r>
      <w:proofErr w:type="spellEnd"/>
      <w:r w:rsidRPr="00EB1FA5">
        <w:rPr>
          <w:rFonts w:asciiTheme="minorHAnsi" w:hAnsiTheme="minorHAnsi" w:cstheme="minorHAnsi"/>
        </w:rPr>
        <w:t xml:space="preserve"> de </w:t>
      </w:r>
      <w:proofErr w:type="spellStart"/>
      <w:r w:rsidRPr="00EB1FA5">
        <w:rPr>
          <w:rFonts w:asciiTheme="minorHAnsi" w:hAnsiTheme="minorHAnsi" w:cstheme="minorHAnsi"/>
        </w:rPr>
        <w:t>droit</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d’auteur</w:t>
      </w:r>
      <w:proofErr w:type="spellEnd"/>
      <w:r w:rsidRPr="00EB1FA5">
        <w:rPr>
          <w:rFonts w:asciiTheme="minorHAnsi" w:hAnsiTheme="minorHAnsi" w:cstheme="minorHAnsi"/>
        </w:rPr>
        <w:t xml:space="preserve"> </w:t>
      </w:r>
      <w:proofErr w:type="gramStart"/>
      <w:r w:rsidRPr="00EB1FA5">
        <w:rPr>
          <w:rFonts w:asciiTheme="minorHAnsi" w:hAnsiTheme="minorHAnsi" w:cstheme="minorHAnsi"/>
        </w:rPr>
        <w:t>et</w:t>
      </w:r>
      <w:proofErr w:type="gramEnd"/>
      <w:r w:rsidRPr="00EB1FA5">
        <w:rPr>
          <w:rFonts w:asciiTheme="minorHAnsi" w:hAnsiTheme="minorHAnsi" w:cstheme="minorHAnsi"/>
        </w:rPr>
        <w:t xml:space="preserve"> </w:t>
      </w:r>
      <w:proofErr w:type="spellStart"/>
      <w:r w:rsidRPr="00EB1FA5">
        <w:rPr>
          <w:rFonts w:asciiTheme="minorHAnsi" w:hAnsiTheme="minorHAnsi" w:cstheme="minorHAnsi"/>
        </w:rPr>
        <w:t>l’utilisation</w:t>
      </w:r>
      <w:proofErr w:type="spellEnd"/>
      <w:r w:rsidRPr="00EB1FA5">
        <w:rPr>
          <w:rFonts w:asciiTheme="minorHAnsi" w:hAnsiTheme="minorHAnsi" w:cstheme="minorHAnsi"/>
        </w:rPr>
        <w:t xml:space="preserve"> des </w:t>
      </w:r>
      <w:proofErr w:type="spellStart"/>
      <w:r w:rsidRPr="00EB1FA5">
        <w:rPr>
          <w:rFonts w:asciiTheme="minorHAnsi" w:hAnsiTheme="minorHAnsi" w:cstheme="minorHAnsi"/>
        </w:rPr>
        <w:t>informations</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fournies</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dans</w:t>
      </w:r>
      <w:proofErr w:type="spellEnd"/>
      <w:r w:rsidRPr="00EB1FA5">
        <w:rPr>
          <w:rFonts w:asciiTheme="minorHAnsi" w:hAnsiTheme="minorHAnsi" w:cstheme="minorHAnsi"/>
        </w:rPr>
        <w:t xml:space="preserve"> le </w:t>
      </w:r>
      <w:proofErr w:type="spellStart"/>
      <w:r w:rsidRPr="00EB1FA5">
        <w:rPr>
          <w:rFonts w:asciiTheme="minorHAnsi" w:hAnsiTheme="minorHAnsi" w:cstheme="minorHAnsi"/>
        </w:rPr>
        <w:t>présent</w:t>
      </w:r>
      <w:proofErr w:type="spellEnd"/>
      <w:r w:rsidRPr="00EB1FA5">
        <w:rPr>
          <w:rFonts w:asciiTheme="minorHAnsi" w:hAnsiTheme="minorHAnsi" w:cstheme="minorHAnsi"/>
        </w:rPr>
        <w:t xml:space="preserve"> document </w:t>
      </w:r>
      <w:proofErr w:type="spellStart"/>
      <w:r w:rsidRPr="00EB1FA5">
        <w:rPr>
          <w:rFonts w:asciiTheme="minorHAnsi" w:hAnsiTheme="minorHAnsi" w:cstheme="minorHAnsi"/>
        </w:rPr>
        <w:t>peut</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être</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envoyée</w:t>
      </w:r>
      <w:proofErr w:type="spellEnd"/>
      <w:r w:rsidRPr="00EB1FA5">
        <w:rPr>
          <w:rFonts w:asciiTheme="minorHAnsi" w:hAnsiTheme="minorHAnsi" w:cstheme="minorHAnsi"/>
        </w:rPr>
        <w:t xml:space="preserve"> au </w:t>
      </w:r>
      <w:proofErr w:type="spellStart"/>
      <w:r w:rsidRPr="00EB1FA5">
        <w:rPr>
          <w:rFonts w:asciiTheme="minorHAnsi" w:hAnsiTheme="minorHAnsi" w:cstheme="minorHAnsi"/>
        </w:rPr>
        <w:t>ministère</w:t>
      </w:r>
      <w:proofErr w:type="spellEnd"/>
      <w:r w:rsidRPr="00EB1FA5">
        <w:rPr>
          <w:rFonts w:asciiTheme="minorHAnsi" w:hAnsiTheme="minorHAnsi" w:cstheme="minorHAnsi"/>
        </w:rPr>
        <w:t xml:space="preserve"> </w:t>
      </w:r>
      <w:proofErr w:type="spellStart"/>
      <w:r w:rsidRPr="00EB1FA5">
        <w:rPr>
          <w:rFonts w:asciiTheme="minorHAnsi" w:hAnsiTheme="minorHAnsi" w:cstheme="minorHAnsi"/>
        </w:rPr>
        <w:t>australien</w:t>
      </w:r>
      <w:proofErr w:type="spellEnd"/>
      <w:r w:rsidRPr="00EB1FA5">
        <w:rPr>
          <w:rFonts w:asciiTheme="minorHAnsi" w:hAnsiTheme="minorHAnsi" w:cstheme="minorHAnsi"/>
        </w:rPr>
        <w:t xml:space="preserve"> des Services </w:t>
      </w:r>
      <w:proofErr w:type="spellStart"/>
      <w:r w:rsidRPr="00EB1FA5">
        <w:rPr>
          <w:rFonts w:asciiTheme="minorHAnsi" w:hAnsiTheme="minorHAnsi" w:cstheme="minorHAnsi"/>
        </w:rPr>
        <w:t>sociaux</w:t>
      </w:r>
      <w:proofErr w:type="spellEnd"/>
      <w:r w:rsidRPr="00EB1FA5">
        <w:rPr>
          <w:rFonts w:asciiTheme="minorHAnsi" w:hAnsiTheme="minorHAnsi" w:cstheme="minorHAnsi"/>
        </w:rPr>
        <w:t>.</w:t>
      </w:r>
    </w:p>
    <w:p w14:paraId="6CB2C241" w14:textId="3AF0ED0F" w:rsidR="00FB6BEB" w:rsidRPr="00FB6BEB" w:rsidRDefault="00EB1FA5" w:rsidP="000842DE">
      <w:pPr>
        <w:spacing w:before="240" w:after="0" w:line="240" w:lineRule="auto"/>
        <w:rPr>
          <w:rFonts w:asciiTheme="minorHAnsi" w:hAnsiTheme="minorHAnsi" w:cstheme="minorHAnsi"/>
        </w:rPr>
      </w:pPr>
      <w:r w:rsidRPr="00EB1FA5">
        <w:rPr>
          <w:rFonts w:asciiTheme="minorHAnsi" w:hAnsiTheme="minorHAnsi" w:cstheme="minorHAnsi"/>
        </w:rPr>
        <w:t xml:space="preserve">Par </w:t>
      </w:r>
      <w:proofErr w:type="spellStart"/>
      <w:r w:rsidRPr="00EB1FA5">
        <w:rPr>
          <w:rFonts w:asciiTheme="minorHAnsi" w:hAnsiTheme="minorHAnsi" w:cstheme="minorHAnsi"/>
        </w:rPr>
        <w:t>courriel</w:t>
      </w:r>
      <w:proofErr w:type="spellEnd"/>
      <w:r w:rsidRPr="00EB1FA5">
        <w:rPr>
          <w:rFonts w:asciiTheme="minorHAnsi" w:hAnsiTheme="minorHAnsi" w:cstheme="minorHAnsi"/>
        </w:rPr>
        <w:t xml:space="preserve"> à </w:t>
      </w:r>
      <w:proofErr w:type="spellStart"/>
      <w:proofErr w:type="gramStart"/>
      <w:r w:rsidRPr="00EB1FA5">
        <w:rPr>
          <w:rFonts w:asciiTheme="minorHAnsi" w:hAnsiTheme="minorHAnsi" w:cstheme="minorHAnsi"/>
        </w:rPr>
        <w:t>l’adresse</w:t>
      </w:r>
      <w:proofErr w:type="spellEnd"/>
      <w:r w:rsidRPr="00EB1FA5">
        <w:rPr>
          <w:rFonts w:asciiTheme="minorHAnsi" w:hAnsiTheme="minorHAnsi" w:cstheme="minorHAnsi"/>
        </w:rPr>
        <w:t xml:space="preserve"> :</w:t>
      </w:r>
      <w:proofErr w:type="gramEnd"/>
      <w:r w:rsidRPr="00EB1FA5">
        <w:rPr>
          <w:rFonts w:asciiTheme="minorHAnsi" w:hAnsiTheme="minorHAnsi" w:cstheme="minorHAnsi"/>
        </w:rPr>
        <w:t xml:space="preserve"> </w:t>
      </w:r>
      <w:r w:rsidR="00FB6BEB" w:rsidRPr="00FB6BEB">
        <w:rPr>
          <w:rFonts w:asciiTheme="minorHAnsi" w:hAnsiTheme="minorHAnsi" w:cstheme="minorHAnsi"/>
        </w:rPr>
        <w:t xml:space="preserve"> </w:t>
      </w:r>
      <w:hyperlink r:id="rId10" w:history="1">
        <w:r w:rsidR="008C13A0" w:rsidRPr="00EE11EE">
          <w:rPr>
            <w:rStyle w:val="Hyperlink"/>
            <w:rFonts w:asciiTheme="minorHAnsi" w:hAnsiTheme="minorHAnsi" w:cstheme="minorHAnsi"/>
          </w:rPr>
          <w:t>communication@dss.gov.au</w:t>
        </w:r>
      </w:hyperlink>
    </w:p>
    <w:p w14:paraId="05644BE3" w14:textId="10618FEE" w:rsidR="00881AEF" w:rsidRPr="00FB6BEB" w:rsidRDefault="00EB1FA5" w:rsidP="008C13A0">
      <w:pPr>
        <w:spacing w:before="240" w:after="0" w:line="240" w:lineRule="auto"/>
        <w:rPr>
          <w:rFonts w:asciiTheme="minorHAnsi" w:hAnsiTheme="minorHAnsi" w:cstheme="minorHAnsi"/>
        </w:rPr>
      </w:pPr>
      <w:r w:rsidRPr="00EB1FA5">
        <w:rPr>
          <w:rFonts w:asciiTheme="minorHAnsi" w:hAnsiTheme="minorHAnsi" w:cstheme="minorHAnsi"/>
        </w:rPr>
        <w:t xml:space="preserve">Par </w:t>
      </w:r>
      <w:proofErr w:type="spellStart"/>
      <w:r w:rsidRPr="00EB1FA5">
        <w:rPr>
          <w:rFonts w:asciiTheme="minorHAnsi" w:hAnsiTheme="minorHAnsi" w:cstheme="minorHAnsi"/>
        </w:rPr>
        <w:t>courrier</w:t>
      </w:r>
      <w:proofErr w:type="spellEnd"/>
      <w:r w:rsidRPr="00EB1FA5">
        <w:rPr>
          <w:rFonts w:asciiTheme="minorHAnsi" w:hAnsiTheme="minorHAnsi" w:cstheme="minorHAnsi"/>
        </w:rPr>
        <w:t xml:space="preserve"> postal à </w:t>
      </w:r>
      <w:proofErr w:type="spellStart"/>
      <w:proofErr w:type="gramStart"/>
      <w:r w:rsidRPr="00EB1FA5">
        <w:rPr>
          <w:rFonts w:asciiTheme="minorHAnsi" w:hAnsiTheme="minorHAnsi" w:cstheme="minorHAnsi"/>
        </w:rPr>
        <w:t>l’adresse</w:t>
      </w:r>
      <w:proofErr w:type="spellEnd"/>
      <w:r w:rsidRPr="00EB1FA5">
        <w:rPr>
          <w:rFonts w:asciiTheme="minorHAnsi" w:hAnsiTheme="minorHAnsi" w:cstheme="minorHAnsi"/>
        </w:rPr>
        <w:t xml:space="preserve"> :</w:t>
      </w:r>
      <w:proofErr w:type="gramEnd"/>
      <w:r>
        <w:rPr>
          <w:rFonts w:asciiTheme="minorHAnsi" w:hAnsiTheme="minorHAnsi" w:cstheme="minorHAnsi"/>
        </w:rPr>
        <w:t xml:space="preserve"> </w:t>
      </w:r>
      <w:r w:rsidR="00FB6BEB" w:rsidRPr="00FB6BEB">
        <w:rPr>
          <w:rFonts w:asciiTheme="minorHAnsi" w:hAnsiTheme="minorHAnsi" w:cstheme="minorHAnsi"/>
        </w:rPr>
        <w:t>Corporate Communication and Media Relations Branch Department of Social Services, GPO Box 9820, Canberra ACT 2601</w:t>
      </w:r>
    </w:p>
    <w:p w14:paraId="271427AA" w14:textId="77777777" w:rsidR="00BE6FD4" w:rsidRDefault="00BE6FD4">
      <w:pPr>
        <w:sectPr w:rsidR="00BE6FD4" w:rsidSect="00BE6FD4">
          <w:footerReference w:type="default" r:id="rId11"/>
          <w:pgSz w:w="11906" w:h="16838" w:code="9"/>
          <w:pgMar w:top="1440" w:right="1440" w:bottom="1440" w:left="1440" w:header="706" w:footer="706" w:gutter="0"/>
          <w:pgNumType w:fmt="upperRoman" w:start="2"/>
          <w:cols w:space="708"/>
          <w:docGrid w:linePitch="360"/>
        </w:sectPr>
      </w:pPr>
    </w:p>
    <w:p w14:paraId="1C3930AC" w14:textId="0ADFB5B3" w:rsidR="008C13A0" w:rsidRDefault="00697A0E" w:rsidP="008C13A0">
      <w:pPr>
        <w:pStyle w:val="Heading1"/>
      </w:pPr>
      <w:bookmarkStart w:id="0" w:name="_Toc153226818"/>
      <w:r w:rsidRPr="00697A0E">
        <w:lastRenderedPageBreak/>
        <w:t xml:space="preserve">Table des </w:t>
      </w:r>
      <w:proofErr w:type="spellStart"/>
      <w:r w:rsidRPr="00697A0E">
        <w:t>matières</w:t>
      </w:r>
      <w:bookmarkEnd w:id="0"/>
      <w:proofErr w:type="spellEnd"/>
    </w:p>
    <w:sdt>
      <w:sdtPr>
        <w:rPr>
          <w:b/>
          <w:bCs/>
        </w:rPr>
        <w:id w:val="-202179485"/>
        <w:docPartObj>
          <w:docPartGallery w:val="Table of Contents"/>
          <w:docPartUnique/>
        </w:docPartObj>
      </w:sdtPr>
      <w:sdtEndPr>
        <w:rPr>
          <w:b w:val="0"/>
          <w:bCs w:val="0"/>
          <w:noProof/>
        </w:rPr>
      </w:sdtEndPr>
      <w:sdtContent>
        <w:p w14:paraId="21D3FFEB" w14:textId="58FC159D" w:rsidR="00615ADD" w:rsidRDefault="008E5C12" w:rsidP="00615ADD">
          <w:pPr>
            <w:rPr>
              <w:rFonts w:asciiTheme="minorHAnsi" w:eastAsiaTheme="minorEastAsia" w:hAnsiTheme="minorHAnsi"/>
              <w:noProof/>
              <w:lang w:val="en-US"/>
            </w:rPr>
          </w:pPr>
          <w:r>
            <w:fldChar w:fldCharType="begin"/>
          </w:r>
          <w:r>
            <w:instrText xml:space="preserve"> TOC \o "1-3" \h \z \u </w:instrText>
          </w:r>
          <w:r>
            <w:fldChar w:fldCharType="separate"/>
          </w:r>
        </w:p>
        <w:p w14:paraId="5D0D9D35" w14:textId="77777777" w:rsidR="00615ADD" w:rsidRDefault="00DF1353">
          <w:pPr>
            <w:pStyle w:val="TOC1"/>
            <w:tabs>
              <w:tab w:val="right" w:leader="dot" w:pos="9016"/>
            </w:tabs>
            <w:rPr>
              <w:rFonts w:asciiTheme="minorHAnsi" w:eastAsiaTheme="minorEastAsia" w:hAnsiTheme="minorHAnsi"/>
              <w:noProof/>
              <w:lang w:val="en-US"/>
            </w:rPr>
          </w:pPr>
          <w:hyperlink w:anchor="_Toc153226819" w:history="1">
            <w:r w:rsidR="00615ADD" w:rsidRPr="00B347AF">
              <w:rPr>
                <w:rStyle w:val="Hyperlink"/>
                <w:noProof/>
              </w:rPr>
              <w:t>Introduction</w:t>
            </w:r>
            <w:r w:rsidR="00615ADD">
              <w:rPr>
                <w:noProof/>
                <w:webHidden/>
              </w:rPr>
              <w:tab/>
            </w:r>
            <w:r w:rsidR="00615ADD">
              <w:rPr>
                <w:noProof/>
                <w:webHidden/>
              </w:rPr>
              <w:fldChar w:fldCharType="begin"/>
            </w:r>
            <w:r w:rsidR="00615ADD">
              <w:rPr>
                <w:noProof/>
                <w:webHidden/>
              </w:rPr>
              <w:instrText xml:space="preserve"> PAGEREF _Toc153226819 \h </w:instrText>
            </w:r>
            <w:r w:rsidR="00615ADD">
              <w:rPr>
                <w:noProof/>
                <w:webHidden/>
              </w:rPr>
            </w:r>
            <w:r w:rsidR="00615ADD">
              <w:rPr>
                <w:noProof/>
                <w:webHidden/>
              </w:rPr>
              <w:fldChar w:fldCharType="separate"/>
            </w:r>
            <w:r w:rsidR="00615ADD">
              <w:rPr>
                <w:noProof/>
                <w:webHidden/>
              </w:rPr>
              <w:t>2</w:t>
            </w:r>
            <w:r w:rsidR="00615ADD">
              <w:rPr>
                <w:noProof/>
                <w:webHidden/>
              </w:rPr>
              <w:fldChar w:fldCharType="end"/>
            </w:r>
          </w:hyperlink>
        </w:p>
        <w:p w14:paraId="6E54D4FD" w14:textId="77777777" w:rsidR="00615ADD" w:rsidRDefault="00DF1353">
          <w:pPr>
            <w:pStyle w:val="TOC1"/>
            <w:tabs>
              <w:tab w:val="right" w:leader="dot" w:pos="9016"/>
            </w:tabs>
            <w:rPr>
              <w:rFonts w:asciiTheme="minorHAnsi" w:eastAsiaTheme="minorEastAsia" w:hAnsiTheme="minorHAnsi"/>
              <w:noProof/>
              <w:lang w:val="en-US"/>
            </w:rPr>
          </w:pPr>
          <w:hyperlink w:anchor="_Toc153226820" w:history="1">
            <w:r w:rsidR="00615ADD" w:rsidRPr="00B347AF">
              <w:rPr>
                <w:rStyle w:val="Hyperlink"/>
                <w:noProof/>
                <w:lang w:val="fr-FR"/>
              </w:rPr>
              <w:t>Progrès au niveau national</w:t>
            </w:r>
            <w:r w:rsidR="00615ADD">
              <w:rPr>
                <w:noProof/>
                <w:webHidden/>
              </w:rPr>
              <w:tab/>
            </w:r>
            <w:r w:rsidR="00615ADD">
              <w:rPr>
                <w:noProof/>
                <w:webHidden/>
              </w:rPr>
              <w:fldChar w:fldCharType="begin"/>
            </w:r>
            <w:r w:rsidR="00615ADD">
              <w:rPr>
                <w:noProof/>
                <w:webHidden/>
              </w:rPr>
              <w:instrText xml:space="preserve"> PAGEREF _Toc153226820 \h </w:instrText>
            </w:r>
            <w:r w:rsidR="00615ADD">
              <w:rPr>
                <w:noProof/>
                <w:webHidden/>
              </w:rPr>
            </w:r>
            <w:r w:rsidR="00615ADD">
              <w:rPr>
                <w:noProof/>
                <w:webHidden/>
              </w:rPr>
              <w:fldChar w:fldCharType="separate"/>
            </w:r>
            <w:r w:rsidR="00615ADD">
              <w:rPr>
                <w:noProof/>
                <w:webHidden/>
              </w:rPr>
              <w:t>5</w:t>
            </w:r>
            <w:r w:rsidR="00615ADD">
              <w:rPr>
                <w:noProof/>
                <w:webHidden/>
              </w:rPr>
              <w:fldChar w:fldCharType="end"/>
            </w:r>
          </w:hyperlink>
        </w:p>
        <w:p w14:paraId="477BECD7" w14:textId="77777777" w:rsidR="00615ADD" w:rsidRDefault="00DF1353">
          <w:pPr>
            <w:pStyle w:val="TOC1"/>
            <w:tabs>
              <w:tab w:val="right" w:leader="dot" w:pos="9016"/>
            </w:tabs>
            <w:rPr>
              <w:rFonts w:asciiTheme="minorHAnsi" w:eastAsiaTheme="minorEastAsia" w:hAnsiTheme="minorHAnsi"/>
              <w:noProof/>
              <w:lang w:val="en-US"/>
            </w:rPr>
          </w:pPr>
          <w:hyperlink w:anchor="_Toc153226821" w:history="1">
            <w:r w:rsidR="00615ADD" w:rsidRPr="00B347AF">
              <w:rPr>
                <w:rStyle w:val="Hyperlink"/>
                <w:noProof/>
                <w:lang w:val="fr-FR"/>
              </w:rPr>
              <w:t>Plan d’actions ciblé Emploi</w:t>
            </w:r>
            <w:r w:rsidR="00615ADD">
              <w:rPr>
                <w:noProof/>
                <w:webHidden/>
              </w:rPr>
              <w:tab/>
            </w:r>
            <w:r w:rsidR="00615ADD">
              <w:rPr>
                <w:noProof/>
                <w:webHidden/>
              </w:rPr>
              <w:fldChar w:fldCharType="begin"/>
            </w:r>
            <w:r w:rsidR="00615ADD">
              <w:rPr>
                <w:noProof/>
                <w:webHidden/>
              </w:rPr>
              <w:instrText xml:space="preserve"> PAGEREF _Toc153226821 \h </w:instrText>
            </w:r>
            <w:r w:rsidR="00615ADD">
              <w:rPr>
                <w:noProof/>
                <w:webHidden/>
              </w:rPr>
            </w:r>
            <w:r w:rsidR="00615ADD">
              <w:rPr>
                <w:noProof/>
                <w:webHidden/>
              </w:rPr>
              <w:fldChar w:fldCharType="separate"/>
            </w:r>
            <w:r w:rsidR="00615ADD">
              <w:rPr>
                <w:noProof/>
                <w:webHidden/>
              </w:rPr>
              <w:t>8</w:t>
            </w:r>
            <w:r w:rsidR="00615ADD">
              <w:rPr>
                <w:noProof/>
                <w:webHidden/>
              </w:rPr>
              <w:fldChar w:fldCharType="end"/>
            </w:r>
          </w:hyperlink>
        </w:p>
        <w:p w14:paraId="737536B7" w14:textId="77777777" w:rsidR="00615ADD" w:rsidRDefault="00DF1353">
          <w:pPr>
            <w:pStyle w:val="TOC1"/>
            <w:tabs>
              <w:tab w:val="right" w:leader="dot" w:pos="9016"/>
            </w:tabs>
            <w:rPr>
              <w:rFonts w:asciiTheme="minorHAnsi" w:eastAsiaTheme="minorEastAsia" w:hAnsiTheme="minorHAnsi"/>
              <w:noProof/>
              <w:lang w:val="en-US"/>
            </w:rPr>
          </w:pPr>
          <w:hyperlink w:anchor="_Toc153226824" w:history="1">
            <w:r w:rsidR="00615ADD" w:rsidRPr="00B347AF">
              <w:rPr>
                <w:rStyle w:val="Hyperlink"/>
                <w:noProof/>
              </w:rPr>
              <w:t>Plan d’actions ciblé Attitudes des communautés</w:t>
            </w:r>
            <w:r w:rsidR="00615ADD">
              <w:rPr>
                <w:noProof/>
                <w:webHidden/>
              </w:rPr>
              <w:tab/>
            </w:r>
            <w:r w:rsidR="00615ADD">
              <w:rPr>
                <w:noProof/>
                <w:webHidden/>
              </w:rPr>
              <w:fldChar w:fldCharType="begin"/>
            </w:r>
            <w:r w:rsidR="00615ADD">
              <w:rPr>
                <w:noProof/>
                <w:webHidden/>
              </w:rPr>
              <w:instrText xml:space="preserve"> PAGEREF _Toc153226824 \h </w:instrText>
            </w:r>
            <w:r w:rsidR="00615ADD">
              <w:rPr>
                <w:noProof/>
                <w:webHidden/>
              </w:rPr>
            </w:r>
            <w:r w:rsidR="00615ADD">
              <w:rPr>
                <w:noProof/>
                <w:webHidden/>
              </w:rPr>
              <w:fldChar w:fldCharType="separate"/>
            </w:r>
            <w:r w:rsidR="00615ADD">
              <w:rPr>
                <w:noProof/>
                <w:webHidden/>
              </w:rPr>
              <w:t>10</w:t>
            </w:r>
            <w:r w:rsidR="00615ADD">
              <w:rPr>
                <w:noProof/>
                <w:webHidden/>
              </w:rPr>
              <w:fldChar w:fldCharType="end"/>
            </w:r>
          </w:hyperlink>
        </w:p>
        <w:p w14:paraId="7D151686" w14:textId="77777777" w:rsidR="00615ADD" w:rsidRDefault="00DF1353">
          <w:pPr>
            <w:pStyle w:val="TOC1"/>
            <w:tabs>
              <w:tab w:val="right" w:leader="dot" w:pos="9016"/>
            </w:tabs>
            <w:rPr>
              <w:rFonts w:asciiTheme="minorHAnsi" w:eastAsiaTheme="minorEastAsia" w:hAnsiTheme="minorHAnsi"/>
              <w:noProof/>
              <w:lang w:val="en-US"/>
            </w:rPr>
          </w:pPr>
          <w:hyperlink w:anchor="_Toc153226827" w:history="1">
            <w:r w:rsidR="00615ADD" w:rsidRPr="00B347AF">
              <w:rPr>
                <w:rStyle w:val="Hyperlink"/>
                <w:noProof/>
                <w:lang w:val="fr-FR"/>
              </w:rPr>
              <w:t>Plan d’actions ciblé Petite enfance</w:t>
            </w:r>
            <w:r w:rsidR="00615ADD">
              <w:rPr>
                <w:noProof/>
                <w:webHidden/>
              </w:rPr>
              <w:tab/>
            </w:r>
            <w:r w:rsidR="00615ADD">
              <w:rPr>
                <w:noProof/>
                <w:webHidden/>
              </w:rPr>
              <w:fldChar w:fldCharType="begin"/>
            </w:r>
            <w:r w:rsidR="00615ADD">
              <w:rPr>
                <w:noProof/>
                <w:webHidden/>
              </w:rPr>
              <w:instrText xml:space="preserve"> PAGEREF _Toc153226827 \h </w:instrText>
            </w:r>
            <w:r w:rsidR="00615ADD">
              <w:rPr>
                <w:noProof/>
                <w:webHidden/>
              </w:rPr>
            </w:r>
            <w:r w:rsidR="00615ADD">
              <w:rPr>
                <w:noProof/>
                <w:webHidden/>
              </w:rPr>
              <w:fldChar w:fldCharType="separate"/>
            </w:r>
            <w:r w:rsidR="00615ADD">
              <w:rPr>
                <w:noProof/>
                <w:webHidden/>
              </w:rPr>
              <w:t>13</w:t>
            </w:r>
            <w:r w:rsidR="00615ADD">
              <w:rPr>
                <w:noProof/>
                <w:webHidden/>
              </w:rPr>
              <w:fldChar w:fldCharType="end"/>
            </w:r>
          </w:hyperlink>
        </w:p>
        <w:p w14:paraId="00FED6B9" w14:textId="77777777" w:rsidR="00615ADD" w:rsidRDefault="00DF1353">
          <w:pPr>
            <w:pStyle w:val="TOC1"/>
            <w:tabs>
              <w:tab w:val="right" w:leader="dot" w:pos="9016"/>
            </w:tabs>
            <w:rPr>
              <w:rFonts w:asciiTheme="minorHAnsi" w:eastAsiaTheme="minorEastAsia" w:hAnsiTheme="minorHAnsi"/>
              <w:noProof/>
              <w:lang w:val="en-US"/>
            </w:rPr>
          </w:pPr>
          <w:hyperlink w:anchor="_Toc153226830" w:history="1">
            <w:r w:rsidR="00615ADD" w:rsidRPr="00B347AF">
              <w:rPr>
                <w:rStyle w:val="Hyperlink"/>
                <w:noProof/>
                <w:lang w:val="fr-FR"/>
              </w:rPr>
              <w:t>Plan d’action ciblé Sécurité</w:t>
            </w:r>
            <w:r w:rsidR="00615ADD">
              <w:rPr>
                <w:noProof/>
                <w:webHidden/>
              </w:rPr>
              <w:tab/>
            </w:r>
            <w:r w:rsidR="00615ADD">
              <w:rPr>
                <w:noProof/>
                <w:webHidden/>
              </w:rPr>
              <w:fldChar w:fldCharType="begin"/>
            </w:r>
            <w:r w:rsidR="00615ADD">
              <w:rPr>
                <w:noProof/>
                <w:webHidden/>
              </w:rPr>
              <w:instrText xml:space="preserve"> PAGEREF _Toc153226830 \h </w:instrText>
            </w:r>
            <w:r w:rsidR="00615ADD">
              <w:rPr>
                <w:noProof/>
                <w:webHidden/>
              </w:rPr>
            </w:r>
            <w:r w:rsidR="00615ADD">
              <w:rPr>
                <w:noProof/>
                <w:webHidden/>
              </w:rPr>
              <w:fldChar w:fldCharType="separate"/>
            </w:r>
            <w:r w:rsidR="00615ADD">
              <w:rPr>
                <w:noProof/>
                <w:webHidden/>
              </w:rPr>
              <w:t>15</w:t>
            </w:r>
            <w:r w:rsidR="00615ADD">
              <w:rPr>
                <w:noProof/>
                <w:webHidden/>
              </w:rPr>
              <w:fldChar w:fldCharType="end"/>
            </w:r>
          </w:hyperlink>
        </w:p>
        <w:p w14:paraId="1855E85D" w14:textId="77777777" w:rsidR="00615ADD" w:rsidRDefault="00DF1353">
          <w:pPr>
            <w:pStyle w:val="TOC1"/>
            <w:tabs>
              <w:tab w:val="right" w:leader="dot" w:pos="9016"/>
            </w:tabs>
            <w:rPr>
              <w:rFonts w:asciiTheme="minorHAnsi" w:eastAsiaTheme="minorEastAsia" w:hAnsiTheme="minorHAnsi"/>
              <w:noProof/>
              <w:lang w:val="en-US"/>
            </w:rPr>
          </w:pPr>
          <w:hyperlink w:anchor="_Toc153226833" w:history="1">
            <w:r w:rsidR="00615ADD" w:rsidRPr="00B347AF">
              <w:rPr>
                <w:rStyle w:val="Hyperlink"/>
                <w:noProof/>
                <w:lang w:val="fr-FR"/>
              </w:rPr>
              <w:t>Plan d’actions ciblé Gestion des situations d’urgence</w:t>
            </w:r>
            <w:r w:rsidR="00615ADD">
              <w:rPr>
                <w:noProof/>
                <w:webHidden/>
              </w:rPr>
              <w:tab/>
            </w:r>
            <w:r w:rsidR="00615ADD">
              <w:rPr>
                <w:noProof/>
                <w:webHidden/>
              </w:rPr>
              <w:fldChar w:fldCharType="begin"/>
            </w:r>
            <w:r w:rsidR="00615ADD">
              <w:rPr>
                <w:noProof/>
                <w:webHidden/>
              </w:rPr>
              <w:instrText xml:space="preserve"> PAGEREF _Toc153226833 \h </w:instrText>
            </w:r>
            <w:r w:rsidR="00615ADD">
              <w:rPr>
                <w:noProof/>
                <w:webHidden/>
              </w:rPr>
            </w:r>
            <w:r w:rsidR="00615ADD">
              <w:rPr>
                <w:noProof/>
                <w:webHidden/>
              </w:rPr>
              <w:fldChar w:fldCharType="separate"/>
            </w:r>
            <w:r w:rsidR="00615ADD">
              <w:rPr>
                <w:noProof/>
                <w:webHidden/>
              </w:rPr>
              <w:t>17</w:t>
            </w:r>
            <w:r w:rsidR="00615ADD">
              <w:rPr>
                <w:noProof/>
                <w:webHidden/>
              </w:rPr>
              <w:fldChar w:fldCharType="end"/>
            </w:r>
          </w:hyperlink>
        </w:p>
        <w:p w14:paraId="69C2EC45" w14:textId="77777777" w:rsidR="00615ADD" w:rsidRDefault="00DF1353">
          <w:pPr>
            <w:pStyle w:val="TOC1"/>
            <w:tabs>
              <w:tab w:val="right" w:leader="dot" w:pos="9016"/>
            </w:tabs>
            <w:rPr>
              <w:rFonts w:asciiTheme="minorHAnsi" w:eastAsiaTheme="minorEastAsia" w:hAnsiTheme="minorHAnsi"/>
              <w:noProof/>
              <w:lang w:val="en-US"/>
            </w:rPr>
          </w:pPr>
          <w:hyperlink w:anchor="_Toc153226836" w:history="1">
            <w:r w:rsidR="00615ADD" w:rsidRPr="00B347AF">
              <w:rPr>
                <w:rStyle w:val="Hyperlink"/>
                <w:noProof/>
                <w:lang w:val="fr-FR"/>
              </w:rPr>
              <w:t>Actions mises en pratique</w:t>
            </w:r>
            <w:r w:rsidR="00615ADD">
              <w:rPr>
                <w:noProof/>
                <w:webHidden/>
              </w:rPr>
              <w:tab/>
            </w:r>
            <w:r w:rsidR="00615ADD">
              <w:rPr>
                <w:noProof/>
                <w:webHidden/>
              </w:rPr>
              <w:fldChar w:fldCharType="begin"/>
            </w:r>
            <w:r w:rsidR="00615ADD">
              <w:rPr>
                <w:noProof/>
                <w:webHidden/>
              </w:rPr>
              <w:instrText xml:space="preserve"> PAGEREF _Toc153226836 \h </w:instrText>
            </w:r>
            <w:r w:rsidR="00615ADD">
              <w:rPr>
                <w:noProof/>
                <w:webHidden/>
              </w:rPr>
            </w:r>
            <w:r w:rsidR="00615ADD">
              <w:rPr>
                <w:noProof/>
                <w:webHidden/>
              </w:rPr>
              <w:fldChar w:fldCharType="separate"/>
            </w:r>
            <w:r w:rsidR="00615ADD">
              <w:rPr>
                <w:noProof/>
                <w:webHidden/>
              </w:rPr>
              <w:t>19</w:t>
            </w:r>
            <w:r w:rsidR="00615ADD">
              <w:rPr>
                <w:noProof/>
                <w:webHidden/>
              </w:rPr>
              <w:fldChar w:fldCharType="end"/>
            </w:r>
          </w:hyperlink>
        </w:p>
        <w:p w14:paraId="75EF0D32" w14:textId="77777777" w:rsidR="00615ADD" w:rsidRDefault="00DF1353">
          <w:pPr>
            <w:pStyle w:val="TOC2"/>
            <w:tabs>
              <w:tab w:val="right" w:leader="dot" w:pos="9016"/>
            </w:tabs>
            <w:rPr>
              <w:rFonts w:cstheme="minorBidi"/>
              <w:noProof/>
            </w:rPr>
          </w:pPr>
          <w:hyperlink w:anchor="_Toc153226837" w:history="1">
            <w:r w:rsidR="00615ADD" w:rsidRPr="00B347AF">
              <w:rPr>
                <w:rStyle w:val="Hyperlink"/>
                <w:noProof/>
                <w:lang w:val="fr-FR"/>
              </w:rPr>
              <w:t>Emploi de personnes en situation de handicap dans le secteur public de l’État du Queensland</w:t>
            </w:r>
            <w:r w:rsidR="00615ADD">
              <w:rPr>
                <w:noProof/>
                <w:webHidden/>
              </w:rPr>
              <w:tab/>
            </w:r>
            <w:r w:rsidR="00615ADD">
              <w:rPr>
                <w:noProof/>
                <w:webHidden/>
              </w:rPr>
              <w:fldChar w:fldCharType="begin"/>
            </w:r>
            <w:r w:rsidR="00615ADD">
              <w:rPr>
                <w:noProof/>
                <w:webHidden/>
              </w:rPr>
              <w:instrText xml:space="preserve"> PAGEREF _Toc153226837 \h </w:instrText>
            </w:r>
            <w:r w:rsidR="00615ADD">
              <w:rPr>
                <w:noProof/>
                <w:webHidden/>
              </w:rPr>
            </w:r>
            <w:r w:rsidR="00615ADD">
              <w:rPr>
                <w:noProof/>
                <w:webHidden/>
              </w:rPr>
              <w:fldChar w:fldCharType="separate"/>
            </w:r>
            <w:r w:rsidR="00615ADD">
              <w:rPr>
                <w:noProof/>
                <w:webHidden/>
              </w:rPr>
              <w:t>20</w:t>
            </w:r>
            <w:r w:rsidR="00615ADD">
              <w:rPr>
                <w:noProof/>
                <w:webHidden/>
              </w:rPr>
              <w:fldChar w:fldCharType="end"/>
            </w:r>
          </w:hyperlink>
        </w:p>
        <w:p w14:paraId="6EDA3A36" w14:textId="77777777" w:rsidR="00615ADD" w:rsidRDefault="00DF1353">
          <w:pPr>
            <w:pStyle w:val="TOC2"/>
            <w:tabs>
              <w:tab w:val="right" w:leader="dot" w:pos="9016"/>
            </w:tabs>
            <w:rPr>
              <w:rFonts w:cstheme="minorBidi"/>
              <w:noProof/>
            </w:rPr>
          </w:pPr>
          <w:hyperlink w:anchor="_Toc153226838" w:history="1">
            <w:r w:rsidR="00615ADD" w:rsidRPr="00B347AF">
              <w:rPr>
                <w:rStyle w:val="Hyperlink"/>
                <w:noProof/>
                <w:lang w:val="fr-FR"/>
              </w:rPr>
              <w:t>Programmes pilotes pour l’emploi</w:t>
            </w:r>
            <w:r w:rsidR="00615ADD">
              <w:rPr>
                <w:noProof/>
                <w:webHidden/>
              </w:rPr>
              <w:tab/>
            </w:r>
            <w:r w:rsidR="00615ADD">
              <w:rPr>
                <w:noProof/>
                <w:webHidden/>
              </w:rPr>
              <w:fldChar w:fldCharType="begin"/>
            </w:r>
            <w:r w:rsidR="00615ADD">
              <w:rPr>
                <w:noProof/>
                <w:webHidden/>
              </w:rPr>
              <w:instrText xml:space="preserve"> PAGEREF _Toc153226838 \h </w:instrText>
            </w:r>
            <w:r w:rsidR="00615ADD">
              <w:rPr>
                <w:noProof/>
                <w:webHidden/>
              </w:rPr>
            </w:r>
            <w:r w:rsidR="00615ADD">
              <w:rPr>
                <w:noProof/>
                <w:webHidden/>
              </w:rPr>
              <w:fldChar w:fldCharType="separate"/>
            </w:r>
            <w:r w:rsidR="00615ADD">
              <w:rPr>
                <w:noProof/>
                <w:webHidden/>
              </w:rPr>
              <w:t>22</w:t>
            </w:r>
            <w:r w:rsidR="00615ADD">
              <w:rPr>
                <w:noProof/>
                <w:webHidden/>
              </w:rPr>
              <w:fldChar w:fldCharType="end"/>
            </w:r>
          </w:hyperlink>
        </w:p>
        <w:p w14:paraId="44F81DFB" w14:textId="77777777" w:rsidR="00615ADD" w:rsidRDefault="00DF1353">
          <w:pPr>
            <w:pStyle w:val="TOC2"/>
            <w:tabs>
              <w:tab w:val="right" w:leader="dot" w:pos="9016"/>
            </w:tabs>
            <w:rPr>
              <w:rFonts w:cstheme="minorBidi"/>
              <w:noProof/>
            </w:rPr>
          </w:pPr>
          <w:hyperlink w:anchor="_Toc153226839" w:history="1">
            <w:r w:rsidR="00615ADD" w:rsidRPr="00B347AF">
              <w:rPr>
                <w:rStyle w:val="Hyperlink"/>
                <w:noProof/>
                <w:lang w:val="fr-FR"/>
              </w:rPr>
              <w:t>Commissaire au handicap de Tasmanie</w:t>
            </w:r>
            <w:r w:rsidR="00615ADD">
              <w:rPr>
                <w:noProof/>
                <w:webHidden/>
              </w:rPr>
              <w:tab/>
            </w:r>
            <w:r w:rsidR="00615ADD">
              <w:rPr>
                <w:noProof/>
                <w:webHidden/>
              </w:rPr>
              <w:fldChar w:fldCharType="begin"/>
            </w:r>
            <w:r w:rsidR="00615ADD">
              <w:rPr>
                <w:noProof/>
                <w:webHidden/>
              </w:rPr>
              <w:instrText xml:space="preserve"> PAGEREF _Toc153226839 \h </w:instrText>
            </w:r>
            <w:r w:rsidR="00615ADD">
              <w:rPr>
                <w:noProof/>
                <w:webHidden/>
              </w:rPr>
            </w:r>
            <w:r w:rsidR="00615ADD">
              <w:rPr>
                <w:noProof/>
                <w:webHidden/>
              </w:rPr>
              <w:fldChar w:fldCharType="separate"/>
            </w:r>
            <w:r w:rsidR="00615ADD">
              <w:rPr>
                <w:noProof/>
                <w:webHidden/>
              </w:rPr>
              <w:t>23</w:t>
            </w:r>
            <w:r w:rsidR="00615ADD">
              <w:rPr>
                <w:noProof/>
                <w:webHidden/>
              </w:rPr>
              <w:fldChar w:fldCharType="end"/>
            </w:r>
          </w:hyperlink>
        </w:p>
        <w:p w14:paraId="7DA30377" w14:textId="77777777" w:rsidR="00615ADD" w:rsidRDefault="00DF1353">
          <w:pPr>
            <w:pStyle w:val="TOC2"/>
            <w:tabs>
              <w:tab w:val="right" w:leader="dot" w:pos="9016"/>
            </w:tabs>
            <w:rPr>
              <w:rFonts w:cstheme="minorBidi"/>
              <w:noProof/>
            </w:rPr>
          </w:pPr>
          <w:hyperlink w:anchor="_Toc153226840" w:history="1">
            <w:r w:rsidR="00615ADD" w:rsidRPr="00B347AF">
              <w:rPr>
                <w:rStyle w:val="Hyperlink"/>
                <w:noProof/>
                <w:lang w:val="fr-FR"/>
              </w:rPr>
              <w:t>Atelier « Grandir différemment » sur le thème de l’éducation des enfants</w:t>
            </w:r>
            <w:r w:rsidR="00615ADD">
              <w:rPr>
                <w:noProof/>
                <w:webHidden/>
              </w:rPr>
              <w:tab/>
            </w:r>
            <w:r w:rsidR="00615ADD">
              <w:rPr>
                <w:noProof/>
                <w:webHidden/>
              </w:rPr>
              <w:fldChar w:fldCharType="begin"/>
            </w:r>
            <w:r w:rsidR="00615ADD">
              <w:rPr>
                <w:noProof/>
                <w:webHidden/>
              </w:rPr>
              <w:instrText xml:space="preserve"> PAGEREF _Toc153226840 \h </w:instrText>
            </w:r>
            <w:r w:rsidR="00615ADD">
              <w:rPr>
                <w:noProof/>
                <w:webHidden/>
              </w:rPr>
            </w:r>
            <w:r w:rsidR="00615ADD">
              <w:rPr>
                <w:noProof/>
                <w:webHidden/>
              </w:rPr>
              <w:fldChar w:fldCharType="separate"/>
            </w:r>
            <w:r w:rsidR="00615ADD">
              <w:rPr>
                <w:noProof/>
                <w:webHidden/>
              </w:rPr>
              <w:t>25</w:t>
            </w:r>
            <w:r w:rsidR="00615ADD">
              <w:rPr>
                <w:noProof/>
                <w:webHidden/>
              </w:rPr>
              <w:fldChar w:fldCharType="end"/>
            </w:r>
          </w:hyperlink>
        </w:p>
        <w:p w14:paraId="71C8F1E6" w14:textId="77777777" w:rsidR="00615ADD" w:rsidRDefault="00DF1353">
          <w:pPr>
            <w:pStyle w:val="TOC2"/>
            <w:tabs>
              <w:tab w:val="right" w:leader="dot" w:pos="9016"/>
            </w:tabs>
            <w:rPr>
              <w:rFonts w:cstheme="minorBidi"/>
              <w:noProof/>
            </w:rPr>
          </w:pPr>
          <w:hyperlink w:anchor="_Toc153226841" w:history="1">
            <w:r w:rsidR="00615ADD" w:rsidRPr="00B347AF">
              <w:rPr>
                <w:rStyle w:val="Hyperlink"/>
                <w:noProof/>
                <w:lang w:val="fr-FR"/>
              </w:rPr>
              <w:t>Programme ACFC (Aboriginal Child and Family Centre, Centres des familles et enfants aborigènes)</w:t>
            </w:r>
            <w:r w:rsidR="00615ADD">
              <w:rPr>
                <w:noProof/>
                <w:webHidden/>
              </w:rPr>
              <w:tab/>
            </w:r>
            <w:r w:rsidR="00615ADD">
              <w:rPr>
                <w:noProof/>
                <w:webHidden/>
              </w:rPr>
              <w:fldChar w:fldCharType="begin"/>
            </w:r>
            <w:r w:rsidR="00615ADD">
              <w:rPr>
                <w:noProof/>
                <w:webHidden/>
              </w:rPr>
              <w:instrText xml:space="preserve"> PAGEREF _Toc153226841 \h </w:instrText>
            </w:r>
            <w:r w:rsidR="00615ADD">
              <w:rPr>
                <w:noProof/>
                <w:webHidden/>
              </w:rPr>
            </w:r>
            <w:r w:rsidR="00615ADD">
              <w:rPr>
                <w:noProof/>
                <w:webHidden/>
              </w:rPr>
              <w:fldChar w:fldCharType="separate"/>
            </w:r>
            <w:r w:rsidR="00615ADD">
              <w:rPr>
                <w:noProof/>
                <w:webHidden/>
              </w:rPr>
              <w:t>26</w:t>
            </w:r>
            <w:r w:rsidR="00615ADD">
              <w:rPr>
                <w:noProof/>
                <w:webHidden/>
              </w:rPr>
              <w:fldChar w:fldCharType="end"/>
            </w:r>
          </w:hyperlink>
        </w:p>
        <w:p w14:paraId="44F5068E" w14:textId="77777777" w:rsidR="00615ADD" w:rsidRDefault="00DF1353">
          <w:pPr>
            <w:pStyle w:val="TOC2"/>
            <w:tabs>
              <w:tab w:val="right" w:leader="dot" w:pos="9016"/>
            </w:tabs>
            <w:rPr>
              <w:rFonts w:cstheme="minorBidi"/>
              <w:noProof/>
            </w:rPr>
          </w:pPr>
          <w:hyperlink w:anchor="_Toc153226842" w:history="1">
            <w:r w:rsidR="00615ADD" w:rsidRPr="00B347AF">
              <w:rPr>
                <w:rStyle w:val="Hyperlink"/>
                <w:noProof/>
                <w:lang w:val="fr-FR"/>
              </w:rPr>
              <w:t>Soutien aux comportements et réduction et élimination des pratiques restrictives</w:t>
            </w:r>
            <w:r w:rsidR="00615ADD">
              <w:rPr>
                <w:noProof/>
                <w:webHidden/>
              </w:rPr>
              <w:tab/>
            </w:r>
            <w:r w:rsidR="00615ADD">
              <w:rPr>
                <w:noProof/>
                <w:webHidden/>
              </w:rPr>
              <w:fldChar w:fldCharType="begin"/>
            </w:r>
            <w:r w:rsidR="00615ADD">
              <w:rPr>
                <w:noProof/>
                <w:webHidden/>
              </w:rPr>
              <w:instrText xml:space="preserve"> PAGEREF _Toc153226842 \h </w:instrText>
            </w:r>
            <w:r w:rsidR="00615ADD">
              <w:rPr>
                <w:noProof/>
                <w:webHidden/>
              </w:rPr>
            </w:r>
            <w:r w:rsidR="00615ADD">
              <w:rPr>
                <w:noProof/>
                <w:webHidden/>
              </w:rPr>
              <w:fldChar w:fldCharType="separate"/>
            </w:r>
            <w:r w:rsidR="00615ADD">
              <w:rPr>
                <w:noProof/>
                <w:webHidden/>
              </w:rPr>
              <w:t>28</w:t>
            </w:r>
            <w:r w:rsidR="00615ADD">
              <w:rPr>
                <w:noProof/>
                <w:webHidden/>
              </w:rPr>
              <w:fldChar w:fldCharType="end"/>
            </w:r>
          </w:hyperlink>
        </w:p>
        <w:p w14:paraId="07095520" w14:textId="77777777" w:rsidR="00615ADD" w:rsidRDefault="00DF1353">
          <w:pPr>
            <w:pStyle w:val="TOC2"/>
            <w:tabs>
              <w:tab w:val="right" w:leader="dot" w:pos="9016"/>
            </w:tabs>
            <w:rPr>
              <w:rFonts w:cstheme="minorBidi"/>
              <w:noProof/>
            </w:rPr>
          </w:pPr>
          <w:hyperlink w:anchor="_Toc153226843" w:history="1">
            <w:r w:rsidR="00615ADD" w:rsidRPr="00B347AF">
              <w:rPr>
                <w:rStyle w:val="Hyperlink"/>
                <w:noProof/>
                <w:lang w:val="fr-FR"/>
              </w:rPr>
              <w:t>Participation des prestataires de services dans le domaine du handicap aux réunions de gestion des situations d’urgence</w:t>
            </w:r>
            <w:r w:rsidR="00615ADD">
              <w:rPr>
                <w:noProof/>
                <w:webHidden/>
              </w:rPr>
              <w:tab/>
            </w:r>
            <w:r w:rsidR="00615ADD">
              <w:rPr>
                <w:noProof/>
                <w:webHidden/>
              </w:rPr>
              <w:fldChar w:fldCharType="begin"/>
            </w:r>
            <w:r w:rsidR="00615ADD">
              <w:rPr>
                <w:noProof/>
                <w:webHidden/>
              </w:rPr>
              <w:instrText xml:space="preserve"> PAGEREF _Toc153226843 \h </w:instrText>
            </w:r>
            <w:r w:rsidR="00615ADD">
              <w:rPr>
                <w:noProof/>
                <w:webHidden/>
              </w:rPr>
            </w:r>
            <w:r w:rsidR="00615ADD">
              <w:rPr>
                <w:noProof/>
                <w:webHidden/>
              </w:rPr>
              <w:fldChar w:fldCharType="separate"/>
            </w:r>
            <w:r w:rsidR="00615ADD">
              <w:rPr>
                <w:noProof/>
                <w:webHidden/>
              </w:rPr>
              <w:t>30</w:t>
            </w:r>
            <w:r w:rsidR="00615ADD">
              <w:rPr>
                <w:noProof/>
                <w:webHidden/>
              </w:rPr>
              <w:fldChar w:fldCharType="end"/>
            </w:r>
          </w:hyperlink>
        </w:p>
        <w:p w14:paraId="0C135072" w14:textId="77777777" w:rsidR="00615ADD" w:rsidRDefault="00DF1353">
          <w:pPr>
            <w:pStyle w:val="TOC2"/>
            <w:tabs>
              <w:tab w:val="right" w:leader="dot" w:pos="9016"/>
            </w:tabs>
            <w:rPr>
              <w:rFonts w:cstheme="minorBidi"/>
              <w:noProof/>
            </w:rPr>
          </w:pPr>
          <w:hyperlink w:anchor="_Toc153226844" w:history="1">
            <w:r w:rsidR="00615ADD" w:rsidRPr="00B347AF">
              <w:rPr>
                <w:rStyle w:val="Hyperlink"/>
                <w:noProof/>
                <w:lang w:val="fr-FR"/>
              </w:rPr>
              <w:t>Initiative de réponse aux crises et aux violences domestiques sur des personnes en situation de handicap</w:t>
            </w:r>
            <w:r w:rsidR="00615ADD">
              <w:rPr>
                <w:noProof/>
                <w:webHidden/>
              </w:rPr>
              <w:tab/>
            </w:r>
            <w:r w:rsidR="00615ADD">
              <w:rPr>
                <w:noProof/>
                <w:webHidden/>
              </w:rPr>
              <w:fldChar w:fldCharType="begin"/>
            </w:r>
            <w:r w:rsidR="00615ADD">
              <w:rPr>
                <w:noProof/>
                <w:webHidden/>
              </w:rPr>
              <w:instrText xml:space="preserve"> PAGEREF _Toc153226844 \h </w:instrText>
            </w:r>
            <w:r w:rsidR="00615ADD">
              <w:rPr>
                <w:noProof/>
                <w:webHidden/>
              </w:rPr>
            </w:r>
            <w:r w:rsidR="00615ADD">
              <w:rPr>
                <w:noProof/>
                <w:webHidden/>
              </w:rPr>
              <w:fldChar w:fldCharType="separate"/>
            </w:r>
            <w:r w:rsidR="00615ADD">
              <w:rPr>
                <w:noProof/>
                <w:webHidden/>
              </w:rPr>
              <w:t>32</w:t>
            </w:r>
            <w:r w:rsidR="00615ADD">
              <w:rPr>
                <w:noProof/>
                <w:webHidden/>
              </w:rPr>
              <w:fldChar w:fldCharType="end"/>
            </w:r>
          </w:hyperlink>
        </w:p>
        <w:p w14:paraId="5C01D225" w14:textId="77777777" w:rsidR="00615ADD" w:rsidRDefault="00DF1353">
          <w:pPr>
            <w:pStyle w:val="TOC2"/>
            <w:tabs>
              <w:tab w:val="right" w:leader="dot" w:pos="9016"/>
            </w:tabs>
            <w:rPr>
              <w:rFonts w:cstheme="minorBidi"/>
              <w:noProof/>
            </w:rPr>
          </w:pPr>
          <w:hyperlink w:anchor="_Toc153226845" w:history="1">
            <w:r w:rsidR="00615ADD" w:rsidRPr="00B347AF">
              <w:rPr>
                <w:rStyle w:val="Hyperlink"/>
                <w:noProof/>
                <w:lang w:val="fr-FR"/>
              </w:rPr>
              <w:t>Assistance et hébergements d’urgence accessibles</w:t>
            </w:r>
            <w:r w:rsidR="00615ADD">
              <w:rPr>
                <w:noProof/>
                <w:webHidden/>
              </w:rPr>
              <w:tab/>
            </w:r>
            <w:r w:rsidR="00615ADD">
              <w:rPr>
                <w:noProof/>
                <w:webHidden/>
              </w:rPr>
              <w:fldChar w:fldCharType="begin"/>
            </w:r>
            <w:r w:rsidR="00615ADD">
              <w:rPr>
                <w:noProof/>
                <w:webHidden/>
              </w:rPr>
              <w:instrText xml:space="preserve"> PAGEREF _Toc153226845 \h </w:instrText>
            </w:r>
            <w:r w:rsidR="00615ADD">
              <w:rPr>
                <w:noProof/>
                <w:webHidden/>
              </w:rPr>
            </w:r>
            <w:r w:rsidR="00615ADD">
              <w:rPr>
                <w:noProof/>
                <w:webHidden/>
              </w:rPr>
              <w:fldChar w:fldCharType="separate"/>
            </w:r>
            <w:r w:rsidR="00615ADD">
              <w:rPr>
                <w:noProof/>
                <w:webHidden/>
              </w:rPr>
              <w:t>33</w:t>
            </w:r>
            <w:r w:rsidR="00615ADD">
              <w:rPr>
                <w:noProof/>
                <w:webHidden/>
              </w:rPr>
              <w:fldChar w:fldCharType="end"/>
            </w:r>
          </w:hyperlink>
        </w:p>
        <w:p w14:paraId="4CE7C024" w14:textId="77777777" w:rsidR="00615ADD" w:rsidRDefault="00DF1353">
          <w:pPr>
            <w:pStyle w:val="TOC2"/>
            <w:tabs>
              <w:tab w:val="right" w:leader="dot" w:pos="9016"/>
            </w:tabs>
            <w:rPr>
              <w:rFonts w:cstheme="minorBidi"/>
              <w:noProof/>
            </w:rPr>
          </w:pPr>
          <w:hyperlink w:anchor="_Toc153226846" w:history="1">
            <w:r w:rsidR="00615ADD" w:rsidRPr="00B347AF">
              <w:rPr>
                <w:rStyle w:val="Hyperlink"/>
                <w:noProof/>
                <w:lang w:val="fr-FR"/>
              </w:rPr>
              <w:t>Programme d’intermédiaires de l’ACT</w:t>
            </w:r>
            <w:r w:rsidR="00615ADD">
              <w:rPr>
                <w:noProof/>
                <w:webHidden/>
              </w:rPr>
              <w:tab/>
            </w:r>
            <w:r w:rsidR="00615ADD">
              <w:rPr>
                <w:noProof/>
                <w:webHidden/>
              </w:rPr>
              <w:fldChar w:fldCharType="begin"/>
            </w:r>
            <w:r w:rsidR="00615ADD">
              <w:rPr>
                <w:noProof/>
                <w:webHidden/>
              </w:rPr>
              <w:instrText xml:space="preserve"> PAGEREF _Toc153226846 \h </w:instrText>
            </w:r>
            <w:r w:rsidR="00615ADD">
              <w:rPr>
                <w:noProof/>
                <w:webHidden/>
              </w:rPr>
            </w:r>
            <w:r w:rsidR="00615ADD">
              <w:rPr>
                <w:noProof/>
                <w:webHidden/>
              </w:rPr>
              <w:fldChar w:fldCharType="separate"/>
            </w:r>
            <w:r w:rsidR="00615ADD">
              <w:rPr>
                <w:noProof/>
                <w:webHidden/>
              </w:rPr>
              <w:t>34</w:t>
            </w:r>
            <w:r w:rsidR="00615ADD">
              <w:rPr>
                <w:noProof/>
                <w:webHidden/>
              </w:rPr>
              <w:fldChar w:fldCharType="end"/>
            </w:r>
          </w:hyperlink>
        </w:p>
        <w:p w14:paraId="71C2F1BA" w14:textId="77777777" w:rsidR="00615ADD" w:rsidRDefault="00DF1353">
          <w:pPr>
            <w:pStyle w:val="TOC2"/>
            <w:tabs>
              <w:tab w:val="right" w:leader="dot" w:pos="9016"/>
            </w:tabs>
            <w:rPr>
              <w:rFonts w:cstheme="minorBidi"/>
              <w:noProof/>
            </w:rPr>
          </w:pPr>
          <w:hyperlink w:anchor="_Toc153226847" w:history="1">
            <w:r w:rsidR="00615ADD" w:rsidRPr="00B347AF">
              <w:rPr>
                <w:rStyle w:val="Hyperlink"/>
                <w:noProof/>
                <w:lang w:val="fr-FR"/>
              </w:rPr>
              <w:t>Programme d’atténuation des risques face aux catastrophes inclusive du handicap</w:t>
            </w:r>
            <w:r w:rsidR="00615ADD">
              <w:rPr>
                <w:noProof/>
                <w:webHidden/>
              </w:rPr>
              <w:tab/>
            </w:r>
            <w:r w:rsidR="00615ADD">
              <w:rPr>
                <w:noProof/>
                <w:webHidden/>
              </w:rPr>
              <w:fldChar w:fldCharType="begin"/>
            </w:r>
            <w:r w:rsidR="00615ADD">
              <w:rPr>
                <w:noProof/>
                <w:webHidden/>
              </w:rPr>
              <w:instrText xml:space="preserve"> PAGEREF _Toc153226847 \h </w:instrText>
            </w:r>
            <w:r w:rsidR="00615ADD">
              <w:rPr>
                <w:noProof/>
                <w:webHidden/>
              </w:rPr>
            </w:r>
            <w:r w:rsidR="00615ADD">
              <w:rPr>
                <w:noProof/>
                <w:webHidden/>
              </w:rPr>
              <w:fldChar w:fldCharType="separate"/>
            </w:r>
            <w:r w:rsidR="00615ADD">
              <w:rPr>
                <w:noProof/>
                <w:webHidden/>
              </w:rPr>
              <w:t>35</w:t>
            </w:r>
            <w:r w:rsidR="00615ADD">
              <w:rPr>
                <w:noProof/>
                <w:webHidden/>
              </w:rPr>
              <w:fldChar w:fldCharType="end"/>
            </w:r>
          </w:hyperlink>
        </w:p>
        <w:p w14:paraId="5EC065CD" w14:textId="77777777" w:rsidR="00615ADD" w:rsidRDefault="00DF1353" w:rsidP="00615ADD">
          <w:pPr>
            <w:pStyle w:val="TOC2"/>
            <w:tabs>
              <w:tab w:val="right" w:leader="dot" w:pos="9016"/>
            </w:tabs>
            <w:ind w:left="0"/>
            <w:rPr>
              <w:rFonts w:cstheme="minorBidi"/>
              <w:noProof/>
            </w:rPr>
          </w:pPr>
          <w:hyperlink w:anchor="_Toc153226848" w:history="1">
            <w:r w:rsidR="00615ADD" w:rsidRPr="00B347AF">
              <w:rPr>
                <w:rStyle w:val="Hyperlink"/>
                <w:noProof/>
                <w:lang w:val="fr-FR"/>
              </w:rPr>
              <w:t>Présentation des avancées réalisées depuis le 3 décembre 2021</w:t>
            </w:r>
            <w:r w:rsidR="00615ADD">
              <w:rPr>
                <w:noProof/>
                <w:webHidden/>
              </w:rPr>
              <w:tab/>
            </w:r>
            <w:r w:rsidR="00615ADD">
              <w:rPr>
                <w:noProof/>
                <w:webHidden/>
              </w:rPr>
              <w:fldChar w:fldCharType="begin"/>
            </w:r>
            <w:r w:rsidR="00615ADD">
              <w:rPr>
                <w:noProof/>
                <w:webHidden/>
              </w:rPr>
              <w:instrText xml:space="preserve"> PAGEREF _Toc153226848 \h </w:instrText>
            </w:r>
            <w:r w:rsidR="00615ADD">
              <w:rPr>
                <w:noProof/>
                <w:webHidden/>
              </w:rPr>
            </w:r>
            <w:r w:rsidR="00615ADD">
              <w:rPr>
                <w:noProof/>
                <w:webHidden/>
              </w:rPr>
              <w:fldChar w:fldCharType="separate"/>
            </w:r>
            <w:r w:rsidR="00615ADD">
              <w:rPr>
                <w:noProof/>
                <w:webHidden/>
              </w:rPr>
              <w:t>37</w:t>
            </w:r>
            <w:r w:rsidR="00615ADD">
              <w:rPr>
                <w:noProof/>
                <w:webHidden/>
              </w:rPr>
              <w:fldChar w:fldCharType="end"/>
            </w:r>
          </w:hyperlink>
        </w:p>
        <w:p w14:paraId="19B538F8" w14:textId="5EE02AD1" w:rsidR="008E5C12" w:rsidRDefault="008E5C12">
          <w:r>
            <w:rPr>
              <w:b/>
              <w:bCs/>
              <w:noProof/>
            </w:rPr>
            <w:fldChar w:fldCharType="end"/>
          </w:r>
        </w:p>
      </w:sdtContent>
    </w:sdt>
    <w:p w14:paraId="384D5BE4" w14:textId="77777777" w:rsidR="00881AEF" w:rsidRDefault="00881AEF">
      <w:r>
        <w:br w:type="page"/>
      </w:r>
    </w:p>
    <w:p w14:paraId="0ACB0E80" w14:textId="77777777" w:rsidR="00881AEF" w:rsidRPr="008C13A0" w:rsidRDefault="00881AEF" w:rsidP="008C13A0">
      <w:pPr>
        <w:pStyle w:val="Heading1"/>
      </w:pPr>
      <w:bookmarkStart w:id="1" w:name="_Toc153226819"/>
      <w:r w:rsidRPr="008C13A0">
        <w:lastRenderedPageBreak/>
        <w:t>Introduction</w:t>
      </w:r>
      <w:bookmarkEnd w:id="1"/>
    </w:p>
    <w:p w14:paraId="03EC5996" w14:textId="77777777" w:rsidR="00697A0E" w:rsidRPr="00697A0E" w:rsidRDefault="00697A0E" w:rsidP="00697A0E">
      <w:pPr>
        <w:spacing w:before="240" w:after="240" w:line="240" w:lineRule="auto"/>
        <w:rPr>
          <w:color w:val="6C1740"/>
          <w:sz w:val="36"/>
          <w:szCs w:val="36"/>
        </w:rPr>
      </w:pPr>
      <w:r w:rsidRPr="00697A0E">
        <w:rPr>
          <w:color w:val="6C1740"/>
          <w:sz w:val="36"/>
          <w:szCs w:val="36"/>
        </w:rPr>
        <w:t xml:space="preserve">La </w:t>
      </w:r>
      <w:proofErr w:type="spellStart"/>
      <w:r w:rsidRPr="00697A0E">
        <w:rPr>
          <w:color w:val="6C1740"/>
          <w:sz w:val="36"/>
          <w:szCs w:val="36"/>
        </w:rPr>
        <w:t>Stratégie</w:t>
      </w:r>
      <w:proofErr w:type="spellEnd"/>
      <w:r w:rsidRPr="00697A0E">
        <w:rPr>
          <w:color w:val="6C1740"/>
          <w:sz w:val="36"/>
          <w:szCs w:val="36"/>
        </w:rPr>
        <w:t xml:space="preserve"> </w:t>
      </w:r>
      <w:proofErr w:type="spellStart"/>
      <w:r w:rsidRPr="00697A0E">
        <w:rPr>
          <w:color w:val="6C1740"/>
          <w:sz w:val="36"/>
          <w:szCs w:val="36"/>
        </w:rPr>
        <w:t>australienne</w:t>
      </w:r>
      <w:proofErr w:type="spellEnd"/>
      <w:r w:rsidRPr="00697A0E">
        <w:rPr>
          <w:color w:val="6C1740"/>
          <w:sz w:val="36"/>
          <w:szCs w:val="36"/>
        </w:rPr>
        <w:t xml:space="preserve"> en </w:t>
      </w:r>
      <w:proofErr w:type="spellStart"/>
      <w:r w:rsidRPr="00697A0E">
        <w:rPr>
          <w:color w:val="6C1740"/>
          <w:sz w:val="36"/>
          <w:szCs w:val="36"/>
        </w:rPr>
        <w:t>matière</w:t>
      </w:r>
      <w:proofErr w:type="spellEnd"/>
      <w:r w:rsidRPr="00697A0E">
        <w:rPr>
          <w:color w:val="6C1740"/>
          <w:sz w:val="36"/>
          <w:szCs w:val="36"/>
        </w:rPr>
        <w:t xml:space="preserve"> de handicap 2021-2031 (Australia’s Disability Strategy 2021-2031 </w:t>
      </w:r>
      <w:proofErr w:type="spellStart"/>
      <w:r w:rsidRPr="00697A0E">
        <w:rPr>
          <w:color w:val="6C1740"/>
          <w:sz w:val="36"/>
          <w:szCs w:val="36"/>
        </w:rPr>
        <w:t>ou</w:t>
      </w:r>
      <w:proofErr w:type="spellEnd"/>
      <w:r w:rsidRPr="00697A0E">
        <w:rPr>
          <w:color w:val="6C1740"/>
          <w:sz w:val="36"/>
          <w:szCs w:val="36"/>
        </w:rPr>
        <w:t xml:space="preserve"> ADS) (la </w:t>
      </w:r>
      <w:proofErr w:type="spellStart"/>
      <w:r w:rsidRPr="00697A0E">
        <w:rPr>
          <w:color w:val="6C1740"/>
          <w:sz w:val="36"/>
          <w:szCs w:val="36"/>
        </w:rPr>
        <w:t>Stratégie</w:t>
      </w:r>
      <w:proofErr w:type="spellEnd"/>
      <w:r w:rsidRPr="00697A0E">
        <w:rPr>
          <w:color w:val="6C1740"/>
          <w:sz w:val="36"/>
          <w:szCs w:val="36"/>
        </w:rPr>
        <w:t xml:space="preserve">) </w:t>
      </w:r>
      <w:proofErr w:type="spellStart"/>
      <w:r w:rsidRPr="00697A0E">
        <w:rPr>
          <w:color w:val="6C1740"/>
          <w:sz w:val="36"/>
          <w:szCs w:val="36"/>
        </w:rPr>
        <w:t>présente</w:t>
      </w:r>
      <w:proofErr w:type="spellEnd"/>
      <w:r w:rsidRPr="00697A0E">
        <w:rPr>
          <w:color w:val="6C1740"/>
          <w:sz w:val="36"/>
          <w:szCs w:val="36"/>
        </w:rPr>
        <w:t xml:space="preserve"> </w:t>
      </w:r>
      <w:proofErr w:type="gramStart"/>
      <w:r w:rsidRPr="00697A0E">
        <w:rPr>
          <w:color w:val="6C1740"/>
          <w:sz w:val="36"/>
          <w:szCs w:val="36"/>
        </w:rPr>
        <w:t>un</w:t>
      </w:r>
      <w:proofErr w:type="gramEnd"/>
      <w:r w:rsidRPr="00697A0E">
        <w:rPr>
          <w:color w:val="6C1740"/>
          <w:sz w:val="36"/>
          <w:szCs w:val="36"/>
        </w:rPr>
        <w:t xml:space="preserve"> plan </w:t>
      </w:r>
      <w:proofErr w:type="spellStart"/>
      <w:r w:rsidRPr="00697A0E">
        <w:rPr>
          <w:color w:val="6C1740"/>
          <w:sz w:val="36"/>
          <w:szCs w:val="36"/>
        </w:rPr>
        <w:t>décennal</w:t>
      </w:r>
      <w:proofErr w:type="spellEnd"/>
      <w:r w:rsidRPr="00697A0E">
        <w:rPr>
          <w:color w:val="6C1740"/>
          <w:sz w:val="36"/>
          <w:szCs w:val="36"/>
        </w:rPr>
        <w:t xml:space="preserve"> </w:t>
      </w:r>
      <w:proofErr w:type="spellStart"/>
      <w:r w:rsidRPr="00697A0E">
        <w:rPr>
          <w:color w:val="6C1740"/>
          <w:sz w:val="36"/>
          <w:szCs w:val="36"/>
        </w:rPr>
        <w:t>visant</w:t>
      </w:r>
      <w:proofErr w:type="spellEnd"/>
      <w:r w:rsidRPr="00697A0E">
        <w:rPr>
          <w:color w:val="6C1740"/>
          <w:sz w:val="36"/>
          <w:szCs w:val="36"/>
        </w:rPr>
        <w:t xml:space="preserve"> à changer la vie des </w:t>
      </w:r>
      <w:proofErr w:type="spellStart"/>
      <w:r w:rsidRPr="00697A0E">
        <w:rPr>
          <w:color w:val="6C1740"/>
          <w:sz w:val="36"/>
          <w:szCs w:val="36"/>
        </w:rPr>
        <w:t>personnes</w:t>
      </w:r>
      <w:proofErr w:type="spellEnd"/>
      <w:r w:rsidRPr="00697A0E">
        <w:rPr>
          <w:color w:val="6C1740"/>
          <w:sz w:val="36"/>
          <w:szCs w:val="36"/>
        </w:rPr>
        <w:t xml:space="preserve"> en situation de handicap. </w:t>
      </w:r>
    </w:p>
    <w:p w14:paraId="1D358751" w14:textId="77777777" w:rsidR="00697A0E" w:rsidRPr="00697A0E" w:rsidRDefault="00697A0E" w:rsidP="00697A0E">
      <w:pPr>
        <w:spacing w:before="240" w:after="240" w:line="240" w:lineRule="auto"/>
        <w:rPr>
          <w:color w:val="6C1740"/>
          <w:sz w:val="36"/>
          <w:szCs w:val="36"/>
        </w:rPr>
      </w:pPr>
      <w:proofErr w:type="spellStart"/>
      <w:r w:rsidRPr="00697A0E">
        <w:rPr>
          <w:color w:val="6C1740"/>
          <w:sz w:val="36"/>
          <w:szCs w:val="36"/>
        </w:rPr>
        <w:t>Dans</w:t>
      </w:r>
      <w:proofErr w:type="spellEnd"/>
      <w:r w:rsidRPr="00697A0E">
        <w:rPr>
          <w:color w:val="6C1740"/>
          <w:sz w:val="36"/>
          <w:szCs w:val="36"/>
        </w:rPr>
        <w:t xml:space="preserve"> le cadre de </w:t>
      </w:r>
      <w:proofErr w:type="spellStart"/>
      <w:r w:rsidRPr="00697A0E">
        <w:rPr>
          <w:color w:val="6C1740"/>
          <w:sz w:val="36"/>
          <w:szCs w:val="36"/>
        </w:rPr>
        <w:t>cette</w:t>
      </w:r>
      <w:proofErr w:type="spellEnd"/>
      <w:r w:rsidRPr="00697A0E">
        <w:rPr>
          <w:color w:val="6C1740"/>
          <w:sz w:val="36"/>
          <w:szCs w:val="36"/>
        </w:rPr>
        <w:t xml:space="preserve"> </w:t>
      </w:r>
      <w:proofErr w:type="spellStart"/>
      <w:r w:rsidRPr="00697A0E">
        <w:rPr>
          <w:color w:val="6C1740"/>
          <w:sz w:val="36"/>
          <w:szCs w:val="36"/>
        </w:rPr>
        <w:t>Stratégie</w:t>
      </w:r>
      <w:proofErr w:type="spellEnd"/>
      <w:r w:rsidRPr="00697A0E">
        <w:rPr>
          <w:color w:val="6C1740"/>
          <w:sz w:val="36"/>
          <w:szCs w:val="36"/>
        </w:rPr>
        <w:t xml:space="preserve">, les Plans </w:t>
      </w:r>
      <w:proofErr w:type="spellStart"/>
      <w:r w:rsidRPr="00697A0E">
        <w:rPr>
          <w:color w:val="6C1740"/>
          <w:sz w:val="36"/>
          <w:szCs w:val="36"/>
        </w:rPr>
        <w:t>d’actions</w:t>
      </w:r>
      <w:proofErr w:type="spellEnd"/>
      <w:r w:rsidRPr="00697A0E">
        <w:rPr>
          <w:color w:val="6C1740"/>
          <w:sz w:val="36"/>
          <w:szCs w:val="36"/>
        </w:rPr>
        <w:t xml:space="preserve"> </w:t>
      </w:r>
      <w:proofErr w:type="spellStart"/>
      <w:r w:rsidRPr="00697A0E">
        <w:rPr>
          <w:color w:val="6C1740"/>
          <w:sz w:val="36"/>
          <w:szCs w:val="36"/>
        </w:rPr>
        <w:t>ciblés</w:t>
      </w:r>
      <w:proofErr w:type="spellEnd"/>
      <w:r w:rsidRPr="00697A0E">
        <w:rPr>
          <w:color w:val="6C1740"/>
          <w:sz w:val="36"/>
          <w:szCs w:val="36"/>
        </w:rPr>
        <w:t xml:space="preserve"> (PAC) </w:t>
      </w:r>
      <w:proofErr w:type="spellStart"/>
      <w:r w:rsidRPr="00697A0E">
        <w:rPr>
          <w:color w:val="6C1740"/>
          <w:sz w:val="36"/>
          <w:szCs w:val="36"/>
        </w:rPr>
        <w:t>fixent</w:t>
      </w:r>
      <w:proofErr w:type="spellEnd"/>
      <w:r w:rsidRPr="00697A0E">
        <w:rPr>
          <w:color w:val="6C1740"/>
          <w:sz w:val="36"/>
          <w:szCs w:val="36"/>
        </w:rPr>
        <w:t xml:space="preserve"> </w:t>
      </w:r>
      <w:proofErr w:type="spellStart"/>
      <w:r w:rsidRPr="00697A0E">
        <w:rPr>
          <w:color w:val="6C1740"/>
          <w:sz w:val="36"/>
          <w:szCs w:val="36"/>
        </w:rPr>
        <w:t>une</w:t>
      </w:r>
      <w:proofErr w:type="spellEnd"/>
      <w:r w:rsidRPr="00697A0E">
        <w:rPr>
          <w:color w:val="6C1740"/>
          <w:sz w:val="36"/>
          <w:szCs w:val="36"/>
        </w:rPr>
        <w:t xml:space="preserve"> </w:t>
      </w:r>
      <w:proofErr w:type="spellStart"/>
      <w:r w:rsidRPr="00697A0E">
        <w:rPr>
          <w:color w:val="6C1740"/>
          <w:sz w:val="36"/>
          <w:szCs w:val="36"/>
        </w:rPr>
        <w:t>période</w:t>
      </w:r>
      <w:proofErr w:type="spellEnd"/>
      <w:r w:rsidRPr="00697A0E">
        <w:rPr>
          <w:color w:val="6C1740"/>
          <w:sz w:val="36"/>
          <w:szCs w:val="36"/>
        </w:rPr>
        <w:t xml:space="preserve"> </w:t>
      </w:r>
      <w:proofErr w:type="spellStart"/>
      <w:r w:rsidRPr="00697A0E">
        <w:rPr>
          <w:color w:val="6C1740"/>
          <w:sz w:val="36"/>
          <w:szCs w:val="36"/>
        </w:rPr>
        <w:t>allant</w:t>
      </w:r>
      <w:proofErr w:type="spellEnd"/>
      <w:r w:rsidRPr="00697A0E">
        <w:rPr>
          <w:color w:val="6C1740"/>
          <w:sz w:val="36"/>
          <w:szCs w:val="36"/>
        </w:rPr>
        <w:t xml:space="preserve"> de </w:t>
      </w:r>
      <w:proofErr w:type="gramStart"/>
      <w:r w:rsidRPr="00697A0E">
        <w:rPr>
          <w:color w:val="6C1740"/>
          <w:sz w:val="36"/>
          <w:szCs w:val="36"/>
        </w:rPr>
        <w:t>un</w:t>
      </w:r>
      <w:proofErr w:type="gramEnd"/>
      <w:r w:rsidRPr="00697A0E">
        <w:rPr>
          <w:color w:val="6C1740"/>
          <w:sz w:val="36"/>
          <w:szCs w:val="36"/>
        </w:rPr>
        <w:t xml:space="preserve"> à </w:t>
      </w:r>
      <w:proofErr w:type="spellStart"/>
      <w:r w:rsidRPr="00697A0E">
        <w:rPr>
          <w:color w:val="6C1740"/>
          <w:sz w:val="36"/>
          <w:szCs w:val="36"/>
        </w:rPr>
        <w:t>trois</w:t>
      </w:r>
      <w:proofErr w:type="spellEnd"/>
      <w:r w:rsidRPr="00697A0E">
        <w:rPr>
          <w:color w:val="6C1740"/>
          <w:sz w:val="36"/>
          <w:szCs w:val="36"/>
        </w:rPr>
        <w:t xml:space="preserve"> </w:t>
      </w:r>
      <w:proofErr w:type="spellStart"/>
      <w:r w:rsidRPr="00697A0E">
        <w:rPr>
          <w:color w:val="6C1740"/>
          <w:sz w:val="36"/>
          <w:szCs w:val="36"/>
        </w:rPr>
        <w:t>ans</w:t>
      </w:r>
      <w:proofErr w:type="spellEnd"/>
      <w:r w:rsidRPr="00697A0E">
        <w:rPr>
          <w:color w:val="6C1740"/>
          <w:sz w:val="36"/>
          <w:szCs w:val="36"/>
        </w:rPr>
        <w:t xml:space="preserve"> pour </w:t>
      </w:r>
      <w:proofErr w:type="spellStart"/>
      <w:r w:rsidRPr="00697A0E">
        <w:rPr>
          <w:color w:val="6C1740"/>
          <w:sz w:val="36"/>
          <w:szCs w:val="36"/>
        </w:rPr>
        <w:t>obtenir</w:t>
      </w:r>
      <w:proofErr w:type="spellEnd"/>
      <w:r w:rsidRPr="00697A0E">
        <w:rPr>
          <w:color w:val="6C1740"/>
          <w:sz w:val="36"/>
          <w:szCs w:val="36"/>
        </w:rPr>
        <w:t xml:space="preserve"> des </w:t>
      </w:r>
      <w:proofErr w:type="spellStart"/>
      <w:r w:rsidRPr="00697A0E">
        <w:rPr>
          <w:color w:val="6C1740"/>
          <w:sz w:val="36"/>
          <w:szCs w:val="36"/>
        </w:rPr>
        <w:t>résultats</w:t>
      </w:r>
      <w:proofErr w:type="spellEnd"/>
      <w:r w:rsidRPr="00697A0E">
        <w:rPr>
          <w:color w:val="6C1740"/>
          <w:sz w:val="36"/>
          <w:szCs w:val="36"/>
        </w:rPr>
        <w:t xml:space="preserve"> </w:t>
      </w:r>
      <w:proofErr w:type="spellStart"/>
      <w:r w:rsidRPr="00697A0E">
        <w:rPr>
          <w:color w:val="6C1740"/>
          <w:sz w:val="36"/>
          <w:szCs w:val="36"/>
        </w:rPr>
        <w:t>spécifiques</w:t>
      </w:r>
      <w:proofErr w:type="spellEnd"/>
      <w:r w:rsidRPr="00697A0E">
        <w:rPr>
          <w:color w:val="6C1740"/>
          <w:sz w:val="36"/>
          <w:szCs w:val="36"/>
        </w:rPr>
        <w:t xml:space="preserve"> </w:t>
      </w:r>
      <w:proofErr w:type="spellStart"/>
      <w:r w:rsidRPr="00697A0E">
        <w:rPr>
          <w:color w:val="6C1740"/>
          <w:sz w:val="36"/>
          <w:szCs w:val="36"/>
        </w:rPr>
        <w:t>améliorant</w:t>
      </w:r>
      <w:proofErr w:type="spellEnd"/>
      <w:r w:rsidRPr="00697A0E">
        <w:rPr>
          <w:color w:val="6C1740"/>
          <w:sz w:val="36"/>
          <w:szCs w:val="36"/>
        </w:rPr>
        <w:t xml:space="preserve"> la vie des </w:t>
      </w:r>
      <w:proofErr w:type="spellStart"/>
      <w:r w:rsidRPr="00697A0E">
        <w:rPr>
          <w:color w:val="6C1740"/>
          <w:sz w:val="36"/>
          <w:szCs w:val="36"/>
        </w:rPr>
        <w:t>personnes</w:t>
      </w:r>
      <w:proofErr w:type="spellEnd"/>
      <w:r w:rsidRPr="00697A0E">
        <w:rPr>
          <w:color w:val="6C1740"/>
          <w:sz w:val="36"/>
          <w:szCs w:val="36"/>
        </w:rPr>
        <w:t xml:space="preserve"> en situation de handicap. </w:t>
      </w:r>
    </w:p>
    <w:p w14:paraId="2994EE44" w14:textId="77777777" w:rsidR="00697A0E" w:rsidRPr="00697A0E" w:rsidRDefault="00697A0E" w:rsidP="00697A0E">
      <w:pPr>
        <w:spacing w:before="240" w:after="240" w:line="240" w:lineRule="auto"/>
        <w:rPr>
          <w:color w:val="6C1740"/>
          <w:sz w:val="36"/>
          <w:szCs w:val="36"/>
        </w:rPr>
      </w:pPr>
      <w:proofErr w:type="spellStart"/>
      <w:r w:rsidRPr="00697A0E">
        <w:rPr>
          <w:color w:val="6C1740"/>
          <w:sz w:val="36"/>
          <w:szCs w:val="36"/>
        </w:rPr>
        <w:t>Chaque</w:t>
      </w:r>
      <w:proofErr w:type="spellEnd"/>
      <w:r w:rsidRPr="00697A0E">
        <w:rPr>
          <w:color w:val="6C1740"/>
          <w:sz w:val="36"/>
          <w:szCs w:val="36"/>
        </w:rPr>
        <w:t xml:space="preserve"> PAC </w:t>
      </w:r>
      <w:proofErr w:type="gramStart"/>
      <w:r w:rsidRPr="00697A0E">
        <w:rPr>
          <w:color w:val="6C1740"/>
          <w:sz w:val="36"/>
          <w:szCs w:val="36"/>
        </w:rPr>
        <w:t>a</w:t>
      </w:r>
      <w:proofErr w:type="gramEnd"/>
      <w:r w:rsidRPr="00697A0E">
        <w:rPr>
          <w:color w:val="6C1740"/>
          <w:sz w:val="36"/>
          <w:szCs w:val="36"/>
        </w:rPr>
        <w:t xml:space="preserve"> </w:t>
      </w:r>
      <w:proofErr w:type="spellStart"/>
      <w:r w:rsidRPr="00697A0E">
        <w:rPr>
          <w:color w:val="6C1740"/>
          <w:sz w:val="36"/>
          <w:szCs w:val="36"/>
        </w:rPr>
        <w:t>été</w:t>
      </w:r>
      <w:proofErr w:type="spellEnd"/>
      <w:r w:rsidRPr="00697A0E">
        <w:rPr>
          <w:color w:val="6C1740"/>
          <w:sz w:val="36"/>
          <w:szCs w:val="36"/>
        </w:rPr>
        <w:t xml:space="preserve"> </w:t>
      </w:r>
      <w:proofErr w:type="spellStart"/>
      <w:r w:rsidRPr="00697A0E">
        <w:rPr>
          <w:color w:val="6C1740"/>
          <w:sz w:val="36"/>
          <w:szCs w:val="36"/>
        </w:rPr>
        <w:t>mandaté</w:t>
      </w:r>
      <w:proofErr w:type="spellEnd"/>
      <w:r w:rsidRPr="00697A0E">
        <w:rPr>
          <w:color w:val="6C1740"/>
          <w:sz w:val="36"/>
          <w:szCs w:val="36"/>
        </w:rPr>
        <w:t xml:space="preserve"> et </w:t>
      </w:r>
      <w:proofErr w:type="spellStart"/>
      <w:r w:rsidRPr="00697A0E">
        <w:rPr>
          <w:color w:val="6C1740"/>
          <w:sz w:val="36"/>
          <w:szCs w:val="36"/>
        </w:rPr>
        <w:t>approuvé</w:t>
      </w:r>
      <w:proofErr w:type="spellEnd"/>
      <w:r w:rsidRPr="00697A0E">
        <w:rPr>
          <w:color w:val="6C1740"/>
          <w:sz w:val="36"/>
          <w:szCs w:val="36"/>
        </w:rPr>
        <w:t xml:space="preserve"> </w:t>
      </w:r>
      <w:proofErr w:type="spellStart"/>
      <w:r w:rsidRPr="00697A0E">
        <w:rPr>
          <w:color w:val="6C1740"/>
          <w:sz w:val="36"/>
          <w:szCs w:val="36"/>
        </w:rPr>
        <w:t>par</w:t>
      </w:r>
      <w:proofErr w:type="spellEnd"/>
      <w:r w:rsidRPr="00697A0E">
        <w:rPr>
          <w:color w:val="6C1740"/>
          <w:sz w:val="36"/>
          <w:szCs w:val="36"/>
        </w:rPr>
        <w:t xml:space="preserve"> </w:t>
      </w:r>
      <w:proofErr w:type="spellStart"/>
      <w:r w:rsidRPr="00697A0E">
        <w:rPr>
          <w:color w:val="6C1740"/>
          <w:sz w:val="36"/>
          <w:szCs w:val="36"/>
        </w:rPr>
        <w:t>l’ensemble</w:t>
      </w:r>
      <w:proofErr w:type="spellEnd"/>
      <w:r w:rsidRPr="00697A0E">
        <w:rPr>
          <w:color w:val="6C1740"/>
          <w:sz w:val="36"/>
          <w:szCs w:val="36"/>
        </w:rPr>
        <w:t xml:space="preserve"> des </w:t>
      </w:r>
      <w:proofErr w:type="spellStart"/>
      <w:r w:rsidRPr="00697A0E">
        <w:rPr>
          <w:color w:val="6C1740"/>
          <w:sz w:val="36"/>
          <w:szCs w:val="36"/>
        </w:rPr>
        <w:t>ministres</w:t>
      </w:r>
      <w:proofErr w:type="spellEnd"/>
      <w:r w:rsidRPr="00697A0E">
        <w:rPr>
          <w:color w:val="6C1740"/>
          <w:sz w:val="36"/>
          <w:szCs w:val="36"/>
        </w:rPr>
        <w:t xml:space="preserve"> </w:t>
      </w:r>
      <w:proofErr w:type="spellStart"/>
      <w:r w:rsidRPr="00697A0E">
        <w:rPr>
          <w:color w:val="6C1740"/>
          <w:sz w:val="36"/>
          <w:szCs w:val="36"/>
        </w:rPr>
        <w:t>australiens</w:t>
      </w:r>
      <w:proofErr w:type="spellEnd"/>
      <w:r w:rsidRPr="00697A0E">
        <w:rPr>
          <w:color w:val="6C1740"/>
          <w:sz w:val="36"/>
          <w:szCs w:val="36"/>
        </w:rPr>
        <w:t xml:space="preserve"> en charge du handicap et </w:t>
      </w:r>
      <w:proofErr w:type="spellStart"/>
      <w:r w:rsidRPr="00697A0E">
        <w:rPr>
          <w:color w:val="6C1740"/>
          <w:sz w:val="36"/>
          <w:szCs w:val="36"/>
        </w:rPr>
        <w:t>inclut</w:t>
      </w:r>
      <w:proofErr w:type="spellEnd"/>
      <w:r w:rsidRPr="00697A0E">
        <w:rPr>
          <w:color w:val="6C1740"/>
          <w:sz w:val="36"/>
          <w:szCs w:val="36"/>
        </w:rPr>
        <w:t xml:space="preserve"> un large </w:t>
      </w:r>
      <w:proofErr w:type="spellStart"/>
      <w:r w:rsidRPr="00697A0E">
        <w:rPr>
          <w:color w:val="6C1740"/>
          <w:sz w:val="36"/>
          <w:szCs w:val="36"/>
        </w:rPr>
        <w:t>éventail</w:t>
      </w:r>
      <w:proofErr w:type="spellEnd"/>
      <w:r w:rsidRPr="00697A0E">
        <w:rPr>
          <w:color w:val="6C1740"/>
          <w:sz w:val="36"/>
          <w:szCs w:val="36"/>
        </w:rPr>
        <w:t xml:space="preserve"> </w:t>
      </w:r>
      <w:proofErr w:type="spellStart"/>
      <w:r w:rsidRPr="00697A0E">
        <w:rPr>
          <w:color w:val="6C1740"/>
          <w:sz w:val="36"/>
          <w:szCs w:val="36"/>
        </w:rPr>
        <w:t>d’actions</w:t>
      </w:r>
      <w:proofErr w:type="spellEnd"/>
      <w:r w:rsidRPr="00697A0E">
        <w:rPr>
          <w:color w:val="6C1740"/>
          <w:sz w:val="36"/>
          <w:szCs w:val="36"/>
        </w:rPr>
        <w:t xml:space="preserve"> </w:t>
      </w:r>
      <w:proofErr w:type="spellStart"/>
      <w:r w:rsidRPr="00697A0E">
        <w:rPr>
          <w:color w:val="6C1740"/>
          <w:sz w:val="36"/>
          <w:szCs w:val="36"/>
        </w:rPr>
        <w:t>ciblées</w:t>
      </w:r>
      <w:proofErr w:type="spellEnd"/>
      <w:r w:rsidRPr="00697A0E">
        <w:rPr>
          <w:color w:val="6C1740"/>
          <w:sz w:val="36"/>
          <w:szCs w:val="36"/>
        </w:rPr>
        <w:t xml:space="preserve"> et </w:t>
      </w:r>
      <w:proofErr w:type="spellStart"/>
      <w:r w:rsidRPr="00697A0E">
        <w:rPr>
          <w:color w:val="6C1740"/>
          <w:sz w:val="36"/>
          <w:szCs w:val="36"/>
        </w:rPr>
        <w:t>coordonnées</w:t>
      </w:r>
      <w:proofErr w:type="spellEnd"/>
      <w:r w:rsidRPr="00697A0E">
        <w:rPr>
          <w:color w:val="6C1740"/>
          <w:sz w:val="36"/>
          <w:szCs w:val="36"/>
        </w:rPr>
        <w:t xml:space="preserve"> </w:t>
      </w:r>
      <w:proofErr w:type="spellStart"/>
      <w:r w:rsidRPr="00697A0E">
        <w:rPr>
          <w:color w:val="6C1740"/>
          <w:sz w:val="36"/>
          <w:szCs w:val="36"/>
        </w:rPr>
        <w:t>émanant</w:t>
      </w:r>
      <w:proofErr w:type="spellEnd"/>
      <w:r w:rsidRPr="00697A0E">
        <w:rPr>
          <w:color w:val="6C1740"/>
          <w:sz w:val="36"/>
          <w:szCs w:val="36"/>
        </w:rPr>
        <w:t xml:space="preserve"> des </w:t>
      </w:r>
      <w:proofErr w:type="spellStart"/>
      <w:r w:rsidRPr="00697A0E">
        <w:rPr>
          <w:color w:val="6C1740"/>
          <w:sz w:val="36"/>
          <w:szCs w:val="36"/>
        </w:rPr>
        <w:t>gouvernements</w:t>
      </w:r>
      <w:proofErr w:type="spellEnd"/>
      <w:r w:rsidRPr="00697A0E">
        <w:rPr>
          <w:color w:val="6C1740"/>
          <w:sz w:val="36"/>
          <w:szCs w:val="36"/>
        </w:rPr>
        <w:t xml:space="preserve">. </w:t>
      </w:r>
    </w:p>
    <w:p w14:paraId="51857740" w14:textId="77777777" w:rsidR="00697A0E" w:rsidRPr="00697A0E" w:rsidRDefault="00697A0E" w:rsidP="00697A0E">
      <w:pPr>
        <w:spacing w:before="240" w:after="240" w:line="240" w:lineRule="auto"/>
        <w:rPr>
          <w:color w:val="6C1740"/>
          <w:sz w:val="36"/>
          <w:szCs w:val="36"/>
        </w:rPr>
      </w:pPr>
      <w:proofErr w:type="gramStart"/>
      <w:r w:rsidRPr="00697A0E">
        <w:rPr>
          <w:color w:val="6C1740"/>
          <w:sz w:val="36"/>
          <w:szCs w:val="36"/>
        </w:rPr>
        <w:t>Il</w:t>
      </w:r>
      <w:proofErr w:type="gramEnd"/>
      <w:r w:rsidRPr="00697A0E">
        <w:rPr>
          <w:color w:val="6C1740"/>
          <w:sz w:val="36"/>
          <w:szCs w:val="36"/>
        </w:rPr>
        <w:t xml:space="preserve"> </w:t>
      </w:r>
      <w:proofErr w:type="spellStart"/>
      <w:r w:rsidRPr="00697A0E">
        <w:rPr>
          <w:color w:val="6C1740"/>
          <w:sz w:val="36"/>
          <w:szCs w:val="36"/>
        </w:rPr>
        <w:t>s’agit</w:t>
      </w:r>
      <w:proofErr w:type="spellEnd"/>
      <w:r w:rsidRPr="00697A0E">
        <w:rPr>
          <w:color w:val="6C1740"/>
          <w:sz w:val="36"/>
          <w:szCs w:val="36"/>
        </w:rPr>
        <w:t xml:space="preserve"> du 2e rapport </w:t>
      </w:r>
      <w:proofErr w:type="spellStart"/>
      <w:r w:rsidRPr="00697A0E">
        <w:rPr>
          <w:color w:val="6C1740"/>
          <w:sz w:val="36"/>
          <w:szCs w:val="36"/>
        </w:rPr>
        <w:t>annuel</w:t>
      </w:r>
      <w:proofErr w:type="spellEnd"/>
      <w:r w:rsidRPr="00697A0E">
        <w:rPr>
          <w:color w:val="6C1740"/>
          <w:sz w:val="36"/>
          <w:szCs w:val="36"/>
        </w:rPr>
        <w:t xml:space="preserve"> </w:t>
      </w:r>
      <w:proofErr w:type="spellStart"/>
      <w:r w:rsidRPr="00697A0E">
        <w:rPr>
          <w:color w:val="6C1740"/>
          <w:sz w:val="36"/>
          <w:szCs w:val="36"/>
        </w:rPr>
        <w:t>relatif</w:t>
      </w:r>
      <w:proofErr w:type="spellEnd"/>
      <w:r w:rsidRPr="00697A0E">
        <w:rPr>
          <w:color w:val="6C1740"/>
          <w:sz w:val="36"/>
          <w:szCs w:val="36"/>
        </w:rPr>
        <w:t xml:space="preserve"> aux Plans </w:t>
      </w:r>
      <w:proofErr w:type="spellStart"/>
      <w:r w:rsidRPr="00697A0E">
        <w:rPr>
          <w:color w:val="6C1740"/>
          <w:sz w:val="36"/>
          <w:szCs w:val="36"/>
        </w:rPr>
        <w:t>d’actions</w:t>
      </w:r>
      <w:proofErr w:type="spellEnd"/>
      <w:r w:rsidRPr="00697A0E">
        <w:rPr>
          <w:color w:val="6C1740"/>
          <w:sz w:val="36"/>
          <w:szCs w:val="36"/>
        </w:rPr>
        <w:t xml:space="preserve"> </w:t>
      </w:r>
      <w:proofErr w:type="spellStart"/>
      <w:r w:rsidRPr="00697A0E">
        <w:rPr>
          <w:color w:val="6C1740"/>
          <w:sz w:val="36"/>
          <w:szCs w:val="36"/>
        </w:rPr>
        <w:t>ciblés</w:t>
      </w:r>
      <w:proofErr w:type="spellEnd"/>
      <w:r w:rsidRPr="00697A0E">
        <w:rPr>
          <w:color w:val="6C1740"/>
          <w:sz w:val="36"/>
          <w:szCs w:val="36"/>
        </w:rPr>
        <w:t xml:space="preserve">. </w:t>
      </w:r>
      <w:proofErr w:type="gramStart"/>
      <w:r w:rsidRPr="00697A0E">
        <w:rPr>
          <w:color w:val="6C1740"/>
          <w:sz w:val="36"/>
          <w:szCs w:val="36"/>
        </w:rPr>
        <w:t>Il</w:t>
      </w:r>
      <w:proofErr w:type="gramEnd"/>
      <w:r w:rsidRPr="00697A0E">
        <w:rPr>
          <w:color w:val="6C1740"/>
          <w:sz w:val="36"/>
          <w:szCs w:val="36"/>
        </w:rPr>
        <w:t xml:space="preserve"> </w:t>
      </w:r>
      <w:proofErr w:type="spellStart"/>
      <w:r w:rsidRPr="00697A0E">
        <w:rPr>
          <w:color w:val="6C1740"/>
          <w:sz w:val="36"/>
          <w:szCs w:val="36"/>
        </w:rPr>
        <w:t>s’inspire</w:t>
      </w:r>
      <w:proofErr w:type="spellEnd"/>
      <w:r w:rsidRPr="00697A0E">
        <w:rPr>
          <w:color w:val="6C1740"/>
          <w:sz w:val="36"/>
          <w:szCs w:val="36"/>
        </w:rPr>
        <w:t xml:space="preserve"> des </w:t>
      </w:r>
      <w:proofErr w:type="spellStart"/>
      <w:r w:rsidRPr="00697A0E">
        <w:rPr>
          <w:color w:val="6C1740"/>
          <w:sz w:val="36"/>
          <w:szCs w:val="36"/>
        </w:rPr>
        <w:t>avancées</w:t>
      </w:r>
      <w:proofErr w:type="spellEnd"/>
      <w:r w:rsidRPr="00697A0E">
        <w:rPr>
          <w:color w:val="6C1740"/>
          <w:sz w:val="36"/>
          <w:szCs w:val="36"/>
        </w:rPr>
        <w:t xml:space="preserve"> </w:t>
      </w:r>
      <w:proofErr w:type="spellStart"/>
      <w:r w:rsidRPr="00697A0E">
        <w:rPr>
          <w:color w:val="6C1740"/>
          <w:sz w:val="36"/>
          <w:szCs w:val="36"/>
        </w:rPr>
        <w:t>réalisées</w:t>
      </w:r>
      <w:proofErr w:type="spellEnd"/>
      <w:r w:rsidRPr="00697A0E">
        <w:rPr>
          <w:color w:val="6C1740"/>
          <w:sz w:val="36"/>
          <w:szCs w:val="36"/>
        </w:rPr>
        <w:t xml:space="preserve"> </w:t>
      </w:r>
      <w:proofErr w:type="spellStart"/>
      <w:r w:rsidRPr="00697A0E">
        <w:rPr>
          <w:color w:val="6C1740"/>
          <w:sz w:val="36"/>
          <w:szCs w:val="36"/>
        </w:rPr>
        <w:t>durant</w:t>
      </w:r>
      <w:proofErr w:type="spellEnd"/>
      <w:r w:rsidRPr="00697A0E">
        <w:rPr>
          <w:color w:val="6C1740"/>
          <w:sz w:val="36"/>
          <w:szCs w:val="36"/>
        </w:rPr>
        <w:t xml:space="preserve"> la première </w:t>
      </w:r>
      <w:proofErr w:type="spellStart"/>
      <w:r w:rsidRPr="00697A0E">
        <w:rPr>
          <w:color w:val="6C1740"/>
          <w:sz w:val="36"/>
          <w:szCs w:val="36"/>
        </w:rPr>
        <w:t>année</w:t>
      </w:r>
      <w:proofErr w:type="spellEnd"/>
      <w:r w:rsidRPr="00697A0E">
        <w:rPr>
          <w:color w:val="6C1740"/>
          <w:sz w:val="36"/>
          <w:szCs w:val="36"/>
        </w:rPr>
        <w:t xml:space="preserve"> de la </w:t>
      </w:r>
      <w:proofErr w:type="spellStart"/>
      <w:r w:rsidRPr="00697A0E">
        <w:rPr>
          <w:color w:val="6C1740"/>
          <w:sz w:val="36"/>
          <w:szCs w:val="36"/>
        </w:rPr>
        <w:t>Stratégie</w:t>
      </w:r>
      <w:proofErr w:type="spellEnd"/>
      <w:r w:rsidRPr="00697A0E">
        <w:rPr>
          <w:color w:val="6C1740"/>
          <w:sz w:val="36"/>
          <w:szCs w:val="36"/>
        </w:rPr>
        <w:t xml:space="preserve"> et </w:t>
      </w:r>
      <w:proofErr w:type="spellStart"/>
      <w:r w:rsidRPr="00697A0E">
        <w:rPr>
          <w:color w:val="6C1740"/>
          <w:sz w:val="36"/>
          <w:szCs w:val="36"/>
        </w:rPr>
        <w:t>couvre</w:t>
      </w:r>
      <w:proofErr w:type="spellEnd"/>
      <w:r w:rsidRPr="00697A0E">
        <w:rPr>
          <w:color w:val="6C1740"/>
          <w:sz w:val="36"/>
          <w:szCs w:val="36"/>
        </w:rPr>
        <w:t xml:space="preserve"> la </w:t>
      </w:r>
      <w:proofErr w:type="spellStart"/>
      <w:r w:rsidRPr="00697A0E">
        <w:rPr>
          <w:color w:val="6C1740"/>
          <w:sz w:val="36"/>
          <w:szCs w:val="36"/>
        </w:rPr>
        <w:t>période</w:t>
      </w:r>
      <w:proofErr w:type="spellEnd"/>
      <w:r w:rsidRPr="00697A0E">
        <w:rPr>
          <w:color w:val="6C1740"/>
          <w:sz w:val="36"/>
          <w:szCs w:val="36"/>
        </w:rPr>
        <w:t xml:space="preserve"> </w:t>
      </w:r>
      <w:proofErr w:type="spellStart"/>
      <w:r w:rsidRPr="00697A0E">
        <w:rPr>
          <w:color w:val="6C1740"/>
          <w:sz w:val="36"/>
          <w:szCs w:val="36"/>
        </w:rPr>
        <w:t>allant</w:t>
      </w:r>
      <w:proofErr w:type="spellEnd"/>
      <w:r w:rsidRPr="00697A0E">
        <w:rPr>
          <w:color w:val="6C1740"/>
          <w:sz w:val="36"/>
          <w:szCs w:val="36"/>
        </w:rPr>
        <w:t xml:space="preserve"> du 1er </w:t>
      </w:r>
      <w:proofErr w:type="spellStart"/>
      <w:r w:rsidRPr="00697A0E">
        <w:rPr>
          <w:color w:val="6C1740"/>
          <w:sz w:val="36"/>
          <w:szCs w:val="36"/>
        </w:rPr>
        <w:t>juillet</w:t>
      </w:r>
      <w:proofErr w:type="spellEnd"/>
      <w:r w:rsidRPr="00697A0E">
        <w:rPr>
          <w:color w:val="6C1740"/>
          <w:sz w:val="36"/>
          <w:szCs w:val="36"/>
        </w:rPr>
        <w:t xml:space="preserve"> 2022 au 30 </w:t>
      </w:r>
      <w:proofErr w:type="spellStart"/>
      <w:r w:rsidRPr="00697A0E">
        <w:rPr>
          <w:color w:val="6C1740"/>
          <w:sz w:val="36"/>
          <w:szCs w:val="36"/>
        </w:rPr>
        <w:t>juin</w:t>
      </w:r>
      <w:proofErr w:type="spellEnd"/>
      <w:r w:rsidRPr="00697A0E">
        <w:rPr>
          <w:color w:val="6C1740"/>
          <w:sz w:val="36"/>
          <w:szCs w:val="36"/>
        </w:rPr>
        <w:t xml:space="preserve"> 2023.</w:t>
      </w:r>
    </w:p>
    <w:p w14:paraId="083CB635" w14:textId="77777777" w:rsidR="00697A0E" w:rsidRPr="00697A0E" w:rsidRDefault="00697A0E" w:rsidP="00697A0E">
      <w:pPr>
        <w:spacing w:before="240" w:after="240" w:line="240" w:lineRule="auto"/>
        <w:rPr>
          <w:color w:val="6C1740"/>
          <w:sz w:val="36"/>
          <w:szCs w:val="36"/>
        </w:rPr>
      </w:pPr>
      <w:proofErr w:type="spellStart"/>
      <w:r w:rsidRPr="00697A0E">
        <w:rPr>
          <w:color w:val="6C1740"/>
          <w:sz w:val="36"/>
          <w:szCs w:val="36"/>
        </w:rPr>
        <w:t>S’il</w:t>
      </w:r>
      <w:proofErr w:type="spellEnd"/>
      <w:r w:rsidRPr="00697A0E">
        <w:rPr>
          <w:color w:val="6C1740"/>
          <w:sz w:val="36"/>
          <w:szCs w:val="36"/>
        </w:rPr>
        <w:t xml:space="preserve"> </w:t>
      </w:r>
      <w:proofErr w:type="spellStart"/>
      <w:proofErr w:type="gramStart"/>
      <w:r w:rsidRPr="00697A0E">
        <w:rPr>
          <w:color w:val="6C1740"/>
          <w:sz w:val="36"/>
          <w:szCs w:val="36"/>
        </w:rPr>
        <w:t>est</w:t>
      </w:r>
      <w:proofErr w:type="spellEnd"/>
      <w:proofErr w:type="gramEnd"/>
      <w:r w:rsidRPr="00697A0E">
        <w:rPr>
          <w:color w:val="6C1740"/>
          <w:sz w:val="36"/>
          <w:szCs w:val="36"/>
        </w:rPr>
        <w:t xml:space="preserve"> </w:t>
      </w:r>
      <w:proofErr w:type="spellStart"/>
      <w:r w:rsidRPr="00697A0E">
        <w:rPr>
          <w:color w:val="6C1740"/>
          <w:sz w:val="36"/>
          <w:szCs w:val="36"/>
        </w:rPr>
        <w:t>vrai</w:t>
      </w:r>
      <w:proofErr w:type="spellEnd"/>
      <w:r w:rsidRPr="00697A0E">
        <w:rPr>
          <w:color w:val="6C1740"/>
          <w:sz w:val="36"/>
          <w:szCs w:val="36"/>
        </w:rPr>
        <w:t xml:space="preserve"> </w:t>
      </w:r>
      <w:proofErr w:type="spellStart"/>
      <w:r w:rsidRPr="00697A0E">
        <w:rPr>
          <w:color w:val="6C1740"/>
          <w:sz w:val="36"/>
          <w:szCs w:val="36"/>
        </w:rPr>
        <w:t>que</w:t>
      </w:r>
      <w:proofErr w:type="spellEnd"/>
      <w:r w:rsidRPr="00697A0E">
        <w:rPr>
          <w:color w:val="6C1740"/>
          <w:sz w:val="36"/>
          <w:szCs w:val="36"/>
        </w:rPr>
        <w:t xml:space="preserve"> </w:t>
      </w:r>
      <w:proofErr w:type="spellStart"/>
      <w:r w:rsidRPr="00697A0E">
        <w:rPr>
          <w:color w:val="6C1740"/>
          <w:sz w:val="36"/>
          <w:szCs w:val="36"/>
        </w:rPr>
        <w:t>cet</w:t>
      </w:r>
      <w:proofErr w:type="spellEnd"/>
      <w:r w:rsidRPr="00697A0E">
        <w:rPr>
          <w:color w:val="6C1740"/>
          <w:sz w:val="36"/>
          <w:szCs w:val="36"/>
        </w:rPr>
        <w:t xml:space="preserve"> ensemble de PAC a </w:t>
      </w:r>
      <w:proofErr w:type="spellStart"/>
      <w:r w:rsidRPr="00697A0E">
        <w:rPr>
          <w:color w:val="6C1740"/>
          <w:sz w:val="36"/>
          <w:szCs w:val="36"/>
        </w:rPr>
        <w:t>eu</w:t>
      </w:r>
      <w:proofErr w:type="spellEnd"/>
      <w:r w:rsidRPr="00697A0E">
        <w:rPr>
          <w:color w:val="6C1740"/>
          <w:sz w:val="36"/>
          <w:szCs w:val="36"/>
        </w:rPr>
        <w:t xml:space="preserve"> de </w:t>
      </w:r>
      <w:proofErr w:type="spellStart"/>
      <w:r w:rsidRPr="00697A0E">
        <w:rPr>
          <w:color w:val="6C1740"/>
          <w:sz w:val="36"/>
          <w:szCs w:val="36"/>
        </w:rPr>
        <w:t>nombreux</w:t>
      </w:r>
      <w:proofErr w:type="spellEnd"/>
      <w:r w:rsidRPr="00697A0E">
        <w:rPr>
          <w:color w:val="6C1740"/>
          <w:sz w:val="36"/>
          <w:szCs w:val="36"/>
        </w:rPr>
        <w:t xml:space="preserve"> </w:t>
      </w:r>
      <w:proofErr w:type="spellStart"/>
      <w:r w:rsidRPr="00697A0E">
        <w:rPr>
          <w:color w:val="6C1740"/>
          <w:sz w:val="36"/>
          <w:szCs w:val="36"/>
        </w:rPr>
        <w:t>résultats</w:t>
      </w:r>
      <w:proofErr w:type="spellEnd"/>
      <w:r w:rsidRPr="00697A0E">
        <w:rPr>
          <w:color w:val="6C1740"/>
          <w:sz w:val="36"/>
          <w:szCs w:val="36"/>
        </w:rPr>
        <w:t xml:space="preserve"> </w:t>
      </w:r>
      <w:proofErr w:type="spellStart"/>
      <w:r w:rsidRPr="00697A0E">
        <w:rPr>
          <w:color w:val="6C1740"/>
          <w:sz w:val="36"/>
          <w:szCs w:val="36"/>
        </w:rPr>
        <w:t>positifs</w:t>
      </w:r>
      <w:proofErr w:type="spellEnd"/>
      <w:r w:rsidRPr="00697A0E">
        <w:rPr>
          <w:color w:val="6C1740"/>
          <w:sz w:val="36"/>
          <w:szCs w:val="36"/>
        </w:rPr>
        <w:t xml:space="preserve">, des retards </w:t>
      </w:r>
      <w:proofErr w:type="spellStart"/>
      <w:r w:rsidRPr="00697A0E">
        <w:rPr>
          <w:color w:val="6C1740"/>
          <w:sz w:val="36"/>
          <w:szCs w:val="36"/>
        </w:rPr>
        <w:t>sont</w:t>
      </w:r>
      <w:proofErr w:type="spellEnd"/>
      <w:r w:rsidRPr="00697A0E">
        <w:rPr>
          <w:color w:val="6C1740"/>
          <w:sz w:val="36"/>
          <w:szCs w:val="36"/>
        </w:rPr>
        <w:t xml:space="preserve"> à </w:t>
      </w:r>
      <w:proofErr w:type="spellStart"/>
      <w:r w:rsidRPr="00697A0E">
        <w:rPr>
          <w:color w:val="6C1740"/>
          <w:sz w:val="36"/>
          <w:szCs w:val="36"/>
        </w:rPr>
        <w:t>déplorer</w:t>
      </w:r>
      <w:proofErr w:type="spellEnd"/>
      <w:r w:rsidRPr="00697A0E">
        <w:rPr>
          <w:color w:val="6C1740"/>
          <w:sz w:val="36"/>
          <w:szCs w:val="36"/>
        </w:rPr>
        <w:t xml:space="preserve"> pour </w:t>
      </w:r>
      <w:proofErr w:type="spellStart"/>
      <w:r w:rsidRPr="00697A0E">
        <w:rPr>
          <w:color w:val="6C1740"/>
          <w:sz w:val="36"/>
          <w:szCs w:val="36"/>
        </w:rPr>
        <w:t>d’autres</w:t>
      </w:r>
      <w:proofErr w:type="spellEnd"/>
      <w:r w:rsidRPr="00697A0E">
        <w:rPr>
          <w:color w:val="6C1740"/>
          <w:sz w:val="36"/>
          <w:szCs w:val="36"/>
        </w:rPr>
        <w:t>.</w:t>
      </w:r>
    </w:p>
    <w:p w14:paraId="3FE25BCD" w14:textId="1C26CE92" w:rsidR="00697A0E" w:rsidRPr="007F1217" w:rsidRDefault="00697A0E" w:rsidP="00697A0E">
      <w:pPr>
        <w:spacing w:before="240" w:after="240" w:line="240" w:lineRule="auto"/>
        <w:rPr>
          <w:color w:val="6C1740"/>
          <w:sz w:val="36"/>
          <w:szCs w:val="36"/>
        </w:rPr>
      </w:pPr>
      <w:r w:rsidRPr="00697A0E">
        <w:rPr>
          <w:color w:val="6C1740"/>
          <w:sz w:val="36"/>
          <w:szCs w:val="36"/>
        </w:rPr>
        <w:t xml:space="preserve">Le prochain rapport </w:t>
      </w:r>
      <w:proofErr w:type="spellStart"/>
      <w:r w:rsidRPr="00697A0E">
        <w:rPr>
          <w:color w:val="6C1740"/>
          <w:sz w:val="36"/>
          <w:szCs w:val="36"/>
        </w:rPr>
        <w:t>sur</w:t>
      </w:r>
      <w:proofErr w:type="spellEnd"/>
      <w:r w:rsidRPr="00697A0E">
        <w:rPr>
          <w:color w:val="6C1740"/>
          <w:sz w:val="36"/>
          <w:szCs w:val="36"/>
        </w:rPr>
        <w:t xml:space="preserve"> les PAC sera le </w:t>
      </w:r>
      <w:proofErr w:type="spellStart"/>
      <w:r w:rsidRPr="00697A0E">
        <w:rPr>
          <w:color w:val="6C1740"/>
          <w:sz w:val="36"/>
          <w:szCs w:val="36"/>
        </w:rPr>
        <w:t>dernier</w:t>
      </w:r>
      <w:proofErr w:type="spellEnd"/>
      <w:r w:rsidRPr="00697A0E">
        <w:rPr>
          <w:color w:val="6C1740"/>
          <w:sz w:val="36"/>
          <w:szCs w:val="36"/>
        </w:rPr>
        <w:t xml:space="preserve"> pour </w:t>
      </w:r>
      <w:proofErr w:type="spellStart"/>
      <w:proofErr w:type="gramStart"/>
      <w:r w:rsidRPr="00697A0E">
        <w:rPr>
          <w:color w:val="6C1740"/>
          <w:sz w:val="36"/>
          <w:szCs w:val="36"/>
        </w:rPr>
        <w:t>cet</w:t>
      </w:r>
      <w:proofErr w:type="spellEnd"/>
      <w:proofErr w:type="gramEnd"/>
      <w:r w:rsidRPr="00697A0E">
        <w:rPr>
          <w:color w:val="6C1740"/>
          <w:sz w:val="36"/>
          <w:szCs w:val="36"/>
        </w:rPr>
        <w:t xml:space="preserve"> ensemble de PAC. Le </w:t>
      </w:r>
      <w:proofErr w:type="spellStart"/>
      <w:r w:rsidRPr="00697A0E">
        <w:rPr>
          <w:color w:val="6C1740"/>
          <w:sz w:val="36"/>
          <w:szCs w:val="36"/>
        </w:rPr>
        <w:t>gouvernement</w:t>
      </w:r>
      <w:proofErr w:type="spellEnd"/>
      <w:r w:rsidRPr="00697A0E">
        <w:rPr>
          <w:color w:val="6C1740"/>
          <w:sz w:val="36"/>
          <w:szCs w:val="36"/>
        </w:rPr>
        <w:t xml:space="preserve"> </w:t>
      </w:r>
      <w:proofErr w:type="spellStart"/>
      <w:r w:rsidRPr="00697A0E">
        <w:rPr>
          <w:color w:val="6C1740"/>
          <w:sz w:val="36"/>
          <w:szCs w:val="36"/>
        </w:rPr>
        <w:t>australien</w:t>
      </w:r>
      <w:proofErr w:type="spellEnd"/>
      <w:r w:rsidRPr="00697A0E">
        <w:rPr>
          <w:color w:val="6C1740"/>
          <w:sz w:val="36"/>
          <w:szCs w:val="36"/>
        </w:rPr>
        <w:t xml:space="preserve">, en collaboration avec les </w:t>
      </w:r>
      <w:proofErr w:type="spellStart"/>
      <w:r w:rsidRPr="00697A0E">
        <w:rPr>
          <w:color w:val="6C1740"/>
          <w:sz w:val="36"/>
          <w:szCs w:val="36"/>
        </w:rPr>
        <w:t>gouvernements</w:t>
      </w:r>
      <w:proofErr w:type="spellEnd"/>
      <w:r w:rsidRPr="00697A0E">
        <w:rPr>
          <w:color w:val="6C1740"/>
          <w:sz w:val="36"/>
          <w:szCs w:val="36"/>
        </w:rPr>
        <w:t xml:space="preserve"> des </w:t>
      </w:r>
      <w:proofErr w:type="spellStart"/>
      <w:r w:rsidRPr="00697A0E">
        <w:rPr>
          <w:color w:val="6C1740"/>
          <w:sz w:val="36"/>
          <w:szCs w:val="36"/>
        </w:rPr>
        <w:t>États</w:t>
      </w:r>
      <w:proofErr w:type="spellEnd"/>
      <w:r w:rsidRPr="00697A0E">
        <w:rPr>
          <w:color w:val="6C1740"/>
          <w:sz w:val="36"/>
          <w:szCs w:val="36"/>
        </w:rPr>
        <w:t xml:space="preserve"> </w:t>
      </w:r>
      <w:proofErr w:type="gramStart"/>
      <w:r w:rsidRPr="00697A0E">
        <w:rPr>
          <w:color w:val="6C1740"/>
          <w:sz w:val="36"/>
          <w:szCs w:val="36"/>
        </w:rPr>
        <w:t>et</w:t>
      </w:r>
      <w:proofErr w:type="gramEnd"/>
      <w:r w:rsidRPr="00697A0E">
        <w:rPr>
          <w:color w:val="6C1740"/>
          <w:sz w:val="36"/>
          <w:szCs w:val="36"/>
        </w:rPr>
        <w:t xml:space="preserve"> </w:t>
      </w:r>
      <w:proofErr w:type="spellStart"/>
      <w:r w:rsidRPr="00697A0E">
        <w:rPr>
          <w:color w:val="6C1740"/>
          <w:sz w:val="36"/>
          <w:szCs w:val="36"/>
        </w:rPr>
        <w:t>Territoires</w:t>
      </w:r>
      <w:proofErr w:type="spellEnd"/>
      <w:r w:rsidRPr="00697A0E">
        <w:rPr>
          <w:color w:val="6C1740"/>
          <w:sz w:val="36"/>
          <w:szCs w:val="36"/>
        </w:rPr>
        <w:t xml:space="preserve">, a déjà </w:t>
      </w:r>
      <w:proofErr w:type="spellStart"/>
      <w:r w:rsidRPr="00697A0E">
        <w:rPr>
          <w:color w:val="6C1740"/>
          <w:sz w:val="36"/>
          <w:szCs w:val="36"/>
        </w:rPr>
        <w:t>commencé</w:t>
      </w:r>
      <w:proofErr w:type="spellEnd"/>
      <w:r w:rsidRPr="00697A0E">
        <w:rPr>
          <w:color w:val="6C1740"/>
          <w:sz w:val="36"/>
          <w:szCs w:val="36"/>
        </w:rPr>
        <w:t xml:space="preserve"> à </w:t>
      </w:r>
      <w:proofErr w:type="spellStart"/>
      <w:r w:rsidRPr="00697A0E">
        <w:rPr>
          <w:color w:val="6C1740"/>
          <w:sz w:val="36"/>
          <w:szCs w:val="36"/>
        </w:rPr>
        <w:t>travailler</w:t>
      </w:r>
      <w:proofErr w:type="spellEnd"/>
      <w:r w:rsidRPr="00697A0E">
        <w:rPr>
          <w:color w:val="6C1740"/>
          <w:sz w:val="36"/>
          <w:szCs w:val="36"/>
        </w:rPr>
        <w:t xml:space="preserve"> </w:t>
      </w:r>
      <w:proofErr w:type="spellStart"/>
      <w:r w:rsidRPr="00697A0E">
        <w:rPr>
          <w:color w:val="6C1740"/>
          <w:sz w:val="36"/>
          <w:szCs w:val="36"/>
        </w:rPr>
        <w:t>sur</w:t>
      </w:r>
      <w:proofErr w:type="spellEnd"/>
      <w:r w:rsidRPr="00697A0E">
        <w:rPr>
          <w:color w:val="6C1740"/>
          <w:sz w:val="36"/>
          <w:szCs w:val="36"/>
        </w:rPr>
        <w:t xml:space="preserve"> les </w:t>
      </w:r>
      <w:proofErr w:type="spellStart"/>
      <w:r w:rsidRPr="00697A0E">
        <w:rPr>
          <w:color w:val="6C1740"/>
          <w:sz w:val="36"/>
          <w:szCs w:val="36"/>
        </w:rPr>
        <w:t>prochains</w:t>
      </w:r>
      <w:proofErr w:type="spellEnd"/>
      <w:r w:rsidRPr="00697A0E">
        <w:rPr>
          <w:color w:val="6C1740"/>
          <w:sz w:val="36"/>
          <w:szCs w:val="36"/>
        </w:rPr>
        <w:t xml:space="preserve"> PAC.</w:t>
      </w:r>
    </w:p>
    <w:p w14:paraId="084F5A5F" w14:textId="54A38A3A" w:rsidR="00881AEF" w:rsidRDefault="009F397E">
      <w:r>
        <w:br w:type="page"/>
      </w:r>
    </w:p>
    <w:p w14:paraId="674AAF8C" w14:textId="0FCC74C9" w:rsidR="00881AEF" w:rsidRDefault="00697A0E" w:rsidP="007E700B">
      <w:r w:rsidRPr="00697A0E">
        <w:lastRenderedPageBreak/>
        <w:t xml:space="preserve">Les </w:t>
      </w:r>
      <w:proofErr w:type="spellStart"/>
      <w:r w:rsidRPr="00697A0E">
        <w:t>cinq</w:t>
      </w:r>
      <w:proofErr w:type="spellEnd"/>
      <w:r w:rsidRPr="00697A0E">
        <w:t xml:space="preserve"> Plans </w:t>
      </w:r>
      <w:proofErr w:type="spellStart"/>
      <w:r w:rsidRPr="00697A0E">
        <w:t>d’actions</w:t>
      </w:r>
      <w:proofErr w:type="spellEnd"/>
      <w:r w:rsidRPr="00697A0E">
        <w:t xml:space="preserve"> </w:t>
      </w:r>
      <w:proofErr w:type="spellStart"/>
      <w:r w:rsidRPr="00697A0E">
        <w:t>ciblés</w:t>
      </w:r>
      <w:proofErr w:type="spellEnd"/>
      <w:r w:rsidRPr="00697A0E">
        <w:t xml:space="preserve"> (PAC) </w:t>
      </w:r>
      <w:proofErr w:type="spellStart"/>
      <w:r w:rsidRPr="00697A0E">
        <w:t>lancés</w:t>
      </w:r>
      <w:proofErr w:type="spellEnd"/>
      <w:r w:rsidRPr="00697A0E">
        <w:t xml:space="preserve"> avec la </w:t>
      </w:r>
      <w:proofErr w:type="spellStart"/>
      <w:r w:rsidRPr="00697A0E">
        <w:t>Stratégie</w:t>
      </w:r>
      <w:proofErr w:type="spellEnd"/>
      <w:r w:rsidRPr="00697A0E">
        <w:t xml:space="preserve"> le 3 </w:t>
      </w:r>
      <w:proofErr w:type="spellStart"/>
      <w:r w:rsidRPr="00697A0E">
        <w:t>décembre</w:t>
      </w:r>
      <w:proofErr w:type="spellEnd"/>
      <w:r w:rsidRPr="00697A0E">
        <w:t xml:space="preserve"> 2021 </w:t>
      </w:r>
      <w:proofErr w:type="spellStart"/>
      <w:r w:rsidRPr="00697A0E">
        <w:t>sont</w:t>
      </w:r>
      <w:proofErr w:type="spellEnd"/>
      <w:r w:rsidRPr="00697A0E">
        <w:t xml:space="preserve"> les </w:t>
      </w:r>
      <w:proofErr w:type="spellStart"/>
      <w:proofErr w:type="gramStart"/>
      <w:r w:rsidRPr="00697A0E">
        <w:t>suivants</w:t>
      </w:r>
      <w:proofErr w:type="spellEnd"/>
      <w:r w:rsidRPr="00697A0E">
        <w:t xml:space="preserve"> :</w:t>
      </w:r>
      <w:proofErr w:type="gramEnd"/>
    </w:p>
    <w:p w14:paraId="373D812D" w14:textId="025EC293" w:rsidR="00881AEF" w:rsidRPr="00553F2D" w:rsidRDefault="00DF1353" w:rsidP="008C13A0">
      <w:pPr>
        <w:pStyle w:val="ListParagraph"/>
        <w:numPr>
          <w:ilvl w:val="0"/>
          <w:numId w:val="34"/>
        </w:numPr>
        <w:spacing w:before="120" w:after="120" w:line="240" w:lineRule="auto"/>
        <w:contextualSpacing w:val="0"/>
      </w:pPr>
      <w:hyperlink r:id="rId12" w:history="1">
        <w:r w:rsidR="00697A0E" w:rsidRPr="00085097">
          <w:rPr>
            <w:rStyle w:val="Hyperlink"/>
            <w:lang w:val="fr-FR"/>
          </w:rPr>
          <w:t>Emploi</w:t>
        </w:r>
      </w:hyperlink>
    </w:p>
    <w:p w14:paraId="4D9163BA" w14:textId="5E25DF6E" w:rsidR="00881AEF" w:rsidRPr="00553F2D" w:rsidRDefault="00DF1353" w:rsidP="008C13A0">
      <w:pPr>
        <w:pStyle w:val="ListParagraph"/>
        <w:numPr>
          <w:ilvl w:val="0"/>
          <w:numId w:val="34"/>
        </w:numPr>
        <w:spacing w:before="120" w:after="120" w:line="240" w:lineRule="auto"/>
        <w:contextualSpacing w:val="0"/>
      </w:pPr>
      <w:hyperlink r:id="rId13" w:history="1">
        <w:r w:rsidR="00697A0E" w:rsidRPr="00085097">
          <w:rPr>
            <w:rStyle w:val="Hyperlink"/>
            <w:lang w:val="fr-FR"/>
          </w:rPr>
          <w:t>Attitudes des communautés</w:t>
        </w:r>
      </w:hyperlink>
    </w:p>
    <w:p w14:paraId="5DABC23E" w14:textId="56C4B7E0" w:rsidR="00881AEF" w:rsidRPr="00553F2D" w:rsidRDefault="00DF1353" w:rsidP="008C13A0">
      <w:pPr>
        <w:pStyle w:val="ListParagraph"/>
        <w:numPr>
          <w:ilvl w:val="0"/>
          <w:numId w:val="34"/>
        </w:numPr>
        <w:spacing w:before="120" w:after="120" w:line="240" w:lineRule="auto"/>
        <w:contextualSpacing w:val="0"/>
      </w:pPr>
      <w:hyperlink r:id="rId14" w:history="1">
        <w:r w:rsidR="00697A0E" w:rsidRPr="00085097">
          <w:rPr>
            <w:rStyle w:val="Hyperlink"/>
            <w:lang w:val="fr-FR"/>
          </w:rPr>
          <w:t>Petite enfance</w:t>
        </w:r>
      </w:hyperlink>
    </w:p>
    <w:p w14:paraId="21479F0A" w14:textId="78158A3B" w:rsidR="00881AEF" w:rsidRPr="00553F2D" w:rsidRDefault="00DF1353" w:rsidP="008C13A0">
      <w:pPr>
        <w:pStyle w:val="ListParagraph"/>
        <w:numPr>
          <w:ilvl w:val="0"/>
          <w:numId w:val="34"/>
        </w:numPr>
        <w:spacing w:before="120" w:after="120" w:line="240" w:lineRule="auto"/>
        <w:contextualSpacing w:val="0"/>
      </w:pPr>
      <w:hyperlink r:id="rId15" w:history="1">
        <w:r w:rsidR="00697A0E" w:rsidRPr="00085097">
          <w:rPr>
            <w:rStyle w:val="Hyperlink"/>
            <w:lang w:val="fr-FR"/>
          </w:rPr>
          <w:t>Sécurité</w:t>
        </w:r>
      </w:hyperlink>
    </w:p>
    <w:p w14:paraId="53AD064B" w14:textId="4284679C" w:rsidR="00881AEF" w:rsidRDefault="00DF1353" w:rsidP="008C13A0">
      <w:pPr>
        <w:pStyle w:val="ListParagraph"/>
        <w:numPr>
          <w:ilvl w:val="0"/>
          <w:numId w:val="34"/>
        </w:numPr>
        <w:spacing w:before="120" w:after="120" w:line="240" w:lineRule="auto"/>
        <w:contextualSpacing w:val="0"/>
      </w:pPr>
      <w:hyperlink r:id="rId16" w:history="1">
        <w:r w:rsidR="00697A0E" w:rsidRPr="00085097">
          <w:rPr>
            <w:rStyle w:val="Hyperlink"/>
            <w:lang w:val="fr-FR"/>
          </w:rPr>
          <w:t>Gestion des situations d’urgence</w:t>
        </w:r>
      </w:hyperlink>
    </w:p>
    <w:p w14:paraId="70A1CD3D" w14:textId="502BF812" w:rsidR="00881AEF" w:rsidRPr="00881AEF" w:rsidRDefault="00A92DF2" w:rsidP="00F36AAD">
      <w:pPr>
        <w:spacing w:before="240" w:after="120" w:line="240" w:lineRule="auto"/>
        <w:rPr>
          <w:b/>
        </w:rPr>
      </w:pPr>
      <w:r>
        <w:rPr>
          <w:b/>
          <w:lang w:val="fr-FR"/>
        </w:rPr>
        <w:t>Rapports sur les PAC</w:t>
      </w:r>
    </w:p>
    <w:p w14:paraId="1F0CDABA" w14:textId="77777777" w:rsidR="00A92DF2" w:rsidRPr="00263AEA" w:rsidRDefault="00A92DF2" w:rsidP="00A92DF2">
      <w:pPr>
        <w:spacing w:before="240" w:after="120" w:line="240" w:lineRule="auto"/>
        <w:rPr>
          <w:rFonts w:cs="Arial"/>
          <w:lang w:val="fr-FR"/>
        </w:rPr>
      </w:pPr>
      <w:r>
        <w:rPr>
          <w:lang w:val="fr-FR"/>
        </w:rPr>
        <w:t xml:space="preserve">Dans le cadre de la Stratégie, tous les gouvernements se sont engagés à fournir des rapports plus complets et plus visibles pour assurer une plus grande transparence et davantage de </w:t>
      </w:r>
      <w:proofErr w:type="spellStart"/>
      <w:r>
        <w:rPr>
          <w:lang w:val="fr-FR"/>
        </w:rPr>
        <w:t>redevabilité</w:t>
      </w:r>
      <w:proofErr w:type="spellEnd"/>
      <w:r>
        <w:rPr>
          <w:lang w:val="fr-FR"/>
        </w:rPr>
        <w:t xml:space="preserve"> en matière d’amélioration de la vie des personnes en situation de handicap. </w:t>
      </w:r>
    </w:p>
    <w:p w14:paraId="4B2FCA11" w14:textId="77777777" w:rsidR="00A92DF2" w:rsidRPr="00263AEA" w:rsidRDefault="00A92DF2" w:rsidP="00A92DF2">
      <w:pPr>
        <w:spacing w:before="240" w:after="120" w:line="240" w:lineRule="auto"/>
        <w:rPr>
          <w:rFonts w:cs="Arial"/>
          <w:lang w:val="fr-FR"/>
        </w:rPr>
      </w:pPr>
      <w:r>
        <w:rPr>
          <w:lang w:val="fr-FR"/>
        </w:rPr>
        <w:t xml:space="preserve">Le rapport annuel sur les PAC rend compte des avancées des mesures prises par les gouvernements pour mettre en œuvre et faire progresser les PAC, ainsi que des réussites dans ce domaine. Des rapports sur les PAC sont publiés chaque année, selon les dates de l’année fiscale, conformément aux exigences d’établissement de rapports énoncées dans la Stratégie, ayant par ailleurs fait l’objet d’améliorations. </w:t>
      </w:r>
    </w:p>
    <w:p w14:paraId="65BBF257" w14:textId="0367C65F" w:rsidR="0094489E" w:rsidRDefault="00A92DF2" w:rsidP="00A92DF2">
      <w:pPr>
        <w:spacing w:before="240" w:after="120" w:line="240" w:lineRule="auto"/>
        <w:rPr>
          <w:b/>
        </w:rPr>
      </w:pPr>
      <w:r>
        <w:rPr>
          <w:lang w:val="fr-FR"/>
        </w:rPr>
        <w:t>Le 1</w:t>
      </w:r>
      <w:r>
        <w:rPr>
          <w:vertAlign w:val="superscript"/>
          <w:lang w:val="fr-FR"/>
        </w:rPr>
        <w:t>er</w:t>
      </w:r>
      <w:r>
        <w:rPr>
          <w:lang w:val="fr-FR"/>
        </w:rPr>
        <w:t xml:space="preserve"> rapport annuel sur les PAC (1</w:t>
      </w:r>
      <w:r>
        <w:rPr>
          <w:vertAlign w:val="superscript"/>
          <w:lang w:val="fr-FR"/>
        </w:rPr>
        <w:t>er</w:t>
      </w:r>
      <w:r>
        <w:rPr>
          <w:lang w:val="fr-FR"/>
        </w:rPr>
        <w:t xml:space="preserve"> Rapport sur les PAC) a été publié le 25 novembre 2022 et couvre la période depuis le lancement, </w:t>
      </w:r>
      <w:r w:rsidRPr="00DD218B">
        <w:rPr>
          <w:lang w:val="fr-FR"/>
        </w:rPr>
        <w:t xml:space="preserve">c’est-à-dire </w:t>
      </w:r>
      <w:r>
        <w:rPr>
          <w:lang w:val="fr-FR"/>
        </w:rPr>
        <w:t>du 3 décembre 2021 au 30 juin 2022.</w:t>
      </w:r>
      <w:r w:rsidR="000C06E7">
        <w:t xml:space="preserve"> </w:t>
      </w:r>
    </w:p>
    <w:p w14:paraId="764CE917" w14:textId="78972427" w:rsidR="00396DD5" w:rsidRPr="00396DD5" w:rsidRDefault="00D3107D" w:rsidP="00F36AAD">
      <w:pPr>
        <w:spacing w:before="240" w:after="120" w:line="240" w:lineRule="auto"/>
        <w:rPr>
          <w:b/>
        </w:rPr>
      </w:pPr>
      <w:r>
        <w:rPr>
          <w:b/>
          <w:lang w:val="fr-FR"/>
        </w:rPr>
        <w:t>Le Rapport</w:t>
      </w:r>
    </w:p>
    <w:p w14:paraId="45F1FF69" w14:textId="77777777" w:rsidR="00D3107D" w:rsidRPr="00263AEA" w:rsidRDefault="00D3107D" w:rsidP="00D3107D">
      <w:pPr>
        <w:spacing w:before="240" w:after="120" w:line="240" w:lineRule="auto"/>
        <w:rPr>
          <w:rFonts w:cs="Arial"/>
          <w:lang w:val="fr-FR"/>
        </w:rPr>
      </w:pPr>
      <w:r>
        <w:rPr>
          <w:lang w:val="fr-FR"/>
        </w:rPr>
        <w:t>Le 2</w:t>
      </w:r>
      <w:r>
        <w:rPr>
          <w:vertAlign w:val="superscript"/>
          <w:lang w:val="fr-FR"/>
        </w:rPr>
        <w:t>e</w:t>
      </w:r>
      <w:r>
        <w:rPr>
          <w:lang w:val="fr-FR"/>
        </w:rPr>
        <w:t xml:space="preserve"> rapport annuel sur les PAC (2</w:t>
      </w:r>
      <w:r>
        <w:rPr>
          <w:vertAlign w:val="superscript"/>
          <w:lang w:val="fr-FR"/>
        </w:rPr>
        <w:t>e</w:t>
      </w:r>
      <w:r>
        <w:rPr>
          <w:lang w:val="fr-FR"/>
        </w:rPr>
        <w:t xml:space="preserve"> Rapport sur les PAC) se base sur les progrès réalisés durant la 1</w:t>
      </w:r>
      <w:r>
        <w:rPr>
          <w:vertAlign w:val="superscript"/>
          <w:lang w:val="fr-FR"/>
        </w:rPr>
        <w:t>re</w:t>
      </w:r>
      <w:r>
        <w:rPr>
          <w:lang w:val="fr-FR"/>
        </w:rPr>
        <w:t xml:space="preserve"> année de la Stratégie et couvre la période allant du 1</w:t>
      </w:r>
      <w:r>
        <w:rPr>
          <w:vertAlign w:val="superscript"/>
          <w:lang w:val="fr-FR"/>
        </w:rPr>
        <w:t>er</w:t>
      </w:r>
      <w:r>
        <w:rPr>
          <w:lang w:val="fr-FR"/>
        </w:rPr>
        <w:t xml:space="preserve"> juillet 2022 au 30 juin 2023. Tous les gouvernements du pays (le gouvernement fédéral et ceux des États et des Territoires) y ont contribué, certains allant même jusqu’à inclure les moments forts pour un certain nombre d’actions. </w:t>
      </w:r>
    </w:p>
    <w:p w14:paraId="6FE031A3" w14:textId="77777777" w:rsidR="00D3107D" w:rsidRPr="00263AEA" w:rsidRDefault="00D3107D" w:rsidP="00D3107D">
      <w:pPr>
        <w:spacing w:before="240" w:after="120" w:line="240" w:lineRule="auto"/>
        <w:rPr>
          <w:rFonts w:cs="Arial"/>
          <w:lang w:val="fr-FR"/>
        </w:rPr>
      </w:pPr>
      <w:r>
        <w:rPr>
          <w:lang w:val="fr-FR"/>
        </w:rPr>
        <w:t>Le Rapport est constitué de deux documents : le 2</w:t>
      </w:r>
      <w:r>
        <w:rPr>
          <w:vertAlign w:val="superscript"/>
          <w:lang w:val="fr-FR"/>
        </w:rPr>
        <w:t>e</w:t>
      </w:r>
      <w:r>
        <w:rPr>
          <w:lang w:val="fr-FR"/>
        </w:rPr>
        <w:t xml:space="preserve"> Rapport sur les PAC et une annexe.</w:t>
      </w:r>
    </w:p>
    <w:p w14:paraId="06DD39E5" w14:textId="77777777" w:rsidR="00D3107D" w:rsidRPr="00263AEA" w:rsidRDefault="00D3107D" w:rsidP="00D3107D">
      <w:pPr>
        <w:autoSpaceDE w:val="0"/>
        <w:autoSpaceDN w:val="0"/>
        <w:adjustRightInd w:val="0"/>
        <w:spacing w:before="240" w:after="120" w:line="240" w:lineRule="auto"/>
        <w:rPr>
          <w:rFonts w:cs="Arial"/>
          <w:lang w:val="fr-FR"/>
        </w:rPr>
      </w:pPr>
      <w:r>
        <w:rPr>
          <w:lang w:val="fr-FR"/>
        </w:rPr>
        <w:t>Ce 2</w:t>
      </w:r>
      <w:r>
        <w:rPr>
          <w:vertAlign w:val="superscript"/>
          <w:lang w:val="fr-FR"/>
        </w:rPr>
        <w:t>e</w:t>
      </w:r>
      <w:r>
        <w:rPr>
          <w:lang w:val="fr-FR"/>
        </w:rPr>
        <w:t xml:space="preserve"> Rapport sur les PAC dresse un aperçu général, fournit des données et contient des tableaux. Il donne également des exemples illustrant la mise en œuvre et la progression des actions. </w:t>
      </w:r>
      <w:r>
        <w:rPr>
          <w:color w:val="000000"/>
          <w:lang w:val="fr-FR"/>
        </w:rPr>
        <w:t>Ce rapport présente également de manière brève les avancées depuis le lancement de la Stratégie (période allant de décembre 2021 à juin 2023).</w:t>
      </w:r>
      <w:r>
        <w:rPr>
          <w:color w:val="000000"/>
          <w:sz w:val="20"/>
          <w:lang w:val="fr-FR"/>
        </w:rPr>
        <w:t xml:space="preserve"> </w:t>
      </w:r>
    </w:p>
    <w:p w14:paraId="3CDB58FF" w14:textId="7002CD72" w:rsidR="00D3107D" w:rsidRDefault="00D3107D" w:rsidP="00D3107D">
      <w:pPr>
        <w:spacing w:before="240" w:after="120" w:line="240" w:lineRule="auto"/>
      </w:pPr>
      <w:r>
        <w:rPr>
          <w:lang w:val="fr-FR"/>
        </w:rPr>
        <w:t>L’Annexe expose l’état d’avancement au 30 juin 2023 et la progression de chacune des 374 actions restantes exprimée comme suit :</w:t>
      </w:r>
    </w:p>
    <w:p w14:paraId="3D4290A9" w14:textId="59418D5D" w:rsidR="00396DD5" w:rsidRDefault="00A945F3" w:rsidP="00F36AAD">
      <w:pPr>
        <w:tabs>
          <w:tab w:val="left" w:pos="1980"/>
          <w:tab w:val="left" w:pos="2160"/>
        </w:tabs>
        <w:spacing w:before="240" w:after="120" w:line="240" w:lineRule="auto"/>
      </w:pPr>
      <w:r>
        <w:rPr>
          <w:b/>
          <w:lang w:val="fr-FR"/>
        </w:rPr>
        <w:t>Terminée</w:t>
      </w:r>
      <w:r w:rsidR="00396DD5">
        <w:tab/>
      </w:r>
      <w:r>
        <w:rPr>
          <w:lang w:val="fr-FR"/>
        </w:rPr>
        <w:t>L’action a été terminée entre le 1</w:t>
      </w:r>
      <w:r>
        <w:rPr>
          <w:vertAlign w:val="superscript"/>
          <w:lang w:val="fr-FR"/>
        </w:rPr>
        <w:t>er</w:t>
      </w:r>
      <w:r>
        <w:rPr>
          <w:lang w:val="fr-FR"/>
        </w:rPr>
        <w:t> juillet 2022 et le 30 juin 2023.</w:t>
      </w:r>
    </w:p>
    <w:p w14:paraId="3DB46794" w14:textId="511E7069" w:rsidR="00396DD5" w:rsidRDefault="00A945F3" w:rsidP="00F36AAD">
      <w:pPr>
        <w:tabs>
          <w:tab w:val="left" w:pos="1980"/>
          <w:tab w:val="left" w:pos="2160"/>
        </w:tabs>
        <w:spacing w:before="240" w:after="120" w:line="240" w:lineRule="auto"/>
      </w:pPr>
      <w:r>
        <w:rPr>
          <w:b/>
          <w:lang w:val="fr-FR"/>
        </w:rPr>
        <w:t>En bonne voie</w:t>
      </w:r>
      <w:r w:rsidR="00396DD5">
        <w:tab/>
      </w:r>
      <w:r>
        <w:rPr>
          <w:lang w:val="fr-FR"/>
        </w:rPr>
        <w:t>L’action progresse conformément aux plans.</w:t>
      </w:r>
    </w:p>
    <w:p w14:paraId="4CF67DD8" w14:textId="3B5662F6" w:rsidR="00396DD5" w:rsidRDefault="00A945F3" w:rsidP="00F36AAD">
      <w:pPr>
        <w:tabs>
          <w:tab w:val="left" w:pos="1980"/>
          <w:tab w:val="left" w:pos="2160"/>
        </w:tabs>
        <w:spacing w:before="240" w:after="120" w:line="240" w:lineRule="auto"/>
      </w:pPr>
      <w:r>
        <w:rPr>
          <w:b/>
          <w:lang w:val="fr-FR"/>
        </w:rPr>
        <w:t>Quelques retards</w:t>
      </w:r>
      <w:r w:rsidR="00396DD5">
        <w:tab/>
      </w:r>
      <w:r>
        <w:rPr>
          <w:lang w:val="fr-FR"/>
        </w:rPr>
        <w:t>L’action est en cours mais elle a pris du retard sur l’échéancier fixé.</w:t>
      </w:r>
    </w:p>
    <w:p w14:paraId="2746A295" w14:textId="395732A2" w:rsidR="00396DD5" w:rsidRDefault="00A945F3" w:rsidP="00F36AAD">
      <w:pPr>
        <w:tabs>
          <w:tab w:val="left" w:pos="1980"/>
          <w:tab w:val="left" w:pos="2160"/>
        </w:tabs>
        <w:spacing w:before="240" w:after="120" w:line="240" w:lineRule="auto"/>
        <w:ind w:left="1987" w:hanging="1987"/>
      </w:pPr>
      <w:r>
        <w:rPr>
          <w:b/>
          <w:lang w:val="fr-FR"/>
        </w:rPr>
        <w:t>En pause</w:t>
      </w:r>
      <w:r w:rsidR="00396DD5">
        <w:tab/>
      </w:r>
      <w:r>
        <w:rPr>
          <w:lang w:val="fr-FR"/>
        </w:rPr>
        <w:t>L’action a été lancée ou devait l’être mais elle a été interrompue.</w:t>
      </w:r>
    </w:p>
    <w:p w14:paraId="5BD8032C" w14:textId="4438DA33" w:rsidR="00396DD5" w:rsidRDefault="00A945F3" w:rsidP="00F36AAD">
      <w:pPr>
        <w:tabs>
          <w:tab w:val="left" w:pos="1980"/>
          <w:tab w:val="left" w:pos="2160"/>
        </w:tabs>
        <w:spacing w:before="240" w:after="120" w:line="240" w:lineRule="auto"/>
      </w:pPr>
      <w:r>
        <w:rPr>
          <w:b/>
          <w:lang w:val="fr-FR"/>
        </w:rPr>
        <w:lastRenderedPageBreak/>
        <w:t>Lancement à une date ultérieure</w:t>
      </w:r>
      <w:r w:rsidR="00396DD5">
        <w:tab/>
      </w:r>
      <w:r>
        <w:rPr>
          <w:lang w:val="fr-FR"/>
        </w:rPr>
        <w:t>Le lancement de l’action était prévu après le 30 juin 2023.</w:t>
      </w:r>
    </w:p>
    <w:p w14:paraId="65DC99DA" w14:textId="599D86C3" w:rsidR="0020422A" w:rsidRDefault="00A945F3" w:rsidP="00F36AAD">
      <w:pPr>
        <w:tabs>
          <w:tab w:val="left" w:pos="1980"/>
          <w:tab w:val="left" w:pos="2160"/>
        </w:tabs>
        <w:spacing w:before="240" w:after="120" w:line="240" w:lineRule="auto"/>
      </w:pPr>
      <w:r>
        <w:rPr>
          <w:b/>
          <w:lang w:val="fr-FR"/>
        </w:rPr>
        <w:t>S/O</w:t>
      </w:r>
      <w:r w:rsidR="0020422A">
        <w:tab/>
      </w:r>
      <w:r>
        <w:rPr>
          <w:lang w:val="fr-FR"/>
        </w:rPr>
        <w:t>L’action a été terminée avant le 30 juin 2022.</w:t>
      </w:r>
    </w:p>
    <w:p w14:paraId="0D2BFF93" w14:textId="08700072" w:rsidR="00A80F5E" w:rsidRDefault="00A945F3" w:rsidP="00F36AAD">
      <w:pPr>
        <w:spacing w:before="240" w:after="120" w:line="240" w:lineRule="auto"/>
      </w:pPr>
      <w:r>
        <w:rPr>
          <w:lang w:val="fr-FR"/>
        </w:rPr>
        <w:t>L’Annexe présente également l’état des actions du 1</w:t>
      </w:r>
      <w:r>
        <w:rPr>
          <w:vertAlign w:val="superscript"/>
          <w:lang w:val="fr-FR"/>
        </w:rPr>
        <w:t>er</w:t>
      </w:r>
      <w:r>
        <w:rPr>
          <w:lang w:val="fr-FR"/>
        </w:rPr>
        <w:t xml:space="preserve"> Rapport des Plans d’actions </w:t>
      </w:r>
      <w:proofErr w:type="gramStart"/>
      <w:r>
        <w:rPr>
          <w:lang w:val="fr-FR"/>
        </w:rPr>
        <w:t>ciblés</w:t>
      </w:r>
      <w:proofErr w:type="gramEnd"/>
      <w:r>
        <w:rPr>
          <w:lang w:val="fr-FR"/>
        </w:rPr>
        <w:t xml:space="preserve"> à des fins de comparaisons. Toutes les actions ont été reliées aux Mesures prioritaires de la Stratégie correspondantes.</w:t>
      </w:r>
    </w:p>
    <w:p w14:paraId="28C26D98" w14:textId="3CD67579" w:rsidR="007F1217" w:rsidRDefault="00A945F3" w:rsidP="00F36AAD">
      <w:pPr>
        <w:spacing w:before="240" w:after="120" w:line="240" w:lineRule="auto"/>
        <w:rPr>
          <w:rStyle w:val="Hyperlink"/>
          <w:b w:val="0"/>
        </w:rPr>
      </w:pPr>
      <w:r>
        <w:rPr>
          <w:lang w:val="fr-FR"/>
        </w:rPr>
        <w:t>De plus amples informations sur la Stratégie et sur les PAC sont disponibles en ligne à l’adresse</w:t>
      </w:r>
      <w:r w:rsidR="00396DD5">
        <w:t xml:space="preserve"> </w:t>
      </w:r>
      <w:hyperlink r:id="rId17" w:history="1">
        <w:r w:rsidR="00396DD5" w:rsidRPr="008F6E78">
          <w:rPr>
            <w:rStyle w:val="Hyperlink"/>
            <w:b w:val="0"/>
          </w:rPr>
          <w:t>www.disabilitygateway.gov.au/ads</w:t>
        </w:r>
      </w:hyperlink>
    </w:p>
    <w:p w14:paraId="717D5B5F" w14:textId="77777777" w:rsidR="007F1217" w:rsidRDefault="007F1217" w:rsidP="007F1217">
      <w:pPr>
        <w:rPr>
          <w:rStyle w:val="Hyperlink"/>
          <w:b w:val="0"/>
        </w:rPr>
      </w:pPr>
      <w:r>
        <w:rPr>
          <w:rStyle w:val="Hyperlink"/>
          <w:b w:val="0"/>
        </w:rPr>
        <w:br w:type="page"/>
      </w:r>
    </w:p>
    <w:p w14:paraId="19B1C08E" w14:textId="6744C08F" w:rsidR="00396DD5" w:rsidRPr="00F36AAD" w:rsidRDefault="00C03686" w:rsidP="00F36AAD">
      <w:pPr>
        <w:pStyle w:val="Heading1"/>
      </w:pPr>
      <w:bookmarkStart w:id="2" w:name="_Toc153226820"/>
      <w:r>
        <w:rPr>
          <w:lang w:val="fr-FR"/>
        </w:rPr>
        <w:lastRenderedPageBreak/>
        <w:t>Progrès au niveau national</w:t>
      </w:r>
      <w:bookmarkEnd w:id="2"/>
    </w:p>
    <w:p w14:paraId="0760F79C" w14:textId="77777777" w:rsidR="00905E0D" w:rsidRPr="00263AEA" w:rsidRDefault="00905E0D" w:rsidP="00905E0D">
      <w:pPr>
        <w:spacing w:before="240" w:after="240" w:line="240" w:lineRule="auto"/>
        <w:rPr>
          <w:rFonts w:cs="Arial"/>
          <w:lang w:val="fr-FR"/>
        </w:rPr>
      </w:pPr>
      <w:r>
        <w:rPr>
          <w:lang w:val="fr-FR"/>
        </w:rPr>
        <w:t xml:space="preserve">Le présent rapport vise essentiellement la période 2022-2023 et se focalise sur les avancées des 374 actions restantes, c’est-à-dire celles qui n’ont pas été terminées pendant la période 2021-2022. S’il est vrai que l’état d’avancement des actions pour la période du présent rapport affiche un nombre d’actions terminées supérieur à celui de 2021-2022, quelques PAC et certaines actions ont subi des retards, voire ont été interrompus. </w:t>
      </w:r>
    </w:p>
    <w:p w14:paraId="53E4B0D7" w14:textId="2E07C46F" w:rsidR="00905E0D" w:rsidRDefault="00905E0D" w:rsidP="00905E0D">
      <w:pPr>
        <w:spacing w:before="240" w:after="240" w:line="240" w:lineRule="auto"/>
      </w:pPr>
      <w:r>
        <w:rPr>
          <w:lang w:val="fr-FR"/>
        </w:rPr>
        <w:t>À première vue, les progrès à l’échelle nationale des 5 PAC englobant les 374 actions restantes en 2022-2023 indiquent que :</w:t>
      </w:r>
    </w:p>
    <w:p w14:paraId="2D9F9455" w14:textId="73B84B25" w:rsidR="00396DD5" w:rsidRDefault="00BF2555" w:rsidP="007F1217">
      <w:pPr>
        <w:pStyle w:val="ListParagraph"/>
        <w:numPr>
          <w:ilvl w:val="0"/>
          <w:numId w:val="36"/>
        </w:numPr>
        <w:spacing w:before="120" w:after="120" w:line="240" w:lineRule="auto"/>
        <w:ind w:left="360"/>
        <w:contextualSpacing w:val="0"/>
      </w:pPr>
      <w:r>
        <w:rPr>
          <w:b/>
          <w:lang w:val="fr-FR"/>
        </w:rPr>
        <w:t>311 (83 %)</w:t>
      </w:r>
      <w:r>
        <w:rPr>
          <w:lang w:val="fr-FR"/>
        </w:rPr>
        <w:t xml:space="preserve"> actions sont déclarées comme terminées ou en bonne voie dont :</w:t>
      </w:r>
    </w:p>
    <w:p w14:paraId="451973E5" w14:textId="26CF49C9" w:rsidR="00E37F9D" w:rsidRPr="00E37F9D" w:rsidRDefault="00BF2555" w:rsidP="007F1217">
      <w:pPr>
        <w:pStyle w:val="ListParagraph"/>
        <w:numPr>
          <w:ilvl w:val="1"/>
          <w:numId w:val="37"/>
        </w:numPr>
        <w:spacing w:before="120" w:after="120" w:line="240" w:lineRule="auto"/>
        <w:ind w:left="720"/>
        <w:contextualSpacing w:val="0"/>
      </w:pPr>
      <w:r>
        <w:rPr>
          <w:b/>
          <w:lang w:val="fr-FR"/>
        </w:rPr>
        <w:t>101 (27 %)</w:t>
      </w:r>
      <w:r>
        <w:rPr>
          <w:lang w:val="fr-FR"/>
        </w:rPr>
        <w:t xml:space="preserve"> actions terminées ; et</w:t>
      </w:r>
      <w:r w:rsidR="00D77A09">
        <w:t xml:space="preserve"> </w:t>
      </w:r>
    </w:p>
    <w:p w14:paraId="7BFDD2C3" w14:textId="28E98BEC" w:rsidR="00E37F9D" w:rsidRDefault="00BF2555" w:rsidP="007F1217">
      <w:pPr>
        <w:pStyle w:val="ListParagraph"/>
        <w:numPr>
          <w:ilvl w:val="1"/>
          <w:numId w:val="37"/>
        </w:numPr>
        <w:spacing w:before="120" w:after="120" w:line="240" w:lineRule="auto"/>
        <w:ind w:left="720"/>
        <w:contextualSpacing w:val="0"/>
      </w:pPr>
      <w:r>
        <w:rPr>
          <w:b/>
          <w:lang w:val="fr-FR"/>
        </w:rPr>
        <w:t>209 (56 %)</w:t>
      </w:r>
      <w:r>
        <w:rPr>
          <w:lang w:val="fr-FR"/>
        </w:rPr>
        <w:t xml:space="preserve"> actions en bonne voie.</w:t>
      </w:r>
    </w:p>
    <w:p w14:paraId="26B11882" w14:textId="2BB900C0" w:rsidR="00CC6483" w:rsidRDefault="00BF2555" w:rsidP="007F1217">
      <w:pPr>
        <w:pStyle w:val="ListParagraph"/>
        <w:numPr>
          <w:ilvl w:val="0"/>
          <w:numId w:val="36"/>
        </w:numPr>
        <w:spacing w:before="120" w:after="120" w:line="240" w:lineRule="auto"/>
        <w:ind w:left="360"/>
        <w:contextualSpacing w:val="0"/>
      </w:pPr>
      <w:r>
        <w:rPr>
          <w:b/>
          <w:lang w:val="fr-FR"/>
        </w:rPr>
        <w:t>64 (17 %)</w:t>
      </w:r>
      <w:r>
        <w:rPr>
          <w:lang w:val="fr-FR"/>
        </w:rPr>
        <w:t xml:space="preserve"> actions sont déclarées comme subissant quelques retards, interrompues ou prévues pour un lancement à une date ultérieure.</w:t>
      </w:r>
    </w:p>
    <w:p w14:paraId="5616A0CA" w14:textId="773FE825" w:rsidR="008363E4" w:rsidRDefault="00BF2555" w:rsidP="00F36AAD">
      <w:pPr>
        <w:spacing w:before="240" w:after="240" w:line="240" w:lineRule="auto"/>
      </w:pPr>
      <w:r>
        <w:rPr>
          <w:lang w:val="fr-FR"/>
        </w:rPr>
        <w:t>Les territoires ont enregistré les résultats suivants :</w:t>
      </w:r>
    </w:p>
    <w:p w14:paraId="7CB10E7A" w14:textId="77777777" w:rsidR="00BF2555" w:rsidRPr="00263AEA" w:rsidRDefault="00BF2555" w:rsidP="00BF2555">
      <w:pPr>
        <w:pStyle w:val="ListParagraph"/>
        <w:numPr>
          <w:ilvl w:val="0"/>
          <w:numId w:val="36"/>
        </w:numPr>
        <w:spacing w:after="0"/>
        <w:ind w:left="360"/>
        <w:contextualSpacing w:val="0"/>
        <w:rPr>
          <w:rFonts w:cs="Arial"/>
          <w:lang w:val="fr-FR"/>
        </w:rPr>
      </w:pPr>
      <w:r>
        <w:rPr>
          <w:lang w:val="fr-FR"/>
        </w:rPr>
        <w:t xml:space="preserve">Le Territoire de la Capitale australienne affiche le plus haut pourcentage d’actions terminées avec un chiffre de </w:t>
      </w:r>
      <w:r>
        <w:rPr>
          <w:b/>
          <w:lang w:val="fr-FR"/>
        </w:rPr>
        <w:t>58 %</w:t>
      </w:r>
      <w:r>
        <w:rPr>
          <w:lang w:val="fr-FR"/>
        </w:rPr>
        <w:t>.</w:t>
      </w:r>
    </w:p>
    <w:p w14:paraId="2F855A54" w14:textId="77777777" w:rsidR="00BF2555" w:rsidRPr="00263AEA" w:rsidRDefault="00BF2555" w:rsidP="00BF2555">
      <w:pPr>
        <w:pStyle w:val="ListParagraph"/>
        <w:numPr>
          <w:ilvl w:val="0"/>
          <w:numId w:val="36"/>
        </w:numPr>
        <w:spacing w:after="0"/>
        <w:ind w:left="360"/>
        <w:contextualSpacing w:val="0"/>
        <w:rPr>
          <w:rFonts w:cs="Arial"/>
          <w:lang w:val="fr-FR"/>
        </w:rPr>
      </w:pPr>
      <w:r>
        <w:rPr>
          <w:lang w:val="fr-FR"/>
        </w:rPr>
        <w:t xml:space="preserve">Le Territoire du Nord présente le pourcentage le plus élevé d’actions en bonne voie avec </w:t>
      </w:r>
      <w:r>
        <w:rPr>
          <w:b/>
          <w:lang w:val="fr-FR"/>
        </w:rPr>
        <w:t>79 %</w:t>
      </w:r>
      <w:r>
        <w:rPr>
          <w:lang w:val="fr-FR"/>
        </w:rPr>
        <w:t>.</w:t>
      </w:r>
    </w:p>
    <w:p w14:paraId="29E713AC" w14:textId="77777777" w:rsidR="00BF2555" w:rsidRPr="00263AEA" w:rsidRDefault="00BF2555" w:rsidP="00BF2555">
      <w:pPr>
        <w:pStyle w:val="ListParagraph"/>
        <w:numPr>
          <w:ilvl w:val="0"/>
          <w:numId w:val="36"/>
        </w:numPr>
        <w:spacing w:after="0"/>
        <w:ind w:left="360"/>
        <w:contextualSpacing w:val="0"/>
        <w:rPr>
          <w:rFonts w:cs="Arial"/>
          <w:lang w:val="fr-FR"/>
        </w:rPr>
      </w:pPr>
      <w:r>
        <w:rPr>
          <w:lang w:val="fr-FR"/>
        </w:rPr>
        <w:t xml:space="preserve">Dans le Victoria et en Australie-Occidentale, les pourcentages d’actions terminées et en bonne voie sont respectivement de </w:t>
      </w:r>
      <w:r>
        <w:rPr>
          <w:b/>
          <w:lang w:val="fr-FR"/>
        </w:rPr>
        <w:t>96 %</w:t>
      </w:r>
      <w:r>
        <w:rPr>
          <w:lang w:val="fr-FR"/>
        </w:rPr>
        <w:t xml:space="preserve"> et </w:t>
      </w:r>
      <w:r>
        <w:rPr>
          <w:b/>
          <w:lang w:val="fr-FR"/>
        </w:rPr>
        <w:t>97 %</w:t>
      </w:r>
      <w:r>
        <w:rPr>
          <w:lang w:val="fr-FR"/>
        </w:rPr>
        <w:t xml:space="preserve">. </w:t>
      </w:r>
    </w:p>
    <w:p w14:paraId="6B6AD66D" w14:textId="1A900D8E" w:rsidR="00BF2555" w:rsidRDefault="00BF2555" w:rsidP="00BF2555">
      <w:pPr>
        <w:pStyle w:val="ListParagraph"/>
        <w:numPr>
          <w:ilvl w:val="0"/>
          <w:numId w:val="36"/>
        </w:numPr>
        <w:spacing w:before="120" w:after="120" w:line="240" w:lineRule="auto"/>
        <w:ind w:left="360"/>
        <w:contextualSpacing w:val="0"/>
      </w:pPr>
      <w:r>
        <w:rPr>
          <w:lang w:val="fr-FR"/>
        </w:rPr>
        <w:t xml:space="preserve">Les gouvernements fédéral et de Nouvelle-Galles du Sud affichent les pourcentages les plus élevés d’actions avec quelques retards ou interrompues avec respectivement </w:t>
      </w:r>
      <w:r>
        <w:rPr>
          <w:b/>
          <w:lang w:val="fr-FR"/>
        </w:rPr>
        <w:t>3</w:t>
      </w:r>
      <w:r w:rsidR="00DF1353">
        <w:rPr>
          <w:b/>
          <w:lang w:val="fr-FR"/>
        </w:rPr>
        <w:t>1</w:t>
      </w:r>
      <w:bookmarkStart w:id="3" w:name="_GoBack"/>
      <w:bookmarkEnd w:id="3"/>
      <w:r>
        <w:rPr>
          <w:b/>
          <w:lang w:val="fr-FR"/>
        </w:rPr>
        <w:t> %</w:t>
      </w:r>
      <w:r>
        <w:rPr>
          <w:lang w:val="fr-FR"/>
        </w:rPr>
        <w:t xml:space="preserve"> et </w:t>
      </w:r>
      <w:r>
        <w:rPr>
          <w:b/>
          <w:lang w:val="fr-FR"/>
        </w:rPr>
        <w:t>35 %</w:t>
      </w:r>
      <w:r>
        <w:rPr>
          <w:lang w:val="fr-FR"/>
        </w:rPr>
        <w:t>.</w:t>
      </w:r>
    </w:p>
    <w:p w14:paraId="0482E5CE" w14:textId="2E28E8F4" w:rsidR="00A54DB9" w:rsidRPr="00866510" w:rsidRDefault="00BF2555" w:rsidP="00866510">
      <w:pPr>
        <w:spacing w:before="240" w:after="240" w:line="240" w:lineRule="auto"/>
      </w:pPr>
      <w:r>
        <w:rPr>
          <w:lang w:val="fr-FR"/>
        </w:rPr>
        <w:t xml:space="preserve">Les territoires ont constaté que certaines actions ont du retard ou ont été interrompues en raison de retards dus à la COVID-19 ou dans l’attente de remise de rapports, notamment celui de la Commission royale d’enquête sur la violence, la maltraitance, la négligence et l’exploitation des personnes en situation de handicap (Royal Commission </w:t>
      </w:r>
      <w:proofErr w:type="spellStart"/>
      <w:r>
        <w:rPr>
          <w:lang w:val="fr-FR"/>
        </w:rPr>
        <w:t>into</w:t>
      </w:r>
      <w:proofErr w:type="spellEnd"/>
      <w:r>
        <w:rPr>
          <w:lang w:val="fr-FR"/>
        </w:rPr>
        <w:t xml:space="preserve"> Violence, Abuse, </w:t>
      </w:r>
      <w:proofErr w:type="spellStart"/>
      <w:r>
        <w:rPr>
          <w:lang w:val="fr-FR"/>
        </w:rPr>
        <w:t>Neglect</w:t>
      </w:r>
      <w:proofErr w:type="spellEnd"/>
      <w:r>
        <w:rPr>
          <w:lang w:val="fr-FR"/>
        </w:rPr>
        <w:t xml:space="preserve"> and Exploitation of People </w:t>
      </w:r>
      <w:proofErr w:type="spellStart"/>
      <w:r>
        <w:rPr>
          <w:lang w:val="fr-FR"/>
        </w:rPr>
        <w:t>with</w:t>
      </w:r>
      <w:proofErr w:type="spellEnd"/>
      <w:r>
        <w:rPr>
          <w:lang w:val="fr-FR"/>
        </w:rPr>
        <w:t xml:space="preserve"> </w:t>
      </w:r>
      <w:proofErr w:type="spellStart"/>
      <w:r>
        <w:rPr>
          <w:lang w:val="fr-FR"/>
        </w:rPr>
        <w:t>Disability</w:t>
      </w:r>
      <w:proofErr w:type="spellEnd"/>
      <w:r>
        <w:rPr>
          <w:lang w:val="fr-FR"/>
        </w:rPr>
        <w:t xml:space="preserve">) et celui de l’examen du NDIS. En outre, certaines actions ont également subi des retards ou ont été interrompues suite à des modifications de calendriers nécessaires pour s’aligner sur d’autres activités gouvernementales telles que la Stratégie nationale pour l’autisme (National </w:t>
      </w:r>
      <w:proofErr w:type="spellStart"/>
      <w:r>
        <w:rPr>
          <w:lang w:val="fr-FR"/>
        </w:rPr>
        <w:t>Autism</w:t>
      </w:r>
      <w:proofErr w:type="spellEnd"/>
      <w:r>
        <w:rPr>
          <w:lang w:val="fr-FR"/>
        </w:rPr>
        <w:t xml:space="preserve"> </w:t>
      </w:r>
      <w:proofErr w:type="spellStart"/>
      <w:r>
        <w:rPr>
          <w:lang w:val="fr-FR"/>
        </w:rPr>
        <w:t>Strategy</w:t>
      </w:r>
      <w:proofErr w:type="spellEnd"/>
      <w:r>
        <w:rPr>
          <w:lang w:val="fr-FR"/>
        </w:rPr>
        <w:t>) et la Stratégie pour la petite enfance (</w:t>
      </w:r>
      <w:proofErr w:type="spellStart"/>
      <w:r>
        <w:rPr>
          <w:lang w:val="fr-FR"/>
        </w:rPr>
        <w:t>Early</w:t>
      </w:r>
      <w:proofErr w:type="spellEnd"/>
      <w:r>
        <w:rPr>
          <w:lang w:val="fr-FR"/>
        </w:rPr>
        <w:t xml:space="preserve"> </w:t>
      </w:r>
      <w:proofErr w:type="spellStart"/>
      <w:r>
        <w:rPr>
          <w:lang w:val="fr-FR"/>
        </w:rPr>
        <w:t>Years</w:t>
      </w:r>
      <w:proofErr w:type="spellEnd"/>
      <w:r>
        <w:rPr>
          <w:lang w:val="fr-FR"/>
        </w:rPr>
        <w:t xml:space="preserve"> </w:t>
      </w:r>
      <w:proofErr w:type="spellStart"/>
      <w:r>
        <w:rPr>
          <w:lang w:val="fr-FR"/>
        </w:rPr>
        <w:t>Strategy</w:t>
      </w:r>
      <w:proofErr w:type="spellEnd"/>
      <w:r>
        <w:rPr>
          <w:lang w:val="fr-FR"/>
        </w:rPr>
        <w:t>). De même, il peut arriver que négocier des prises de position et conclure des accords de partage de données entre territoires prennent plus de temps que prévu.</w:t>
      </w:r>
    </w:p>
    <w:p w14:paraId="1C36F253" w14:textId="5A461987" w:rsidR="00A54DB9" w:rsidRPr="0066071F" w:rsidRDefault="00866510" w:rsidP="0066071F">
      <w:pPr>
        <w:rPr>
          <w:b/>
          <w:bCs/>
          <w:color w:val="6C1740"/>
          <w:sz w:val="94"/>
          <w:szCs w:val="94"/>
        </w:rPr>
      </w:pPr>
      <w:proofErr w:type="spellStart"/>
      <w:r w:rsidRPr="00866510">
        <w:rPr>
          <w:b/>
          <w:bCs/>
          <w:color w:val="6C1740"/>
          <w:sz w:val="94"/>
          <w:szCs w:val="94"/>
        </w:rPr>
        <w:lastRenderedPageBreak/>
        <w:t>Progrès</w:t>
      </w:r>
      <w:proofErr w:type="spellEnd"/>
      <w:r w:rsidRPr="00866510">
        <w:rPr>
          <w:b/>
          <w:bCs/>
          <w:color w:val="6C1740"/>
          <w:sz w:val="94"/>
          <w:szCs w:val="94"/>
        </w:rPr>
        <w:t xml:space="preserve"> au </w:t>
      </w:r>
      <w:proofErr w:type="spellStart"/>
      <w:r w:rsidRPr="00866510">
        <w:rPr>
          <w:b/>
          <w:bCs/>
          <w:color w:val="6C1740"/>
          <w:sz w:val="94"/>
          <w:szCs w:val="94"/>
        </w:rPr>
        <w:t>niveau</w:t>
      </w:r>
      <w:proofErr w:type="spellEnd"/>
      <w:r w:rsidRPr="00866510">
        <w:rPr>
          <w:b/>
          <w:bCs/>
          <w:color w:val="6C1740"/>
          <w:sz w:val="94"/>
          <w:szCs w:val="94"/>
        </w:rPr>
        <w:t xml:space="preserve"> national</w:t>
      </w:r>
    </w:p>
    <w:p w14:paraId="66441F99" w14:textId="7E52FD18" w:rsidR="00CC1683" w:rsidRDefault="00866510" w:rsidP="00F36AAD">
      <w:pPr>
        <w:spacing w:before="240" w:after="240" w:line="240" w:lineRule="auto"/>
      </w:pPr>
      <w:r>
        <w:rPr>
          <w:lang w:val="fr-FR"/>
        </w:rPr>
        <w:t>Pour la période allant du 1</w:t>
      </w:r>
      <w:r>
        <w:rPr>
          <w:vertAlign w:val="superscript"/>
          <w:lang w:val="fr-FR"/>
        </w:rPr>
        <w:t>er</w:t>
      </w:r>
      <w:r>
        <w:rPr>
          <w:lang w:val="fr-FR"/>
        </w:rPr>
        <w:t> juillet 2022 au 30 juin 2023, 80 % des actions de la plupart des PAC, si ce n’est plus, étaient terminées ou en bonne voie au cours de la période visée. Le PAC Gestion des situations d’urgence a enregistré le plus fort pourcentage d’activités terminées et en bonne voie avec 93 %. Le PAC Sécurité a quant à lui présenté le plus faible pourcentage d’actions terminées et en bonne voie avec 74 % et le deuxième pourcentage le plus élevé d’actions terminées avec 29 %.</w:t>
      </w:r>
    </w:p>
    <w:p w14:paraId="276FB7F2" w14:textId="5BF13FEC" w:rsidR="006B3368" w:rsidRPr="007F1217" w:rsidRDefault="00866510" w:rsidP="00F36AAD">
      <w:pPr>
        <w:spacing w:before="240" w:after="240"/>
        <w:rPr>
          <w:b/>
          <w:color w:val="6C1740"/>
        </w:rPr>
      </w:pPr>
      <w:r w:rsidRPr="00866510">
        <w:rPr>
          <w:b/>
          <w:color w:val="6C1740"/>
        </w:rPr>
        <w:t xml:space="preserve">Tableau </w:t>
      </w:r>
      <w:proofErr w:type="gramStart"/>
      <w:r w:rsidRPr="00866510">
        <w:rPr>
          <w:b/>
          <w:color w:val="6C1740"/>
        </w:rPr>
        <w:t>1 :</w:t>
      </w:r>
      <w:proofErr w:type="gramEnd"/>
      <w:r w:rsidRPr="00866510">
        <w:rPr>
          <w:b/>
          <w:color w:val="6C1740"/>
        </w:rPr>
        <w:t xml:space="preserve"> </w:t>
      </w:r>
      <w:proofErr w:type="spellStart"/>
      <w:r w:rsidRPr="00866510">
        <w:rPr>
          <w:b/>
          <w:color w:val="6C1740"/>
        </w:rPr>
        <w:t>état</w:t>
      </w:r>
      <w:proofErr w:type="spellEnd"/>
      <w:r w:rsidRPr="00866510">
        <w:rPr>
          <w:b/>
          <w:color w:val="6C1740"/>
        </w:rPr>
        <w:t xml:space="preserve"> </w:t>
      </w:r>
      <w:proofErr w:type="spellStart"/>
      <w:r w:rsidRPr="00866510">
        <w:rPr>
          <w:b/>
          <w:color w:val="6C1740"/>
        </w:rPr>
        <w:t>d’avancement</w:t>
      </w:r>
      <w:proofErr w:type="spellEnd"/>
      <w:r w:rsidRPr="00866510">
        <w:rPr>
          <w:b/>
          <w:color w:val="6C1740"/>
        </w:rPr>
        <w:t xml:space="preserve"> des actions des PAC pour la </w:t>
      </w:r>
      <w:proofErr w:type="spellStart"/>
      <w:r w:rsidRPr="00866510">
        <w:rPr>
          <w:b/>
          <w:color w:val="6C1740"/>
        </w:rPr>
        <w:t>période</w:t>
      </w:r>
      <w:proofErr w:type="spellEnd"/>
      <w:r w:rsidRPr="00866510">
        <w:rPr>
          <w:b/>
          <w:color w:val="6C1740"/>
        </w:rPr>
        <w:t xml:space="preserve">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628"/>
        <w:gridCol w:w="1168"/>
        <w:gridCol w:w="1168"/>
        <w:gridCol w:w="1168"/>
        <w:gridCol w:w="1169"/>
        <w:gridCol w:w="1772"/>
        <w:gridCol w:w="1169"/>
      </w:tblGrid>
      <w:tr w:rsidR="00752358" w:rsidRPr="007F1217" w14:paraId="640E416C" w14:textId="77777777" w:rsidTr="00C21A30">
        <w:tc>
          <w:tcPr>
            <w:tcW w:w="800" w:type="pct"/>
            <w:tcBorders>
              <w:top w:val="single" w:sz="4" w:space="0" w:color="auto"/>
              <w:bottom w:val="single" w:sz="4" w:space="0" w:color="auto"/>
              <w:right w:val="single" w:sz="4" w:space="0" w:color="FFFFFF" w:themeColor="background1"/>
            </w:tcBorders>
            <w:shd w:val="clear" w:color="auto" w:fill="6C1740"/>
          </w:tcPr>
          <w:p w14:paraId="2549FB2D" w14:textId="7E8CEEB3" w:rsidR="00752358" w:rsidRPr="00A86D39" w:rsidRDefault="00A86D39" w:rsidP="006877D0">
            <w:pPr>
              <w:rPr>
                <w:b/>
                <w:color w:val="FFFFFF" w:themeColor="background1"/>
                <w:sz w:val="20"/>
                <w:szCs w:val="20"/>
              </w:rPr>
            </w:pPr>
            <w:bookmarkStart w:id="4" w:name="Title_01"/>
            <w:bookmarkEnd w:id="4"/>
            <w:r w:rsidRPr="00A86D39">
              <w:rPr>
                <w:rFonts w:eastAsia="Times New Roman" w:cs="Calibri"/>
                <w:b/>
                <w:bCs/>
                <w:color w:val="FFFFFF" w:themeColor="background1"/>
                <w:sz w:val="20"/>
                <w:szCs w:val="20"/>
                <w:lang w:val="fr" w:eastAsia="en-AU"/>
              </w:rPr>
              <w:t>Gouvernement</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1BB93291" w:rsidR="00752358" w:rsidRPr="00A86D39" w:rsidRDefault="00A86D39" w:rsidP="00F36AAD">
            <w:pPr>
              <w:jc w:val="right"/>
              <w:rPr>
                <w:b/>
                <w:color w:val="FFFFFF" w:themeColor="background1"/>
                <w:sz w:val="20"/>
                <w:szCs w:val="20"/>
              </w:rPr>
            </w:pPr>
            <w:r w:rsidRPr="00A86D39">
              <w:rPr>
                <w:rFonts w:eastAsia="Times New Roman" w:cs="Calibri"/>
                <w:b/>
                <w:bCs/>
                <w:color w:val="FFFFFF" w:themeColor="background1"/>
                <w:sz w:val="20"/>
                <w:szCs w:val="20"/>
                <w:lang w:val="fr" w:eastAsia="en-AU"/>
              </w:rPr>
              <w:t>Finalisé</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44B09411" w:rsidR="00752358" w:rsidRPr="00A86D39" w:rsidRDefault="00A86D39" w:rsidP="00F36AAD">
            <w:pPr>
              <w:jc w:val="right"/>
              <w:rPr>
                <w:b/>
                <w:color w:val="FFFFFF" w:themeColor="background1"/>
                <w:sz w:val="20"/>
                <w:szCs w:val="20"/>
              </w:rPr>
            </w:pPr>
            <w:r w:rsidRPr="00A86D39">
              <w:rPr>
                <w:rFonts w:eastAsia="Times New Roman" w:cs="Calibri"/>
                <w:b/>
                <w:bCs/>
                <w:color w:val="FFFFFF" w:themeColor="background1"/>
                <w:sz w:val="20"/>
                <w:szCs w:val="20"/>
                <w:lang w:val="fr" w:eastAsia="en-AU"/>
              </w:rPr>
              <w:t>En bonne voie</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3E3D5CC2" w:rsidR="00752358" w:rsidRPr="00A86D39" w:rsidRDefault="00A86D39" w:rsidP="00F36AAD">
            <w:pPr>
              <w:jc w:val="right"/>
              <w:rPr>
                <w:b/>
                <w:color w:val="FFFFFF" w:themeColor="background1"/>
                <w:sz w:val="20"/>
                <w:szCs w:val="20"/>
              </w:rPr>
            </w:pPr>
            <w:r w:rsidRPr="00A86D39">
              <w:rPr>
                <w:rFonts w:eastAsia="Times New Roman" w:cs="Calibri"/>
                <w:b/>
                <w:bCs/>
                <w:color w:val="FFFFFF" w:themeColor="background1"/>
                <w:sz w:val="20"/>
                <w:szCs w:val="20"/>
                <w:lang w:val="fr" w:eastAsia="en-AU"/>
              </w:rPr>
              <w:t>Quelques retards</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55C4AF6A" w:rsidR="00752358" w:rsidRPr="00A86D39" w:rsidRDefault="00A86D39" w:rsidP="00F36AAD">
            <w:pPr>
              <w:jc w:val="right"/>
              <w:rPr>
                <w:b/>
                <w:color w:val="FFFFFF" w:themeColor="background1"/>
                <w:sz w:val="20"/>
                <w:szCs w:val="20"/>
              </w:rPr>
            </w:pPr>
            <w:r w:rsidRPr="00A86D39">
              <w:rPr>
                <w:rFonts w:eastAsia="Times New Roman" w:cs="Calibri"/>
                <w:b/>
                <w:bCs/>
                <w:color w:val="FFFFFF" w:themeColor="background1"/>
                <w:sz w:val="20"/>
                <w:szCs w:val="20"/>
                <w:lang w:val="fr" w:eastAsia="en-AU"/>
              </w:rPr>
              <w:t>En pause</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3E4CC83A" w:rsidR="00752358" w:rsidRPr="00A86D39" w:rsidRDefault="00A86D39" w:rsidP="00F36AAD">
            <w:pPr>
              <w:jc w:val="right"/>
              <w:rPr>
                <w:b/>
                <w:color w:val="FFFFFF" w:themeColor="background1"/>
                <w:sz w:val="20"/>
                <w:szCs w:val="20"/>
              </w:rPr>
            </w:pPr>
            <w:r w:rsidRPr="00A86D39">
              <w:rPr>
                <w:rFonts w:eastAsia="Times New Roman" w:cs="Calibri"/>
                <w:b/>
                <w:bCs/>
                <w:color w:val="FFFFFF" w:themeColor="background1"/>
                <w:sz w:val="20"/>
                <w:szCs w:val="20"/>
                <w:lang w:val="fr" w:eastAsia="en-AU"/>
              </w:rPr>
              <w:t>Commencement à une date ultérieure</w:t>
            </w:r>
          </w:p>
        </w:tc>
        <w:tc>
          <w:tcPr>
            <w:tcW w:w="700" w:type="pct"/>
            <w:tcBorders>
              <w:top w:val="single" w:sz="4" w:space="0" w:color="auto"/>
              <w:left w:val="single" w:sz="4" w:space="0" w:color="FFFFFF" w:themeColor="background1"/>
              <w:bottom w:val="single" w:sz="4" w:space="0" w:color="auto"/>
            </w:tcBorders>
            <w:shd w:val="clear" w:color="auto" w:fill="6C1740"/>
          </w:tcPr>
          <w:p w14:paraId="6904466A" w14:textId="7AAE0676" w:rsidR="00752358" w:rsidRPr="00A86D39" w:rsidRDefault="00752358" w:rsidP="00F36AAD">
            <w:pPr>
              <w:jc w:val="right"/>
              <w:rPr>
                <w:b/>
                <w:color w:val="FFFFFF" w:themeColor="background1"/>
                <w:sz w:val="20"/>
                <w:szCs w:val="20"/>
              </w:rPr>
            </w:pPr>
            <w:r w:rsidRPr="00A86D39">
              <w:rPr>
                <w:b/>
                <w:color w:val="FFFFFF" w:themeColor="background1"/>
                <w:sz w:val="20"/>
                <w:szCs w:val="20"/>
              </w:rPr>
              <w:t>Total</w:t>
            </w:r>
          </w:p>
        </w:tc>
      </w:tr>
      <w:tr w:rsidR="00752358" w:rsidRPr="007F1217" w14:paraId="7C32DC8E" w14:textId="77777777" w:rsidTr="00C21A30">
        <w:tc>
          <w:tcPr>
            <w:tcW w:w="800" w:type="pct"/>
            <w:tcBorders>
              <w:top w:val="single" w:sz="4" w:space="0" w:color="auto"/>
            </w:tcBorders>
          </w:tcPr>
          <w:p w14:paraId="11F0C22D" w14:textId="06A225AD" w:rsidR="00752358" w:rsidRPr="00A86D39" w:rsidRDefault="00A86D39" w:rsidP="006877D0">
            <w:pPr>
              <w:rPr>
                <w:sz w:val="20"/>
                <w:szCs w:val="20"/>
              </w:rPr>
            </w:pPr>
            <w:r w:rsidRPr="00A86D39">
              <w:rPr>
                <w:rFonts w:eastAsia="Times New Roman" w:cs="Calibri"/>
                <w:color w:val="000000"/>
                <w:sz w:val="20"/>
                <w:szCs w:val="20"/>
                <w:lang w:val="fr" w:eastAsia="en-AU"/>
              </w:rPr>
              <w:t>Gouvernement fédéral</w:t>
            </w:r>
          </w:p>
        </w:tc>
        <w:tc>
          <w:tcPr>
            <w:tcW w:w="700" w:type="pct"/>
            <w:tcBorders>
              <w:top w:val="single" w:sz="4" w:space="0" w:color="auto"/>
            </w:tcBorders>
          </w:tcPr>
          <w:p w14:paraId="5C55E813" w14:textId="15D5BD1F" w:rsidR="00752358" w:rsidRPr="007F1217" w:rsidRDefault="00C43D7A" w:rsidP="00F36AAD">
            <w:pPr>
              <w:jc w:val="right"/>
              <w:rPr>
                <w:sz w:val="20"/>
                <w:szCs w:val="20"/>
              </w:rPr>
            </w:pPr>
            <w:r w:rsidRPr="007F1217">
              <w:rPr>
                <w:sz w:val="20"/>
                <w:szCs w:val="20"/>
              </w:rPr>
              <w:t>12</w:t>
            </w:r>
          </w:p>
        </w:tc>
        <w:tc>
          <w:tcPr>
            <w:tcW w:w="700" w:type="pct"/>
            <w:tcBorders>
              <w:top w:val="single" w:sz="4" w:space="0" w:color="auto"/>
            </w:tcBorders>
          </w:tcPr>
          <w:p w14:paraId="66B515CA" w14:textId="63BE37D8" w:rsidR="00752358" w:rsidRPr="007F1217" w:rsidRDefault="009C41C7" w:rsidP="00F36AAD">
            <w:pPr>
              <w:jc w:val="right"/>
              <w:rPr>
                <w:sz w:val="20"/>
                <w:szCs w:val="20"/>
              </w:rPr>
            </w:pPr>
            <w:r w:rsidRPr="007F1217">
              <w:rPr>
                <w:sz w:val="20"/>
                <w:szCs w:val="20"/>
              </w:rPr>
              <w:t>23</w:t>
            </w:r>
          </w:p>
        </w:tc>
        <w:tc>
          <w:tcPr>
            <w:tcW w:w="700" w:type="pct"/>
            <w:tcBorders>
              <w:top w:val="single" w:sz="4" w:space="0" w:color="auto"/>
            </w:tcBorders>
          </w:tcPr>
          <w:p w14:paraId="4C11CE02" w14:textId="1371394E" w:rsidR="00752358" w:rsidRPr="007F1217" w:rsidRDefault="00C43D7A" w:rsidP="00F36AAD">
            <w:pPr>
              <w:jc w:val="right"/>
              <w:rPr>
                <w:sz w:val="20"/>
                <w:szCs w:val="20"/>
              </w:rPr>
            </w:pPr>
            <w:r w:rsidRPr="007F1217">
              <w:rPr>
                <w:sz w:val="20"/>
                <w:szCs w:val="20"/>
              </w:rPr>
              <w:t>1</w:t>
            </w:r>
            <w:r w:rsidR="009C41C7" w:rsidRPr="007F1217">
              <w:rPr>
                <w:sz w:val="20"/>
                <w:szCs w:val="20"/>
              </w:rPr>
              <w:t>6</w:t>
            </w:r>
          </w:p>
        </w:tc>
        <w:tc>
          <w:tcPr>
            <w:tcW w:w="700" w:type="pct"/>
            <w:tcBorders>
              <w:top w:val="single" w:sz="4" w:space="0" w:color="auto"/>
            </w:tcBorders>
          </w:tcPr>
          <w:p w14:paraId="62190495" w14:textId="77777777" w:rsidR="00752358" w:rsidRPr="007F1217" w:rsidRDefault="00752358" w:rsidP="00F36AAD">
            <w:pPr>
              <w:jc w:val="right"/>
              <w:rPr>
                <w:sz w:val="20"/>
                <w:szCs w:val="20"/>
              </w:rPr>
            </w:pPr>
            <w:r w:rsidRPr="007F1217">
              <w:rPr>
                <w:sz w:val="20"/>
                <w:szCs w:val="20"/>
              </w:rPr>
              <w:t>1</w:t>
            </w:r>
          </w:p>
        </w:tc>
        <w:tc>
          <w:tcPr>
            <w:tcW w:w="700" w:type="pct"/>
            <w:tcBorders>
              <w:top w:val="single" w:sz="4" w:space="0" w:color="auto"/>
            </w:tcBorders>
          </w:tcPr>
          <w:p w14:paraId="74D1AA82" w14:textId="77777777" w:rsidR="00752358" w:rsidRPr="007F1217" w:rsidRDefault="00752358" w:rsidP="00F36AAD">
            <w:pPr>
              <w:jc w:val="right"/>
              <w:rPr>
                <w:sz w:val="20"/>
                <w:szCs w:val="20"/>
              </w:rPr>
            </w:pPr>
            <w:r w:rsidRPr="007F1217">
              <w:rPr>
                <w:sz w:val="20"/>
                <w:szCs w:val="20"/>
              </w:rPr>
              <w:t>2</w:t>
            </w:r>
          </w:p>
        </w:tc>
        <w:tc>
          <w:tcPr>
            <w:tcW w:w="700" w:type="pct"/>
            <w:tcBorders>
              <w:top w:val="single" w:sz="4" w:space="0" w:color="auto"/>
            </w:tcBorders>
          </w:tcPr>
          <w:p w14:paraId="1E63F821" w14:textId="2F14D76B" w:rsidR="00752358" w:rsidRPr="007F1217" w:rsidRDefault="00620C2B" w:rsidP="00F36AAD">
            <w:pPr>
              <w:jc w:val="right"/>
              <w:rPr>
                <w:sz w:val="20"/>
                <w:szCs w:val="20"/>
              </w:rPr>
            </w:pPr>
            <w:r w:rsidRPr="007F1217">
              <w:rPr>
                <w:sz w:val="20"/>
                <w:szCs w:val="20"/>
              </w:rPr>
              <w:t>54</w:t>
            </w:r>
          </w:p>
        </w:tc>
      </w:tr>
      <w:tr w:rsidR="00752358" w:rsidRPr="007F1217" w14:paraId="7F4E5126" w14:textId="77777777" w:rsidTr="00C21A30">
        <w:tc>
          <w:tcPr>
            <w:tcW w:w="800" w:type="pct"/>
            <w:shd w:val="clear" w:color="auto" w:fill="FAF9F8"/>
          </w:tcPr>
          <w:p w14:paraId="46443A3B" w14:textId="77777777" w:rsidR="00752358" w:rsidRPr="00A86D39" w:rsidRDefault="00752358" w:rsidP="006877D0">
            <w:pPr>
              <w:rPr>
                <w:sz w:val="20"/>
                <w:szCs w:val="20"/>
              </w:rPr>
            </w:pPr>
            <w:r w:rsidRPr="00A86D39">
              <w:rPr>
                <w:sz w:val="20"/>
                <w:szCs w:val="20"/>
              </w:rPr>
              <w:t>NSW</w:t>
            </w:r>
          </w:p>
        </w:tc>
        <w:tc>
          <w:tcPr>
            <w:tcW w:w="700" w:type="pct"/>
            <w:shd w:val="clear" w:color="auto" w:fill="FAF9F8"/>
          </w:tcPr>
          <w:p w14:paraId="427AD302" w14:textId="77777777" w:rsidR="00752358" w:rsidRPr="007F1217" w:rsidRDefault="00752358" w:rsidP="00F36AAD">
            <w:pPr>
              <w:jc w:val="right"/>
              <w:rPr>
                <w:sz w:val="20"/>
                <w:szCs w:val="20"/>
              </w:rPr>
            </w:pPr>
            <w:r w:rsidRPr="007F1217">
              <w:rPr>
                <w:sz w:val="20"/>
                <w:szCs w:val="20"/>
              </w:rPr>
              <w:t>3</w:t>
            </w:r>
          </w:p>
        </w:tc>
        <w:tc>
          <w:tcPr>
            <w:tcW w:w="700" w:type="pct"/>
            <w:shd w:val="clear" w:color="auto" w:fill="FAF9F8"/>
          </w:tcPr>
          <w:p w14:paraId="7CFDCAF1" w14:textId="77777777" w:rsidR="00752358" w:rsidRPr="007F1217" w:rsidRDefault="00752358" w:rsidP="00F36AAD">
            <w:pPr>
              <w:jc w:val="right"/>
              <w:rPr>
                <w:sz w:val="20"/>
                <w:szCs w:val="20"/>
                <w:lang w:val="en-US"/>
              </w:rPr>
            </w:pPr>
            <w:r w:rsidRPr="007F1217">
              <w:rPr>
                <w:sz w:val="20"/>
                <w:szCs w:val="20"/>
              </w:rPr>
              <w:t>25</w:t>
            </w:r>
          </w:p>
        </w:tc>
        <w:tc>
          <w:tcPr>
            <w:tcW w:w="700" w:type="pct"/>
            <w:shd w:val="clear" w:color="auto" w:fill="FAF9F8"/>
          </w:tcPr>
          <w:p w14:paraId="2F5F69E0" w14:textId="77777777" w:rsidR="00752358" w:rsidRPr="007F1217" w:rsidRDefault="00752358" w:rsidP="00F36AAD">
            <w:pPr>
              <w:jc w:val="right"/>
              <w:rPr>
                <w:sz w:val="20"/>
                <w:szCs w:val="20"/>
              </w:rPr>
            </w:pPr>
            <w:r w:rsidRPr="007F1217">
              <w:rPr>
                <w:sz w:val="20"/>
                <w:szCs w:val="20"/>
              </w:rPr>
              <w:t>12</w:t>
            </w:r>
          </w:p>
        </w:tc>
        <w:tc>
          <w:tcPr>
            <w:tcW w:w="700" w:type="pct"/>
            <w:shd w:val="clear" w:color="auto" w:fill="FAF9F8"/>
          </w:tcPr>
          <w:p w14:paraId="7A6D869F" w14:textId="77777777" w:rsidR="00752358" w:rsidRPr="007F1217" w:rsidRDefault="00752358" w:rsidP="00F36AAD">
            <w:pPr>
              <w:jc w:val="right"/>
              <w:rPr>
                <w:sz w:val="20"/>
                <w:szCs w:val="20"/>
              </w:rPr>
            </w:pPr>
            <w:r w:rsidRPr="007F1217">
              <w:rPr>
                <w:sz w:val="20"/>
                <w:szCs w:val="20"/>
              </w:rPr>
              <w:t>3</w:t>
            </w:r>
          </w:p>
        </w:tc>
        <w:tc>
          <w:tcPr>
            <w:tcW w:w="700" w:type="pct"/>
            <w:shd w:val="clear" w:color="auto" w:fill="FAF9F8"/>
          </w:tcPr>
          <w:p w14:paraId="56D27034" w14:textId="77777777" w:rsidR="00752358" w:rsidRPr="007F1217" w:rsidRDefault="00752358" w:rsidP="00F36AAD">
            <w:pPr>
              <w:jc w:val="right"/>
              <w:rPr>
                <w:sz w:val="20"/>
                <w:szCs w:val="20"/>
              </w:rPr>
            </w:pPr>
            <w:r w:rsidRPr="007F1217">
              <w:rPr>
                <w:sz w:val="20"/>
                <w:szCs w:val="20"/>
              </w:rPr>
              <w:t>0</w:t>
            </w:r>
          </w:p>
        </w:tc>
        <w:tc>
          <w:tcPr>
            <w:tcW w:w="700" w:type="pct"/>
            <w:shd w:val="clear" w:color="auto" w:fill="FAF9F8"/>
          </w:tcPr>
          <w:p w14:paraId="1E2EAA77" w14:textId="5B9FE22D" w:rsidR="00752358" w:rsidRPr="007F1217" w:rsidRDefault="00620C2B" w:rsidP="00F36AAD">
            <w:pPr>
              <w:jc w:val="right"/>
              <w:rPr>
                <w:sz w:val="20"/>
                <w:szCs w:val="20"/>
              </w:rPr>
            </w:pPr>
            <w:r w:rsidRPr="007F1217">
              <w:rPr>
                <w:sz w:val="20"/>
                <w:szCs w:val="20"/>
              </w:rPr>
              <w:t>43</w:t>
            </w:r>
          </w:p>
        </w:tc>
      </w:tr>
      <w:tr w:rsidR="00752358" w:rsidRPr="007F1217" w14:paraId="6873084C" w14:textId="77777777" w:rsidTr="00C21A30">
        <w:tc>
          <w:tcPr>
            <w:tcW w:w="800" w:type="pct"/>
          </w:tcPr>
          <w:p w14:paraId="7A8C084D" w14:textId="77777777" w:rsidR="00752358" w:rsidRPr="00A86D39" w:rsidRDefault="00752358" w:rsidP="006877D0">
            <w:pPr>
              <w:rPr>
                <w:sz w:val="20"/>
                <w:szCs w:val="20"/>
              </w:rPr>
            </w:pPr>
            <w:r w:rsidRPr="00A86D39">
              <w:rPr>
                <w:sz w:val="20"/>
                <w:szCs w:val="20"/>
              </w:rPr>
              <w:t>VIC</w:t>
            </w:r>
          </w:p>
        </w:tc>
        <w:tc>
          <w:tcPr>
            <w:tcW w:w="700" w:type="pct"/>
          </w:tcPr>
          <w:p w14:paraId="69276895" w14:textId="77777777" w:rsidR="00752358" w:rsidRPr="007F1217" w:rsidRDefault="00752358" w:rsidP="00F36AAD">
            <w:pPr>
              <w:jc w:val="right"/>
              <w:rPr>
                <w:sz w:val="20"/>
                <w:szCs w:val="20"/>
              </w:rPr>
            </w:pPr>
            <w:r w:rsidRPr="007F1217">
              <w:rPr>
                <w:sz w:val="20"/>
                <w:szCs w:val="20"/>
              </w:rPr>
              <w:t>18</w:t>
            </w:r>
          </w:p>
        </w:tc>
        <w:tc>
          <w:tcPr>
            <w:tcW w:w="700" w:type="pct"/>
          </w:tcPr>
          <w:p w14:paraId="27E40AA6" w14:textId="77777777" w:rsidR="00752358" w:rsidRPr="007F1217" w:rsidRDefault="00752358" w:rsidP="00F36AAD">
            <w:pPr>
              <w:jc w:val="right"/>
              <w:rPr>
                <w:sz w:val="20"/>
                <w:szCs w:val="20"/>
              </w:rPr>
            </w:pPr>
            <w:r w:rsidRPr="007F1217">
              <w:rPr>
                <w:sz w:val="20"/>
                <w:szCs w:val="20"/>
              </w:rPr>
              <w:t>30</w:t>
            </w:r>
          </w:p>
        </w:tc>
        <w:tc>
          <w:tcPr>
            <w:tcW w:w="700" w:type="pct"/>
          </w:tcPr>
          <w:p w14:paraId="72795912" w14:textId="77777777" w:rsidR="00752358" w:rsidRPr="007F1217" w:rsidRDefault="00752358" w:rsidP="00F36AAD">
            <w:pPr>
              <w:jc w:val="right"/>
              <w:rPr>
                <w:sz w:val="20"/>
                <w:szCs w:val="20"/>
              </w:rPr>
            </w:pPr>
            <w:r w:rsidRPr="007F1217">
              <w:rPr>
                <w:sz w:val="20"/>
                <w:szCs w:val="20"/>
              </w:rPr>
              <w:t>2</w:t>
            </w:r>
          </w:p>
        </w:tc>
        <w:tc>
          <w:tcPr>
            <w:tcW w:w="700" w:type="pct"/>
          </w:tcPr>
          <w:p w14:paraId="345AEE6B" w14:textId="77777777" w:rsidR="00752358" w:rsidRPr="007F1217" w:rsidRDefault="00752358" w:rsidP="00F36AAD">
            <w:pPr>
              <w:jc w:val="right"/>
              <w:rPr>
                <w:sz w:val="20"/>
                <w:szCs w:val="20"/>
              </w:rPr>
            </w:pPr>
            <w:r w:rsidRPr="007F1217">
              <w:rPr>
                <w:sz w:val="20"/>
                <w:szCs w:val="20"/>
              </w:rPr>
              <w:t>0</w:t>
            </w:r>
          </w:p>
        </w:tc>
        <w:tc>
          <w:tcPr>
            <w:tcW w:w="700" w:type="pct"/>
          </w:tcPr>
          <w:p w14:paraId="1F79417C" w14:textId="77777777" w:rsidR="00752358" w:rsidRPr="007F1217" w:rsidRDefault="00752358" w:rsidP="00F36AAD">
            <w:pPr>
              <w:jc w:val="right"/>
              <w:rPr>
                <w:sz w:val="20"/>
                <w:szCs w:val="20"/>
              </w:rPr>
            </w:pPr>
            <w:r w:rsidRPr="007F1217">
              <w:rPr>
                <w:sz w:val="20"/>
                <w:szCs w:val="20"/>
              </w:rPr>
              <w:t>0</w:t>
            </w:r>
          </w:p>
        </w:tc>
        <w:tc>
          <w:tcPr>
            <w:tcW w:w="700" w:type="pct"/>
          </w:tcPr>
          <w:p w14:paraId="571F57AA" w14:textId="7293703B" w:rsidR="00752358" w:rsidRPr="007F1217" w:rsidRDefault="00620C2B" w:rsidP="00F36AAD">
            <w:pPr>
              <w:jc w:val="right"/>
              <w:rPr>
                <w:sz w:val="20"/>
                <w:szCs w:val="20"/>
              </w:rPr>
            </w:pPr>
            <w:r w:rsidRPr="007F1217">
              <w:rPr>
                <w:sz w:val="20"/>
                <w:szCs w:val="20"/>
              </w:rPr>
              <w:t>50</w:t>
            </w:r>
          </w:p>
        </w:tc>
      </w:tr>
      <w:tr w:rsidR="00752358" w:rsidRPr="007F1217" w14:paraId="7901D185" w14:textId="77777777" w:rsidTr="00C21A30">
        <w:tc>
          <w:tcPr>
            <w:tcW w:w="800" w:type="pct"/>
            <w:shd w:val="clear" w:color="auto" w:fill="FAF9F8"/>
          </w:tcPr>
          <w:p w14:paraId="201228E6" w14:textId="77777777" w:rsidR="00752358" w:rsidRPr="00A86D39" w:rsidRDefault="00752358" w:rsidP="006877D0">
            <w:pPr>
              <w:rPr>
                <w:sz w:val="20"/>
                <w:szCs w:val="20"/>
              </w:rPr>
            </w:pPr>
            <w:r w:rsidRPr="00A86D39">
              <w:rPr>
                <w:sz w:val="20"/>
                <w:szCs w:val="20"/>
              </w:rPr>
              <w:t>QLD</w:t>
            </w:r>
          </w:p>
        </w:tc>
        <w:tc>
          <w:tcPr>
            <w:tcW w:w="700" w:type="pct"/>
            <w:shd w:val="clear" w:color="auto" w:fill="FAF9F8"/>
          </w:tcPr>
          <w:p w14:paraId="73B7B87F" w14:textId="77777777" w:rsidR="00752358" w:rsidRPr="007F1217" w:rsidRDefault="00752358" w:rsidP="00F36AAD">
            <w:pPr>
              <w:jc w:val="right"/>
              <w:rPr>
                <w:sz w:val="20"/>
                <w:szCs w:val="20"/>
              </w:rPr>
            </w:pPr>
            <w:r w:rsidRPr="007F1217">
              <w:rPr>
                <w:sz w:val="20"/>
                <w:szCs w:val="20"/>
              </w:rPr>
              <w:t>14</w:t>
            </w:r>
          </w:p>
        </w:tc>
        <w:tc>
          <w:tcPr>
            <w:tcW w:w="700" w:type="pct"/>
            <w:shd w:val="clear" w:color="auto" w:fill="FAF9F8"/>
          </w:tcPr>
          <w:p w14:paraId="6A2DE223" w14:textId="77777777" w:rsidR="00752358" w:rsidRPr="007F1217" w:rsidRDefault="00752358" w:rsidP="00F36AAD">
            <w:pPr>
              <w:jc w:val="right"/>
              <w:rPr>
                <w:sz w:val="20"/>
                <w:szCs w:val="20"/>
              </w:rPr>
            </w:pPr>
            <w:r w:rsidRPr="007F1217">
              <w:rPr>
                <w:sz w:val="20"/>
                <w:szCs w:val="20"/>
              </w:rPr>
              <w:t>28</w:t>
            </w:r>
          </w:p>
        </w:tc>
        <w:tc>
          <w:tcPr>
            <w:tcW w:w="700" w:type="pct"/>
            <w:shd w:val="clear" w:color="auto" w:fill="FAF9F8"/>
          </w:tcPr>
          <w:p w14:paraId="7D49383F" w14:textId="77777777" w:rsidR="00752358" w:rsidRPr="007F1217" w:rsidRDefault="00752358" w:rsidP="00F36AAD">
            <w:pPr>
              <w:jc w:val="right"/>
              <w:rPr>
                <w:sz w:val="20"/>
                <w:szCs w:val="20"/>
              </w:rPr>
            </w:pPr>
            <w:r w:rsidRPr="007F1217">
              <w:rPr>
                <w:sz w:val="20"/>
                <w:szCs w:val="20"/>
              </w:rPr>
              <w:t>4</w:t>
            </w:r>
          </w:p>
        </w:tc>
        <w:tc>
          <w:tcPr>
            <w:tcW w:w="700" w:type="pct"/>
            <w:shd w:val="clear" w:color="auto" w:fill="FAF9F8"/>
          </w:tcPr>
          <w:p w14:paraId="7CFFB96D" w14:textId="77777777" w:rsidR="00752358" w:rsidRPr="007F1217" w:rsidRDefault="00752358" w:rsidP="00F36AAD">
            <w:pPr>
              <w:jc w:val="right"/>
              <w:rPr>
                <w:sz w:val="20"/>
                <w:szCs w:val="20"/>
              </w:rPr>
            </w:pPr>
            <w:r w:rsidRPr="007F1217">
              <w:rPr>
                <w:sz w:val="20"/>
                <w:szCs w:val="20"/>
              </w:rPr>
              <w:t>0</w:t>
            </w:r>
          </w:p>
        </w:tc>
        <w:tc>
          <w:tcPr>
            <w:tcW w:w="700" w:type="pct"/>
            <w:shd w:val="clear" w:color="auto" w:fill="FAF9F8"/>
          </w:tcPr>
          <w:p w14:paraId="79798434" w14:textId="77777777" w:rsidR="00752358" w:rsidRPr="007F1217" w:rsidRDefault="00752358" w:rsidP="00F36AAD">
            <w:pPr>
              <w:jc w:val="right"/>
              <w:rPr>
                <w:sz w:val="20"/>
                <w:szCs w:val="20"/>
              </w:rPr>
            </w:pPr>
            <w:r w:rsidRPr="007F1217">
              <w:rPr>
                <w:sz w:val="20"/>
                <w:szCs w:val="20"/>
              </w:rPr>
              <w:t>0</w:t>
            </w:r>
          </w:p>
        </w:tc>
        <w:tc>
          <w:tcPr>
            <w:tcW w:w="700" w:type="pct"/>
            <w:shd w:val="clear" w:color="auto" w:fill="FAF9F8"/>
          </w:tcPr>
          <w:p w14:paraId="197D5A67" w14:textId="0FB5C204" w:rsidR="00752358" w:rsidRPr="007F1217" w:rsidRDefault="00620C2B" w:rsidP="00F36AAD">
            <w:pPr>
              <w:jc w:val="right"/>
              <w:rPr>
                <w:sz w:val="20"/>
                <w:szCs w:val="20"/>
              </w:rPr>
            </w:pPr>
            <w:r w:rsidRPr="007F1217">
              <w:rPr>
                <w:sz w:val="20"/>
                <w:szCs w:val="20"/>
              </w:rPr>
              <w:t>46</w:t>
            </w:r>
          </w:p>
        </w:tc>
      </w:tr>
      <w:tr w:rsidR="00752358" w:rsidRPr="007F1217" w14:paraId="2D0D5C2C" w14:textId="77777777" w:rsidTr="00C21A30">
        <w:tc>
          <w:tcPr>
            <w:tcW w:w="800" w:type="pct"/>
          </w:tcPr>
          <w:p w14:paraId="55CFCCAF" w14:textId="77777777" w:rsidR="00752358" w:rsidRPr="00A86D39" w:rsidRDefault="00752358" w:rsidP="006877D0">
            <w:pPr>
              <w:rPr>
                <w:sz w:val="20"/>
                <w:szCs w:val="20"/>
              </w:rPr>
            </w:pPr>
            <w:r w:rsidRPr="00A86D39">
              <w:rPr>
                <w:sz w:val="20"/>
                <w:szCs w:val="20"/>
              </w:rPr>
              <w:t>WA</w:t>
            </w:r>
          </w:p>
        </w:tc>
        <w:tc>
          <w:tcPr>
            <w:tcW w:w="700" w:type="pct"/>
          </w:tcPr>
          <w:p w14:paraId="1FEC28AC" w14:textId="77777777" w:rsidR="00752358" w:rsidRPr="007F1217" w:rsidRDefault="00752358" w:rsidP="00F36AAD">
            <w:pPr>
              <w:jc w:val="right"/>
              <w:rPr>
                <w:sz w:val="20"/>
                <w:szCs w:val="20"/>
              </w:rPr>
            </w:pPr>
            <w:r w:rsidRPr="007F1217">
              <w:rPr>
                <w:sz w:val="20"/>
                <w:szCs w:val="20"/>
              </w:rPr>
              <w:t>10</w:t>
            </w:r>
          </w:p>
        </w:tc>
        <w:tc>
          <w:tcPr>
            <w:tcW w:w="700" w:type="pct"/>
          </w:tcPr>
          <w:p w14:paraId="41E112D2" w14:textId="77777777" w:rsidR="00752358" w:rsidRPr="007F1217" w:rsidRDefault="00752358" w:rsidP="00F36AAD">
            <w:pPr>
              <w:jc w:val="right"/>
              <w:rPr>
                <w:sz w:val="20"/>
                <w:szCs w:val="20"/>
              </w:rPr>
            </w:pPr>
            <w:r w:rsidRPr="007F1217">
              <w:rPr>
                <w:sz w:val="20"/>
                <w:szCs w:val="20"/>
              </w:rPr>
              <w:t>20</w:t>
            </w:r>
          </w:p>
        </w:tc>
        <w:tc>
          <w:tcPr>
            <w:tcW w:w="700" w:type="pct"/>
          </w:tcPr>
          <w:p w14:paraId="729BCEF0" w14:textId="77777777" w:rsidR="00752358" w:rsidRPr="007F1217" w:rsidRDefault="00752358" w:rsidP="00F36AAD">
            <w:pPr>
              <w:jc w:val="right"/>
              <w:rPr>
                <w:sz w:val="20"/>
                <w:szCs w:val="20"/>
              </w:rPr>
            </w:pPr>
            <w:r w:rsidRPr="007F1217">
              <w:rPr>
                <w:sz w:val="20"/>
                <w:szCs w:val="20"/>
              </w:rPr>
              <w:t>1</w:t>
            </w:r>
          </w:p>
        </w:tc>
        <w:tc>
          <w:tcPr>
            <w:tcW w:w="700" w:type="pct"/>
          </w:tcPr>
          <w:p w14:paraId="5E5EC66C" w14:textId="77777777" w:rsidR="00752358" w:rsidRPr="007F1217" w:rsidRDefault="00752358" w:rsidP="00F36AAD">
            <w:pPr>
              <w:jc w:val="right"/>
              <w:rPr>
                <w:sz w:val="20"/>
                <w:szCs w:val="20"/>
              </w:rPr>
            </w:pPr>
            <w:r w:rsidRPr="007F1217">
              <w:rPr>
                <w:sz w:val="20"/>
                <w:szCs w:val="20"/>
              </w:rPr>
              <w:t>0</w:t>
            </w:r>
          </w:p>
        </w:tc>
        <w:tc>
          <w:tcPr>
            <w:tcW w:w="700" w:type="pct"/>
          </w:tcPr>
          <w:p w14:paraId="74EEF32D" w14:textId="77777777" w:rsidR="00752358" w:rsidRPr="007F1217" w:rsidRDefault="00752358" w:rsidP="00F36AAD">
            <w:pPr>
              <w:jc w:val="right"/>
              <w:rPr>
                <w:sz w:val="20"/>
                <w:szCs w:val="20"/>
              </w:rPr>
            </w:pPr>
            <w:r w:rsidRPr="007F1217">
              <w:rPr>
                <w:sz w:val="20"/>
                <w:szCs w:val="20"/>
              </w:rPr>
              <w:t>0</w:t>
            </w:r>
          </w:p>
        </w:tc>
        <w:tc>
          <w:tcPr>
            <w:tcW w:w="700" w:type="pct"/>
          </w:tcPr>
          <w:p w14:paraId="61BD0FA0" w14:textId="065E98FA" w:rsidR="00752358" w:rsidRPr="007F1217" w:rsidRDefault="00620C2B" w:rsidP="00F36AAD">
            <w:pPr>
              <w:jc w:val="right"/>
              <w:rPr>
                <w:sz w:val="20"/>
                <w:szCs w:val="20"/>
              </w:rPr>
            </w:pPr>
            <w:r w:rsidRPr="007F1217">
              <w:rPr>
                <w:sz w:val="20"/>
                <w:szCs w:val="20"/>
              </w:rPr>
              <w:t>31</w:t>
            </w:r>
          </w:p>
        </w:tc>
      </w:tr>
      <w:tr w:rsidR="00752358" w:rsidRPr="007F1217" w14:paraId="7894ADD2" w14:textId="77777777" w:rsidTr="00C21A30">
        <w:tc>
          <w:tcPr>
            <w:tcW w:w="800" w:type="pct"/>
            <w:shd w:val="clear" w:color="auto" w:fill="FAF9F8"/>
          </w:tcPr>
          <w:p w14:paraId="7495BECD" w14:textId="77777777" w:rsidR="00752358" w:rsidRPr="00A86D39" w:rsidRDefault="00752358" w:rsidP="006877D0">
            <w:pPr>
              <w:rPr>
                <w:sz w:val="20"/>
                <w:szCs w:val="20"/>
              </w:rPr>
            </w:pPr>
            <w:r w:rsidRPr="00A86D39">
              <w:rPr>
                <w:sz w:val="20"/>
                <w:szCs w:val="20"/>
              </w:rPr>
              <w:t>SA</w:t>
            </w:r>
          </w:p>
        </w:tc>
        <w:tc>
          <w:tcPr>
            <w:tcW w:w="700" w:type="pct"/>
            <w:shd w:val="clear" w:color="auto" w:fill="FAF9F8"/>
          </w:tcPr>
          <w:p w14:paraId="2FC5AEDE" w14:textId="77777777" w:rsidR="00752358" w:rsidRPr="007F1217" w:rsidRDefault="00752358" w:rsidP="00F36AAD">
            <w:pPr>
              <w:jc w:val="right"/>
              <w:rPr>
                <w:sz w:val="20"/>
                <w:szCs w:val="20"/>
              </w:rPr>
            </w:pPr>
            <w:r w:rsidRPr="007F1217">
              <w:rPr>
                <w:sz w:val="20"/>
                <w:szCs w:val="20"/>
              </w:rPr>
              <w:t>13</w:t>
            </w:r>
          </w:p>
        </w:tc>
        <w:tc>
          <w:tcPr>
            <w:tcW w:w="700" w:type="pct"/>
            <w:shd w:val="clear" w:color="auto" w:fill="FAF9F8"/>
          </w:tcPr>
          <w:p w14:paraId="4DD23FCF" w14:textId="77777777" w:rsidR="00752358" w:rsidRPr="007F1217" w:rsidRDefault="00752358" w:rsidP="00F36AAD">
            <w:pPr>
              <w:jc w:val="right"/>
              <w:rPr>
                <w:sz w:val="20"/>
                <w:szCs w:val="20"/>
              </w:rPr>
            </w:pPr>
            <w:r w:rsidRPr="007F1217">
              <w:rPr>
                <w:sz w:val="20"/>
                <w:szCs w:val="20"/>
              </w:rPr>
              <w:t>31</w:t>
            </w:r>
          </w:p>
        </w:tc>
        <w:tc>
          <w:tcPr>
            <w:tcW w:w="700" w:type="pct"/>
            <w:shd w:val="clear" w:color="auto" w:fill="FAF9F8"/>
          </w:tcPr>
          <w:p w14:paraId="15E6B4C7" w14:textId="77777777" w:rsidR="00752358" w:rsidRPr="007F1217" w:rsidRDefault="00752358" w:rsidP="00F36AAD">
            <w:pPr>
              <w:jc w:val="right"/>
              <w:rPr>
                <w:sz w:val="20"/>
                <w:szCs w:val="20"/>
              </w:rPr>
            </w:pPr>
            <w:r w:rsidRPr="007F1217">
              <w:rPr>
                <w:sz w:val="20"/>
                <w:szCs w:val="20"/>
              </w:rPr>
              <w:t>7</w:t>
            </w:r>
          </w:p>
        </w:tc>
        <w:tc>
          <w:tcPr>
            <w:tcW w:w="700" w:type="pct"/>
            <w:shd w:val="clear" w:color="auto" w:fill="FAF9F8"/>
          </w:tcPr>
          <w:p w14:paraId="4EB20232" w14:textId="77777777" w:rsidR="00752358" w:rsidRPr="007F1217" w:rsidRDefault="00752358" w:rsidP="00F36AAD">
            <w:pPr>
              <w:jc w:val="right"/>
              <w:rPr>
                <w:sz w:val="20"/>
                <w:szCs w:val="20"/>
              </w:rPr>
            </w:pPr>
            <w:r w:rsidRPr="007F1217">
              <w:rPr>
                <w:sz w:val="20"/>
                <w:szCs w:val="20"/>
              </w:rPr>
              <w:t>2</w:t>
            </w:r>
          </w:p>
        </w:tc>
        <w:tc>
          <w:tcPr>
            <w:tcW w:w="700" w:type="pct"/>
            <w:shd w:val="clear" w:color="auto" w:fill="FAF9F8"/>
          </w:tcPr>
          <w:p w14:paraId="1E0B1215" w14:textId="77777777" w:rsidR="00752358" w:rsidRPr="007F1217" w:rsidRDefault="00752358" w:rsidP="00F36AAD">
            <w:pPr>
              <w:jc w:val="right"/>
              <w:rPr>
                <w:sz w:val="20"/>
                <w:szCs w:val="20"/>
              </w:rPr>
            </w:pPr>
            <w:r w:rsidRPr="007F1217">
              <w:rPr>
                <w:sz w:val="20"/>
                <w:szCs w:val="20"/>
              </w:rPr>
              <w:t>1</w:t>
            </w:r>
          </w:p>
        </w:tc>
        <w:tc>
          <w:tcPr>
            <w:tcW w:w="700" w:type="pct"/>
            <w:shd w:val="clear" w:color="auto" w:fill="FAF9F8"/>
          </w:tcPr>
          <w:p w14:paraId="7AD5D68C" w14:textId="7BCCB44F" w:rsidR="00752358" w:rsidRPr="007F1217" w:rsidRDefault="00620C2B" w:rsidP="00F36AAD">
            <w:pPr>
              <w:jc w:val="right"/>
              <w:rPr>
                <w:sz w:val="20"/>
                <w:szCs w:val="20"/>
              </w:rPr>
            </w:pPr>
            <w:r w:rsidRPr="007F1217">
              <w:rPr>
                <w:sz w:val="20"/>
                <w:szCs w:val="20"/>
              </w:rPr>
              <w:t>54</w:t>
            </w:r>
          </w:p>
        </w:tc>
      </w:tr>
      <w:tr w:rsidR="00752358" w:rsidRPr="007F1217" w14:paraId="0805B50E" w14:textId="77777777" w:rsidTr="00C21A30">
        <w:tc>
          <w:tcPr>
            <w:tcW w:w="800" w:type="pct"/>
          </w:tcPr>
          <w:p w14:paraId="7ADD3FF4" w14:textId="77777777" w:rsidR="00752358" w:rsidRPr="00A86D39" w:rsidRDefault="00752358" w:rsidP="006877D0">
            <w:pPr>
              <w:rPr>
                <w:sz w:val="20"/>
                <w:szCs w:val="20"/>
              </w:rPr>
            </w:pPr>
            <w:r w:rsidRPr="00A86D39">
              <w:rPr>
                <w:sz w:val="20"/>
                <w:szCs w:val="20"/>
              </w:rPr>
              <w:t>TAS</w:t>
            </w:r>
          </w:p>
        </w:tc>
        <w:tc>
          <w:tcPr>
            <w:tcW w:w="700" w:type="pct"/>
          </w:tcPr>
          <w:p w14:paraId="14EB7EC9" w14:textId="77777777" w:rsidR="00752358" w:rsidRPr="007F1217" w:rsidRDefault="00752358" w:rsidP="00F36AAD">
            <w:pPr>
              <w:jc w:val="right"/>
              <w:rPr>
                <w:sz w:val="20"/>
                <w:szCs w:val="20"/>
              </w:rPr>
            </w:pPr>
            <w:r w:rsidRPr="007F1217">
              <w:rPr>
                <w:sz w:val="20"/>
                <w:szCs w:val="20"/>
              </w:rPr>
              <w:t>5</w:t>
            </w:r>
          </w:p>
        </w:tc>
        <w:tc>
          <w:tcPr>
            <w:tcW w:w="700" w:type="pct"/>
          </w:tcPr>
          <w:p w14:paraId="296BA456" w14:textId="77777777" w:rsidR="00752358" w:rsidRPr="007F1217" w:rsidRDefault="00752358" w:rsidP="00F36AAD">
            <w:pPr>
              <w:jc w:val="right"/>
              <w:rPr>
                <w:sz w:val="20"/>
                <w:szCs w:val="20"/>
              </w:rPr>
            </w:pPr>
            <w:r w:rsidRPr="007F1217">
              <w:rPr>
                <w:sz w:val="20"/>
                <w:szCs w:val="20"/>
              </w:rPr>
              <w:t>13</w:t>
            </w:r>
          </w:p>
        </w:tc>
        <w:tc>
          <w:tcPr>
            <w:tcW w:w="700" w:type="pct"/>
          </w:tcPr>
          <w:p w14:paraId="218C3D61" w14:textId="77777777" w:rsidR="00752358" w:rsidRPr="007F1217" w:rsidRDefault="00752358" w:rsidP="00F36AAD">
            <w:pPr>
              <w:jc w:val="right"/>
              <w:rPr>
                <w:sz w:val="20"/>
                <w:szCs w:val="20"/>
              </w:rPr>
            </w:pPr>
            <w:r w:rsidRPr="007F1217">
              <w:rPr>
                <w:sz w:val="20"/>
                <w:szCs w:val="20"/>
              </w:rPr>
              <w:t>8</w:t>
            </w:r>
          </w:p>
        </w:tc>
        <w:tc>
          <w:tcPr>
            <w:tcW w:w="700" w:type="pct"/>
          </w:tcPr>
          <w:p w14:paraId="1C1B6651" w14:textId="77777777" w:rsidR="00752358" w:rsidRPr="007F1217" w:rsidRDefault="00752358" w:rsidP="00F36AAD">
            <w:pPr>
              <w:jc w:val="right"/>
              <w:rPr>
                <w:sz w:val="20"/>
                <w:szCs w:val="20"/>
              </w:rPr>
            </w:pPr>
            <w:r w:rsidRPr="007F1217">
              <w:rPr>
                <w:sz w:val="20"/>
                <w:szCs w:val="20"/>
              </w:rPr>
              <w:t>0</w:t>
            </w:r>
          </w:p>
        </w:tc>
        <w:tc>
          <w:tcPr>
            <w:tcW w:w="700" w:type="pct"/>
          </w:tcPr>
          <w:p w14:paraId="6230EE1E" w14:textId="77777777" w:rsidR="00752358" w:rsidRPr="007F1217" w:rsidRDefault="00752358" w:rsidP="00F36AAD">
            <w:pPr>
              <w:jc w:val="right"/>
              <w:rPr>
                <w:sz w:val="20"/>
                <w:szCs w:val="20"/>
              </w:rPr>
            </w:pPr>
            <w:r w:rsidRPr="007F1217">
              <w:rPr>
                <w:sz w:val="20"/>
                <w:szCs w:val="20"/>
              </w:rPr>
              <w:t>0</w:t>
            </w:r>
          </w:p>
        </w:tc>
        <w:tc>
          <w:tcPr>
            <w:tcW w:w="700" w:type="pct"/>
          </w:tcPr>
          <w:p w14:paraId="4E64B1CC" w14:textId="6F203834" w:rsidR="00752358" w:rsidRPr="007F1217" w:rsidRDefault="00620C2B" w:rsidP="00F36AAD">
            <w:pPr>
              <w:jc w:val="right"/>
              <w:rPr>
                <w:sz w:val="20"/>
                <w:szCs w:val="20"/>
              </w:rPr>
            </w:pPr>
            <w:r w:rsidRPr="007F1217">
              <w:rPr>
                <w:sz w:val="20"/>
                <w:szCs w:val="20"/>
              </w:rPr>
              <w:t>26</w:t>
            </w:r>
          </w:p>
        </w:tc>
      </w:tr>
      <w:tr w:rsidR="00752358" w:rsidRPr="007F1217" w14:paraId="18FC710A" w14:textId="77777777" w:rsidTr="00C21A30">
        <w:tc>
          <w:tcPr>
            <w:tcW w:w="800" w:type="pct"/>
            <w:shd w:val="clear" w:color="auto" w:fill="FAF9F8"/>
          </w:tcPr>
          <w:p w14:paraId="5DFF9AAC" w14:textId="77777777" w:rsidR="00752358" w:rsidRPr="00A86D39" w:rsidRDefault="00752358" w:rsidP="006877D0">
            <w:pPr>
              <w:rPr>
                <w:sz w:val="20"/>
                <w:szCs w:val="20"/>
              </w:rPr>
            </w:pPr>
            <w:r w:rsidRPr="00A86D39">
              <w:rPr>
                <w:sz w:val="20"/>
                <w:szCs w:val="20"/>
              </w:rPr>
              <w:t>ACT</w:t>
            </w:r>
          </w:p>
        </w:tc>
        <w:tc>
          <w:tcPr>
            <w:tcW w:w="700" w:type="pct"/>
            <w:shd w:val="clear" w:color="auto" w:fill="FAF9F8"/>
          </w:tcPr>
          <w:p w14:paraId="31DDA85A" w14:textId="77777777" w:rsidR="00752358" w:rsidRPr="007F1217" w:rsidRDefault="00752358" w:rsidP="00F36AAD">
            <w:pPr>
              <w:jc w:val="right"/>
              <w:rPr>
                <w:sz w:val="20"/>
                <w:szCs w:val="20"/>
              </w:rPr>
            </w:pPr>
            <w:r w:rsidRPr="007F1217">
              <w:rPr>
                <w:sz w:val="20"/>
                <w:szCs w:val="20"/>
              </w:rPr>
              <w:t>21</w:t>
            </w:r>
          </w:p>
        </w:tc>
        <w:tc>
          <w:tcPr>
            <w:tcW w:w="700" w:type="pct"/>
            <w:shd w:val="clear" w:color="auto" w:fill="FAF9F8"/>
          </w:tcPr>
          <w:p w14:paraId="1F9065CE" w14:textId="77777777" w:rsidR="00752358" w:rsidRPr="007F1217" w:rsidRDefault="00752358" w:rsidP="00F36AAD">
            <w:pPr>
              <w:jc w:val="right"/>
              <w:rPr>
                <w:sz w:val="20"/>
                <w:szCs w:val="20"/>
              </w:rPr>
            </w:pPr>
            <w:r w:rsidRPr="007F1217">
              <w:rPr>
                <w:sz w:val="20"/>
                <w:szCs w:val="20"/>
              </w:rPr>
              <w:t>12</w:t>
            </w:r>
          </w:p>
        </w:tc>
        <w:tc>
          <w:tcPr>
            <w:tcW w:w="700" w:type="pct"/>
            <w:shd w:val="clear" w:color="auto" w:fill="FAF9F8"/>
          </w:tcPr>
          <w:p w14:paraId="019E52E7" w14:textId="77777777" w:rsidR="00752358" w:rsidRPr="007F1217" w:rsidRDefault="00752358" w:rsidP="00F36AAD">
            <w:pPr>
              <w:jc w:val="right"/>
              <w:rPr>
                <w:sz w:val="20"/>
                <w:szCs w:val="20"/>
              </w:rPr>
            </w:pPr>
            <w:r w:rsidRPr="007F1217">
              <w:rPr>
                <w:sz w:val="20"/>
                <w:szCs w:val="20"/>
              </w:rPr>
              <w:t>3</w:t>
            </w:r>
          </w:p>
        </w:tc>
        <w:tc>
          <w:tcPr>
            <w:tcW w:w="700" w:type="pct"/>
            <w:shd w:val="clear" w:color="auto" w:fill="FAF9F8"/>
          </w:tcPr>
          <w:p w14:paraId="31DF0AD6" w14:textId="77777777" w:rsidR="00752358" w:rsidRPr="007F1217" w:rsidRDefault="00752358" w:rsidP="00F36AAD">
            <w:pPr>
              <w:jc w:val="right"/>
              <w:rPr>
                <w:sz w:val="20"/>
                <w:szCs w:val="20"/>
              </w:rPr>
            </w:pPr>
            <w:r w:rsidRPr="007F1217">
              <w:rPr>
                <w:sz w:val="20"/>
                <w:szCs w:val="20"/>
              </w:rPr>
              <w:t>0</w:t>
            </w:r>
          </w:p>
        </w:tc>
        <w:tc>
          <w:tcPr>
            <w:tcW w:w="700" w:type="pct"/>
            <w:shd w:val="clear" w:color="auto" w:fill="FAF9F8"/>
          </w:tcPr>
          <w:p w14:paraId="54AF7FF2" w14:textId="77777777" w:rsidR="00752358" w:rsidRPr="007F1217" w:rsidRDefault="00752358" w:rsidP="00F36AAD">
            <w:pPr>
              <w:jc w:val="right"/>
              <w:rPr>
                <w:sz w:val="20"/>
                <w:szCs w:val="20"/>
              </w:rPr>
            </w:pPr>
            <w:r w:rsidRPr="007F1217">
              <w:rPr>
                <w:sz w:val="20"/>
                <w:szCs w:val="20"/>
              </w:rPr>
              <w:t>0</w:t>
            </w:r>
          </w:p>
        </w:tc>
        <w:tc>
          <w:tcPr>
            <w:tcW w:w="700" w:type="pct"/>
            <w:shd w:val="clear" w:color="auto" w:fill="FAF9F8"/>
          </w:tcPr>
          <w:p w14:paraId="1606ABE0" w14:textId="5E08201B" w:rsidR="00752358" w:rsidRPr="007F1217" w:rsidRDefault="00620C2B" w:rsidP="00F36AAD">
            <w:pPr>
              <w:jc w:val="right"/>
              <w:rPr>
                <w:sz w:val="20"/>
                <w:szCs w:val="20"/>
              </w:rPr>
            </w:pPr>
            <w:r w:rsidRPr="007F1217">
              <w:rPr>
                <w:sz w:val="20"/>
                <w:szCs w:val="20"/>
              </w:rPr>
              <w:t>36</w:t>
            </w:r>
          </w:p>
        </w:tc>
      </w:tr>
      <w:tr w:rsidR="00752358" w:rsidRPr="007F1217" w14:paraId="2237BA33" w14:textId="77777777" w:rsidTr="00C21A30">
        <w:tc>
          <w:tcPr>
            <w:tcW w:w="800" w:type="pct"/>
          </w:tcPr>
          <w:p w14:paraId="27895D1C" w14:textId="77777777" w:rsidR="00752358" w:rsidRPr="00A86D39" w:rsidRDefault="00752358" w:rsidP="006877D0">
            <w:pPr>
              <w:rPr>
                <w:sz w:val="20"/>
                <w:szCs w:val="20"/>
              </w:rPr>
            </w:pPr>
            <w:r w:rsidRPr="00A86D39">
              <w:rPr>
                <w:sz w:val="20"/>
                <w:szCs w:val="20"/>
              </w:rPr>
              <w:t>NT</w:t>
            </w:r>
          </w:p>
        </w:tc>
        <w:tc>
          <w:tcPr>
            <w:tcW w:w="700" w:type="pct"/>
          </w:tcPr>
          <w:p w14:paraId="5BC5B1CB" w14:textId="77777777" w:rsidR="00752358" w:rsidRPr="007F1217" w:rsidRDefault="00752358" w:rsidP="00F36AAD">
            <w:pPr>
              <w:jc w:val="right"/>
              <w:rPr>
                <w:sz w:val="20"/>
                <w:szCs w:val="20"/>
              </w:rPr>
            </w:pPr>
            <w:r w:rsidRPr="007F1217">
              <w:rPr>
                <w:sz w:val="20"/>
                <w:szCs w:val="20"/>
              </w:rPr>
              <w:t>5</w:t>
            </w:r>
          </w:p>
        </w:tc>
        <w:tc>
          <w:tcPr>
            <w:tcW w:w="700" w:type="pct"/>
          </w:tcPr>
          <w:p w14:paraId="4A42A28B" w14:textId="77777777" w:rsidR="00752358" w:rsidRPr="007F1217" w:rsidRDefault="00752358" w:rsidP="00F36AAD">
            <w:pPr>
              <w:jc w:val="right"/>
              <w:rPr>
                <w:sz w:val="20"/>
                <w:szCs w:val="20"/>
              </w:rPr>
            </w:pPr>
            <w:r w:rsidRPr="007F1217">
              <w:rPr>
                <w:sz w:val="20"/>
                <w:szCs w:val="20"/>
              </w:rPr>
              <w:t>27</w:t>
            </w:r>
          </w:p>
        </w:tc>
        <w:tc>
          <w:tcPr>
            <w:tcW w:w="700" w:type="pct"/>
          </w:tcPr>
          <w:p w14:paraId="79629A9D" w14:textId="77777777" w:rsidR="00752358" w:rsidRPr="007F1217" w:rsidRDefault="00752358" w:rsidP="00F36AAD">
            <w:pPr>
              <w:jc w:val="right"/>
              <w:rPr>
                <w:sz w:val="20"/>
                <w:szCs w:val="20"/>
              </w:rPr>
            </w:pPr>
            <w:r w:rsidRPr="007F1217">
              <w:rPr>
                <w:sz w:val="20"/>
                <w:szCs w:val="20"/>
              </w:rPr>
              <w:t>1</w:t>
            </w:r>
          </w:p>
        </w:tc>
        <w:tc>
          <w:tcPr>
            <w:tcW w:w="700" w:type="pct"/>
          </w:tcPr>
          <w:p w14:paraId="56D27D5C" w14:textId="77777777" w:rsidR="00752358" w:rsidRPr="007F1217" w:rsidRDefault="00752358" w:rsidP="00F36AAD">
            <w:pPr>
              <w:jc w:val="right"/>
              <w:rPr>
                <w:sz w:val="20"/>
                <w:szCs w:val="20"/>
              </w:rPr>
            </w:pPr>
            <w:r w:rsidRPr="007F1217">
              <w:rPr>
                <w:sz w:val="20"/>
                <w:szCs w:val="20"/>
              </w:rPr>
              <w:t>1</w:t>
            </w:r>
          </w:p>
        </w:tc>
        <w:tc>
          <w:tcPr>
            <w:tcW w:w="700" w:type="pct"/>
          </w:tcPr>
          <w:p w14:paraId="642003DE" w14:textId="77777777" w:rsidR="00752358" w:rsidRPr="007F1217" w:rsidRDefault="00752358" w:rsidP="00F36AAD">
            <w:pPr>
              <w:jc w:val="right"/>
              <w:rPr>
                <w:sz w:val="20"/>
                <w:szCs w:val="20"/>
              </w:rPr>
            </w:pPr>
            <w:r w:rsidRPr="007F1217">
              <w:rPr>
                <w:sz w:val="20"/>
                <w:szCs w:val="20"/>
              </w:rPr>
              <w:t>0</w:t>
            </w:r>
          </w:p>
        </w:tc>
        <w:tc>
          <w:tcPr>
            <w:tcW w:w="700" w:type="pct"/>
          </w:tcPr>
          <w:p w14:paraId="523A50B9" w14:textId="222C2A5C" w:rsidR="00752358" w:rsidRPr="007F1217" w:rsidRDefault="00620C2B" w:rsidP="00F36AAD">
            <w:pPr>
              <w:jc w:val="right"/>
              <w:rPr>
                <w:sz w:val="20"/>
                <w:szCs w:val="20"/>
              </w:rPr>
            </w:pPr>
            <w:r w:rsidRPr="007F1217">
              <w:rPr>
                <w:sz w:val="20"/>
                <w:szCs w:val="20"/>
              </w:rPr>
              <w:t>34</w:t>
            </w:r>
          </w:p>
        </w:tc>
      </w:tr>
      <w:tr w:rsidR="00752358" w:rsidRPr="007F1217" w14:paraId="2E3630A4" w14:textId="77777777" w:rsidTr="00C21A30">
        <w:tc>
          <w:tcPr>
            <w:tcW w:w="800" w:type="pct"/>
            <w:shd w:val="clear" w:color="auto" w:fill="E4E9F3"/>
          </w:tcPr>
          <w:p w14:paraId="4EEF0D12" w14:textId="116AA443" w:rsidR="00752358" w:rsidRPr="007F1217" w:rsidRDefault="00177013" w:rsidP="006877D0">
            <w:pPr>
              <w:rPr>
                <w:b/>
                <w:sz w:val="20"/>
                <w:szCs w:val="20"/>
              </w:rPr>
            </w:pPr>
            <w:r w:rsidRPr="004F4004">
              <w:rPr>
                <w:rFonts w:eastAsia="Times New Roman" w:cs="Calibri"/>
                <w:b/>
                <w:bCs/>
                <w:color w:val="000000"/>
                <w:lang w:val="fr" w:eastAsia="en-AU"/>
              </w:rPr>
              <w:t>Total national</w:t>
            </w:r>
          </w:p>
        </w:tc>
        <w:tc>
          <w:tcPr>
            <w:tcW w:w="700" w:type="pct"/>
            <w:shd w:val="clear" w:color="auto" w:fill="E4E9F3"/>
          </w:tcPr>
          <w:p w14:paraId="43D53D83" w14:textId="7091504E" w:rsidR="00752358" w:rsidRPr="007F1217" w:rsidRDefault="00CC1683" w:rsidP="00F36AAD">
            <w:pPr>
              <w:jc w:val="right"/>
              <w:rPr>
                <w:b/>
                <w:sz w:val="20"/>
                <w:szCs w:val="20"/>
              </w:rPr>
            </w:pPr>
            <w:r w:rsidRPr="007F1217">
              <w:rPr>
                <w:b/>
                <w:sz w:val="20"/>
                <w:szCs w:val="20"/>
              </w:rPr>
              <w:t>101</w:t>
            </w:r>
          </w:p>
        </w:tc>
        <w:tc>
          <w:tcPr>
            <w:tcW w:w="700" w:type="pct"/>
            <w:shd w:val="clear" w:color="auto" w:fill="E4E9F3"/>
          </w:tcPr>
          <w:p w14:paraId="66A5997D" w14:textId="79B02506" w:rsidR="00752358" w:rsidRPr="007F1217" w:rsidRDefault="00CC1683" w:rsidP="00F36AAD">
            <w:pPr>
              <w:jc w:val="right"/>
              <w:rPr>
                <w:b/>
                <w:sz w:val="20"/>
                <w:szCs w:val="20"/>
              </w:rPr>
            </w:pPr>
            <w:r w:rsidRPr="007F1217">
              <w:rPr>
                <w:b/>
                <w:sz w:val="20"/>
                <w:szCs w:val="20"/>
              </w:rPr>
              <w:t>2</w:t>
            </w:r>
            <w:r w:rsidR="009C41C7" w:rsidRPr="007F1217">
              <w:rPr>
                <w:b/>
                <w:sz w:val="20"/>
                <w:szCs w:val="20"/>
              </w:rPr>
              <w:t>09</w:t>
            </w:r>
          </w:p>
        </w:tc>
        <w:tc>
          <w:tcPr>
            <w:tcW w:w="700" w:type="pct"/>
            <w:shd w:val="clear" w:color="auto" w:fill="E4E9F3"/>
          </w:tcPr>
          <w:p w14:paraId="79FE3483" w14:textId="75894027" w:rsidR="00752358" w:rsidRPr="007F1217" w:rsidRDefault="00CC1683" w:rsidP="00F36AAD">
            <w:pPr>
              <w:jc w:val="right"/>
              <w:rPr>
                <w:b/>
                <w:sz w:val="20"/>
                <w:szCs w:val="20"/>
              </w:rPr>
            </w:pPr>
            <w:r w:rsidRPr="007F1217">
              <w:rPr>
                <w:b/>
                <w:sz w:val="20"/>
                <w:szCs w:val="20"/>
              </w:rPr>
              <w:t>5</w:t>
            </w:r>
            <w:r w:rsidR="009C41C7" w:rsidRPr="007F1217">
              <w:rPr>
                <w:b/>
                <w:sz w:val="20"/>
                <w:szCs w:val="20"/>
              </w:rPr>
              <w:t>4</w:t>
            </w:r>
          </w:p>
        </w:tc>
        <w:tc>
          <w:tcPr>
            <w:tcW w:w="700" w:type="pct"/>
            <w:shd w:val="clear" w:color="auto" w:fill="E4E9F3"/>
          </w:tcPr>
          <w:p w14:paraId="28317935" w14:textId="77777777" w:rsidR="00752358" w:rsidRPr="007F1217" w:rsidRDefault="00752358" w:rsidP="00F36AAD">
            <w:pPr>
              <w:jc w:val="right"/>
              <w:rPr>
                <w:b/>
                <w:sz w:val="20"/>
                <w:szCs w:val="20"/>
              </w:rPr>
            </w:pPr>
            <w:r w:rsidRPr="007F1217">
              <w:rPr>
                <w:b/>
                <w:sz w:val="20"/>
                <w:szCs w:val="20"/>
              </w:rPr>
              <w:t>7</w:t>
            </w:r>
          </w:p>
        </w:tc>
        <w:tc>
          <w:tcPr>
            <w:tcW w:w="700" w:type="pct"/>
            <w:shd w:val="clear" w:color="auto" w:fill="E4E9F3"/>
          </w:tcPr>
          <w:p w14:paraId="0D03A439" w14:textId="77777777" w:rsidR="00752358" w:rsidRPr="007F1217" w:rsidRDefault="00752358" w:rsidP="00F36AAD">
            <w:pPr>
              <w:jc w:val="right"/>
              <w:rPr>
                <w:b/>
                <w:sz w:val="20"/>
                <w:szCs w:val="20"/>
              </w:rPr>
            </w:pPr>
            <w:r w:rsidRPr="007F1217">
              <w:rPr>
                <w:b/>
                <w:sz w:val="20"/>
                <w:szCs w:val="20"/>
              </w:rPr>
              <w:t>3</w:t>
            </w:r>
          </w:p>
        </w:tc>
        <w:tc>
          <w:tcPr>
            <w:tcW w:w="700" w:type="pct"/>
            <w:shd w:val="clear" w:color="auto" w:fill="E4E9F3"/>
          </w:tcPr>
          <w:p w14:paraId="5E2E3864" w14:textId="3EFF644A" w:rsidR="00752358" w:rsidRPr="007F1217" w:rsidRDefault="00620C2B" w:rsidP="00F36AAD">
            <w:pPr>
              <w:jc w:val="right"/>
              <w:rPr>
                <w:b/>
                <w:sz w:val="20"/>
                <w:szCs w:val="20"/>
              </w:rPr>
            </w:pPr>
            <w:r w:rsidRPr="007F1217">
              <w:rPr>
                <w:b/>
                <w:sz w:val="20"/>
                <w:szCs w:val="20"/>
              </w:rPr>
              <w:t>374</w:t>
            </w:r>
          </w:p>
        </w:tc>
      </w:tr>
      <w:tr w:rsidR="00957224" w:rsidRPr="007F1217" w14:paraId="67F38C51" w14:textId="77777777" w:rsidTr="00C21A30">
        <w:tc>
          <w:tcPr>
            <w:tcW w:w="800" w:type="pct"/>
          </w:tcPr>
          <w:p w14:paraId="2FCFB9B9" w14:textId="3D450301" w:rsidR="00957224" w:rsidRPr="007F1217" w:rsidRDefault="00177013" w:rsidP="006877D0">
            <w:pPr>
              <w:rPr>
                <w:b/>
                <w:sz w:val="20"/>
                <w:szCs w:val="20"/>
              </w:rPr>
            </w:pPr>
            <w:r w:rsidRPr="004F4004">
              <w:rPr>
                <w:rFonts w:eastAsia="Times New Roman" w:cs="Calibri"/>
                <w:b/>
                <w:bCs/>
                <w:color w:val="000000"/>
                <w:lang w:val="fr" w:eastAsia="en-AU"/>
              </w:rPr>
              <w:t>Pourcentage</w:t>
            </w:r>
          </w:p>
        </w:tc>
        <w:tc>
          <w:tcPr>
            <w:tcW w:w="700" w:type="pct"/>
          </w:tcPr>
          <w:p w14:paraId="4F14C593" w14:textId="45A78917" w:rsidR="00957224" w:rsidRPr="007F1217" w:rsidRDefault="00957224" w:rsidP="00F36AAD">
            <w:pPr>
              <w:jc w:val="right"/>
              <w:rPr>
                <w:b/>
                <w:sz w:val="20"/>
                <w:szCs w:val="20"/>
              </w:rPr>
            </w:pPr>
            <w:r w:rsidRPr="007F1217">
              <w:rPr>
                <w:b/>
                <w:sz w:val="20"/>
                <w:szCs w:val="20"/>
              </w:rPr>
              <w:t>2</w:t>
            </w:r>
            <w:r w:rsidR="00A448FC" w:rsidRPr="007F1217">
              <w:rPr>
                <w:b/>
                <w:sz w:val="20"/>
                <w:szCs w:val="20"/>
              </w:rPr>
              <w:t>7</w:t>
            </w:r>
            <w:r w:rsidRPr="007F1217">
              <w:rPr>
                <w:b/>
                <w:sz w:val="20"/>
                <w:szCs w:val="20"/>
              </w:rPr>
              <w:t>%</w:t>
            </w:r>
          </w:p>
        </w:tc>
        <w:tc>
          <w:tcPr>
            <w:tcW w:w="700" w:type="pct"/>
          </w:tcPr>
          <w:p w14:paraId="6AEC6A4C" w14:textId="47431E62" w:rsidR="00957224" w:rsidRPr="007F1217" w:rsidRDefault="00957224" w:rsidP="00F36AAD">
            <w:pPr>
              <w:jc w:val="right"/>
              <w:rPr>
                <w:b/>
                <w:sz w:val="20"/>
                <w:szCs w:val="20"/>
              </w:rPr>
            </w:pPr>
            <w:r w:rsidRPr="007F1217">
              <w:rPr>
                <w:b/>
                <w:sz w:val="20"/>
                <w:szCs w:val="20"/>
              </w:rPr>
              <w:t>5</w:t>
            </w:r>
            <w:r w:rsidR="00C43D7A" w:rsidRPr="007F1217">
              <w:rPr>
                <w:b/>
                <w:sz w:val="20"/>
                <w:szCs w:val="20"/>
              </w:rPr>
              <w:t>6</w:t>
            </w:r>
            <w:r w:rsidRPr="007F1217">
              <w:rPr>
                <w:b/>
                <w:sz w:val="20"/>
                <w:szCs w:val="20"/>
              </w:rPr>
              <w:t>%</w:t>
            </w:r>
          </w:p>
        </w:tc>
        <w:tc>
          <w:tcPr>
            <w:tcW w:w="700" w:type="pct"/>
          </w:tcPr>
          <w:p w14:paraId="0AB6D3E8" w14:textId="6BE5C3E3" w:rsidR="00957224" w:rsidRPr="007F1217" w:rsidRDefault="00C43D7A" w:rsidP="00F36AAD">
            <w:pPr>
              <w:jc w:val="right"/>
              <w:rPr>
                <w:b/>
                <w:sz w:val="20"/>
                <w:szCs w:val="20"/>
              </w:rPr>
            </w:pPr>
            <w:r w:rsidRPr="007F1217">
              <w:rPr>
                <w:b/>
                <w:sz w:val="20"/>
                <w:szCs w:val="20"/>
              </w:rPr>
              <w:t>14</w:t>
            </w:r>
            <w:r w:rsidR="00957224" w:rsidRPr="007F1217">
              <w:rPr>
                <w:b/>
                <w:sz w:val="20"/>
                <w:szCs w:val="20"/>
              </w:rPr>
              <w:t>%</w:t>
            </w:r>
          </w:p>
        </w:tc>
        <w:tc>
          <w:tcPr>
            <w:tcW w:w="700" w:type="pct"/>
          </w:tcPr>
          <w:p w14:paraId="22EC2D25" w14:textId="26A4AB7D" w:rsidR="00957224" w:rsidRPr="007F1217" w:rsidRDefault="00A448FC" w:rsidP="00F36AAD">
            <w:pPr>
              <w:jc w:val="right"/>
              <w:rPr>
                <w:b/>
                <w:sz w:val="20"/>
                <w:szCs w:val="20"/>
              </w:rPr>
            </w:pPr>
            <w:r w:rsidRPr="007F1217">
              <w:rPr>
                <w:b/>
                <w:sz w:val="20"/>
                <w:szCs w:val="20"/>
              </w:rPr>
              <w:t>2</w:t>
            </w:r>
            <w:r w:rsidR="00957224" w:rsidRPr="007F1217">
              <w:rPr>
                <w:b/>
                <w:sz w:val="20"/>
                <w:szCs w:val="20"/>
              </w:rPr>
              <w:t>%</w:t>
            </w:r>
          </w:p>
        </w:tc>
        <w:tc>
          <w:tcPr>
            <w:tcW w:w="700" w:type="pct"/>
          </w:tcPr>
          <w:p w14:paraId="598CB151" w14:textId="70C7A8FC" w:rsidR="00957224" w:rsidRPr="007F1217" w:rsidRDefault="00A448FC" w:rsidP="00F36AAD">
            <w:pPr>
              <w:jc w:val="right"/>
              <w:rPr>
                <w:b/>
                <w:sz w:val="20"/>
                <w:szCs w:val="20"/>
              </w:rPr>
            </w:pPr>
            <w:r w:rsidRPr="007F1217">
              <w:rPr>
                <w:b/>
                <w:sz w:val="20"/>
                <w:szCs w:val="20"/>
              </w:rPr>
              <w:t>1</w:t>
            </w:r>
            <w:r w:rsidR="00957224" w:rsidRPr="007F1217">
              <w:rPr>
                <w:b/>
                <w:sz w:val="20"/>
                <w:szCs w:val="20"/>
              </w:rPr>
              <w:t>%</w:t>
            </w:r>
          </w:p>
        </w:tc>
        <w:tc>
          <w:tcPr>
            <w:tcW w:w="700" w:type="pct"/>
          </w:tcPr>
          <w:p w14:paraId="057B5835" w14:textId="77777777" w:rsidR="00957224" w:rsidRPr="007F1217" w:rsidRDefault="00957224" w:rsidP="00F36AAD">
            <w:pPr>
              <w:jc w:val="right"/>
              <w:rPr>
                <w:b/>
                <w:sz w:val="20"/>
                <w:szCs w:val="20"/>
              </w:rPr>
            </w:pPr>
          </w:p>
        </w:tc>
      </w:tr>
    </w:tbl>
    <w:p w14:paraId="7ED513EA" w14:textId="79449F02" w:rsidR="008E35C9" w:rsidRPr="006B3368" w:rsidRDefault="00866510" w:rsidP="006877D0">
      <w:pPr>
        <w:spacing w:before="240" w:after="240"/>
        <w:rPr>
          <w:b/>
        </w:rPr>
      </w:pPr>
      <w:r w:rsidRPr="00866510">
        <w:rPr>
          <w:b/>
        </w:rPr>
        <w:t xml:space="preserve">Tableau </w:t>
      </w:r>
      <w:proofErr w:type="gramStart"/>
      <w:r w:rsidRPr="00866510">
        <w:rPr>
          <w:b/>
        </w:rPr>
        <w:t>2 :</w:t>
      </w:r>
      <w:proofErr w:type="gramEnd"/>
      <w:r w:rsidRPr="00866510">
        <w:rPr>
          <w:b/>
        </w:rPr>
        <w:t xml:space="preserve"> </w:t>
      </w:r>
      <w:proofErr w:type="spellStart"/>
      <w:r w:rsidRPr="00866510">
        <w:rPr>
          <w:b/>
        </w:rPr>
        <w:t>état</w:t>
      </w:r>
      <w:proofErr w:type="spellEnd"/>
      <w:r w:rsidRPr="00866510">
        <w:rPr>
          <w:b/>
        </w:rPr>
        <w:t xml:space="preserve"> </w:t>
      </w:r>
      <w:proofErr w:type="spellStart"/>
      <w:r w:rsidRPr="00866510">
        <w:rPr>
          <w:b/>
        </w:rPr>
        <w:t>d’avancement</w:t>
      </w:r>
      <w:proofErr w:type="spellEnd"/>
      <w:r w:rsidRPr="00866510">
        <w:rPr>
          <w:b/>
        </w:rPr>
        <w:t xml:space="preserve"> des 374 actions par PAC et par </w:t>
      </w:r>
      <w:proofErr w:type="spellStart"/>
      <w:r w:rsidRPr="00866510">
        <w:rPr>
          <w:b/>
        </w:rPr>
        <w:t>état</w:t>
      </w:r>
      <w:proofErr w:type="spellEnd"/>
      <w:r w:rsidRPr="00866510">
        <w:rPr>
          <w:b/>
        </w:rPr>
        <w:t xml:space="preserve"> pour la </w:t>
      </w:r>
      <w:proofErr w:type="spellStart"/>
      <w:r w:rsidRPr="00866510">
        <w:rPr>
          <w:b/>
        </w:rPr>
        <w:t>période</w:t>
      </w:r>
      <w:proofErr w:type="spellEnd"/>
      <w:r w:rsidRPr="00866510">
        <w:rPr>
          <w:b/>
        </w:rPr>
        <w:t xml:space="preserve">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474"/>
        <w:gridCol w:w="1202"/>
        <w:gridCol w:w="1201"/>
        <w:gridCol w:w="1201"/>
        <w:gridCol w:w="1201"/>
        <w:gridCol w:w="1773"/>
        <w:gridCol w:w="1190"/>
      </w:tblGrid>
      <w:tr w:rsidR="0054117B" w:rsidRPr="00E97622" w14:paraId="4F4D0CEF" w14:textId="77777777" w:rsidTr="003A22E4">
        <w:trPr>
          <w:tblHeader/>
        </w:trPr>
        <w:tc>
          <w:tcPr>
            <w:tcW w:w="797" w:type="pct"/>
            <w:tcBorders>
              <w:top w:val="single" w:sz="4" w:space="0" w:color="auto"/>
              <w:bottom w:val="single" w:sz="4" w:space="0" w:color="auto"/>
              <w:right w:val="single" w:sz="4" w:space="0" w:color="FFFFFF" w:themeColor="background1"/>
            </w:tcBorders>
            <w:shd w:val="clear" w:color="auto" w:fill="6C1740"/>
          </w:tcPr>
          <w:p w14:paraId="536AC5C2" w14:textId="77777777" w:rsidR="0054117B" w:rsidRPr="00E97622" w:rsidRDefault="0054117B" w:rsidP="00EF2C6E">
            <w:pPr>
              <w:rPr>
                <w:b/>
                <w:sz w:val="20"/>
                <w:szCs w:val="20"/>
              </w:rPr>
            </w:pPr>
            <w:bookmarkStart w:id="5" w:name="Title_02"/>
            <w:bookmarkEnd w:id="5"/>
            <w:r w:rsidRPr="00E97622">
              <w:rPr>
                <w:b/>
                <w:sz w:val="20"/>
                <w:szCs w:val="20"/>
              </w:rPr>
              <w:t>TAP</w:t>
            </w:r>
          </w:p>
        </w:tc>
        <w:tc>
          <w:tcPr>
            <w:tcW w:w="6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760D9B3C" w:rsidR="0054117B" w:rsidRPr="00E97622" w:rsidRDefault="0054117B" w:rsidP="006877D0">
            <w:pPr>
              <w:jc w:val="right"/>
              <w:rPr>
                <w:b/>
                <w:sz w:val="20"/>
                <w:szCs w:val="20"/>
              </w:rPr>
            </w:pPr>
            <w:r w:rsidRPr="00A86D39">
              <w:rPr>
                <w:rFonts w:eastAsia="Times New Roman" w:cs="Calibri"/>
                <w:b/>
                <w:bCs/>
                <w:color w:val="FFFFFF" w:themeColor="background1"/>
                <w:sz w:val="20"/>
                <w:szCs w:val="20"/>
                <w:lang w:val="fr" w:eastAsia="en-AU"/>
              </w:rPr>
              <w:t>Finalisé</w:t>
            </w:r>
          </w:p>
        </w:tc>
        <w:tc>
          <w:tcPr>
            <w:tcW w:w="6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14100AE1" w:rsidR="0054117B" w:rsidRPr="00E97622" w:rsidRDefault="0054117B" w:rsidP="006877D0">
            <w:pPr>
              <w:jc w:val="right"/>
              <w:rPr>
                <w:b/>
                <w:sz w:val="20"/>
                <w:szCs w:val="20"/>
              </w:rPr>
            </w:pPr>
            <w:r w:rsidRPr="00A86D39">
              <w:rPr>
                <w:rFonts w:eastAsia="Times New Roman" w:cs="Calibri"/>
                <w:b/>
                <w:bCs/>
                <w:color w:val="FFFFFF" w:themeColor="background1"/>
                <w:sz w:val="20"/>
                <w:szCs w:val="20"/>
                <w:lang w:val="fr" w:eastAsia="en-AU"/>
              </w:rPr>
              <w:t>En bonne voie</w:t>
            </w:r>
          </w:p>
        </w:tc>
        <w:tc>
          <w:tcPr>
            <w:tcW w:w="6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6B49D11D" w:rsidR="0054117B" w:rsidRPr="00E97622" w:rsidRDefault="0054117B" w:rsidP="006877D0">
            <w:pPr>
              <w:jc w:val="right"/>
              <w:rPr>
                <w:b/>
                <w:sz w:val="20"/>
                <w:szCs w:val="20"/>
              </w:rPr>
            </w:pPr>
            <w:r w:rsidRPr="00A86D39">
              <w:rPr>
                <w:rFonts w:eastAsia="Times New Roman" w:cs="Calibri"/>
                <w:b/>
                <w:bCs/>
                <w:color w:val="FFFFFF" w:themeColor="background1"/>
                <w:sz w:val="20"/>
                <w:szCs w:val="20"/>
                <w:lang w:val="fr" w:eastAsia="en-AU"/>
              </w:rPr>
              <w:t>Quelques retards</w:t>
            </w:r>
          </w:p>
        </w:tc>
        <w:tc>
          <w:tcPr>
            <w:tcW w:w="65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2A7E26D0" w:rsidR="0054117B" w:rsidRPr="00E97622" w:rsidRDefault="0054117B" w:rsidP="006877D0">
            <w:pPr>
              <w:jc w:val="right"/>
              <w:rPr>
                <w:b/>
                <w:sz w:val="20"/>
                <w:szCs w:val="20"/>
              </w:rPr>
            </w:pPr>
            <w:r w:rsidRPr="00A86D39">
              <w:rPr>
                <w:rFonts w:eastAsia="Times New Roman" w:cs="Calibri"/>
                <w:b/>
                <w:bCs/>
                <w:color w:val="FFFFFF" w:themeColor="background1"/>
                <w:sz w:val="20"/>
                <w:szCs w:val="20"/>
                <w:lang w:val="fr" w:eastAsia="en-AU"/>
              </w:rPr>
              <w:t>En pause</w:t>
            </w:r>
          </w:p>
        </w:tc>
        <w:tc>
          <w:tcPr>
            <w:tcW w:w="95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575FFCB9" w:rsidR="0054117B" w:rsidRPr="00E97622" w:rsidRDefault="0054117B" w:rsidP="006877D0">
            <w:pPr>
              <w:jc w:val="right"/>
              <w:rPr>
                <w:b/>
                <w:sz w:val="20"/>
                <w:szCs w:val="20"/>
              </w:rPr>
            </w:pPr>
            <w:r w:rsidRPr="00A86D39">
              <w:rPr>
                <w:rFonts w:eastAsia="Times New Roman" w:cs="Calibri"/>
                <w:b/>
                <w:bCs/>
                <w:color w:val="FFFFFF" w:themeColor="background1"/>
                <w:sz w:val="20"/>
                <w:szCs w:val="20"/>
                <w:lang w:val="fr" w:eastAsia="en-AU"/>
              </w:rPr>
              <w:t>Commencement à une date ultérieure</w:t>
            </w:r>
          </w:p>
        </w:tc>
        <w:tc>
          <w:tcPr>
            <w:tcW w:w="644" w:type="pct"/>
            <w:tcBorders>
              <w:top w:val="single" w:sz="4" w:space="0" w:color="auto"/>
              <w:left w:val="single" w:sz="4" w:space="0" w:color="FFFFFF" w:themeColor="background1"/>
              <w:bottom w:val="single" w:sz="4" w:space="0" w:color="auto"/>
            </w:tcBorders>
            <w:shd w:val="clear" w:color="auto" w:fill="6C1740"/>
          </w:tcPr>
          <w:p w14:paraId="00156194" w14:textId="7E1A5215" w:rsidR="0054117B" w:rsidRPr="00E97622" w:rsidRDefault="0054117B" w:rsidP="006877D0">
            <w:pPr>
              <w:jc w:val="right"/>
              <w:rPr>
                <w:b/>
                <w:sz w:val="20"/>
                <w:szCs w:val="20"/>
              </w:rPr>
            </w:pPr>
            <w:r w:rsidRPr="00A86D39">
              <w:rPr>
                <w:b/>
                <w:color w:val="FFFFFF" w:themeColor="background1"/>
                <w:sz w:val="20"/>
                <w:szCs w:val="20"/>
              </w:rPr>
              <w:t>Total</w:t>
            </w:r>
          </w:p>
        </w:tc>
      </w:tr>
      <w:tr w:rsidR="0054117B" w:rsidRPr="00E97622" w14:paraId="08F605E0" w14:textId="77777777" w:rsidTr="003A22E4">
        <w:tc>
          <w:tcPr>
            <w:tcW w:w="797" w:type="pct"/>
            <w:tcBorders>
              <w:top w:val="single" w:sz="4" w:space="0" w:color="auto"/>
            </w:tcBorders>
            <w:vAlign w:val="bottom"/>
          </w:tcPr>
          <w:p w14:paraId="59F60012" w14:textId="75B74394" w:rsidR="0054117B" w:rsidRPr="0054117B" w:rsidRDefault="0054117B" w:rsidP="00EF2C6E">
            <w:pPr>
              <w:rPr>
                <w:sz w:val="20"/>
                <w:szCs w:val="20"/>
              </w:rPr>
            </w:pPr>
            <w:r w:rsidRPr="0054117B">
              <w:rPr>
                <w:rFonts w:eastAsia="Times New Roman" w:cs="Calibri"/>
                <w:bCs/>
                <w:color w:val="000000"/>
                <w:sz w:val="20"/>
                <w:szCs w:val="20"/>
                <w:lang w:val="fr" w:eastAsia="en-AU"/>
              </w:rPr>
              <w:lastRenderedPageBreak/>
              <w:t>Emploi</w:t>
            </w:r>
          </w:p>
        </w:tc>
        <w:tc>
          <w:tcPr>
            <w:tcW w:w="650" w:type="pct"/>
            <w:tcBorders>
              <w:top w:val="single" w:sz="4" w:space="0" w:color="auto"/>
            </w:tcBorders>
          </w:tcPr>
          <w:p w14:paraId="4D6D9272" w14:textId="77777777" w:rsidR="0054117B" w:rsidRPr="00E97622" w:rsidRDefault="0054117B" w:rsidP="006877D0">
            <w:pPr>
              <w:jc w:val="right"/>
              <w:rPr>
                <w:sz w:val="20"/>
                <w:szCs w:val="20"/>
              </w:rPr>
            </w:pPr>
            <w:r w:rsidRPr="00E97622">
              <w:rPr>
                <w:sz w:val="20"/>
                <w:szCs w:val="20"/>
              </w:rPr>
              <w:t>17</w:t>
            </w:r>
          </w:p>
        </w:tc>
        <w:tc>
          <w:tcPr>
            <w:tcW w:w="650" w:type="pct"/>
            <w:tcBorders>
              <w:top w:val="single" w:sz="4" w:space="0" w:color="auto"/>
            </w:tcBorders>
          </w:tcPr>
          <w:p w14:paraId="7F980C6E" w14:textId="6898C556" w:rsidR="0054117B" w:rsidRPr="00E97622" w:rsidRDefault="0054117B" w:rsidP="006877D0">
            <w:pPr>
              <w:jc w:val="right"/>
              <w:rPr>
                <w:sz w:val="20"/>
                <w:szCs w:val="20"/>
              </w:rPr>
            </w:pPr>
            <w:r w:rsidRPr="00E97622">
              <w:rPr>
                <w:sz w:val="20"/>
                <w:szCs w:val="20"/>
              </w:rPr>
              <w:t>47</w:t>
            </w:r>
          </w:p>
        </w:tc>
        <w:tc>
          <w:tcPr>
            <w:tcW w:w="650" w:type="pct"/>
            <w:tcBorders>
              <w:top w:val="single" w:sz="4" w:space="0" w:color="auto"/>
            </w:tcBorders>
          </w:tcPr>
          <w:p w14:paraId="0721E32E" w14:textId="47D76768" w:rsidR="0054117B" w:rsidRPr="00E97622" w:rsidRDefault="0054117B" w:rsidP="006877D0">
            <w:pPr>
              <w:jc w:val="right"/>
              <w:rPr>
                <w:sz w:val="20"/>
                <w:szCs w:val="20"/>
              </w:rPr>
            </w:pPr>
            <w:r w:rsidRPr="00E97622">
              <w:rPr>
                <w:sz w:val="20"/>
                <w:szCs w:val="20"/>
              </w:rPr>
              <w:t>9</w:t>
            </w:r>
          </w:p>
        </w:tc>
        <w:tc>
          <w:tcPr>
            <w:tcW w:w="650" w:type="pct"/>
            <w:tcBorders>
              <w:top w:val="single" w:sz="4" w:space="0" w:color="auto"/>
            </w:tcBorders>
          </w:tcPr>
          <w:p w14:paraId="3A152212" w14:textId="77777777" w:rsidR="0054117B" w:rsidRPr="00E97622" w:rsidRDefault="0054117B" w:rsidP="006877D0">
            <w:pPr>
              <w:jc w:val="right"/>
              <w:rPr>
                <w:sz w:val="20"/>
                <w:szCs w:val="20"/>
              </w:rPr>
            </w:pPr>
            <w:r w:rsidRPr="00E97622">
              <w:rPr>
                <w:sz w:val="20"/>
                <w:szCs w:val="20"/>
              </w:rPr>
              <w:t>0</w:t>
            </w:r>
          </w:p>
        </w:tc>
        <w:tc>
          <w:tcPr>
            <w:tcW w:w="959" w:type="pct"/>
            <w:tcBorders>
              <w:top w:val="single" w:sz="4" w:space="0" w:color="auto"/>
            </w:tcBorders>
          </w:tcPr>
          <w:p w14:paraId="57C8D585" w14:textId="77777777" w:rsidR="0054117B" w:rsidRPr="00E97622" w:rsidRDefault="0054117B" w:rsidP="006877D0">
            <w:pPr>
              <w:jc w:val="right"/>
              <w:rPr>
                <w:sz w:val="20"/>
                <w:szCs w:val="20"/>
              </w:rPr>
            </w:pPr>
            <w:r w:rsidRPr="00E97622">
              <w:rPr>
                <w:sz w:val="20"/>
                <w:szCs w:val="20"/>
              </w:rPr>
              <w:t>0</w:t>
            </w:r>
          </w:p>
        </w:tc>
        <w:tc>
          <w:tcPr>
            <w:tcW w:w="644" w:type="pct"/>
            <w:tcBorders>
              <w:top w:val="single" w:sz="4" w:space="0" w:color="auto"/>
            </w:tcBorders>
          </w:tcPr>
          <w:p w14:paraId="7022FAA2" w14:textId="181CF0E4" w:rsidR="0054117B" w:rsidRPr="00E97622" w:rsidRDefault="0054117B" w:rsidP="006877D0">
            <w:pPr>
              <w:jc w:val="right"/>
              <w:rPr>
                <w:sz w:val="20"/>
                <w:szCs w:val="20"/>
              </w:rPr>
            </w:pPr>
            <w:r w:rsidRPr="00E97622">
              <w:rPr>
                <w:sz w:val="20"/>
                <w:szCs w:val="20"/>
              </w:rPr>
              <w:t>73</w:t>
            </w:r>
          </w:p>
        </w:tc>
      </w:tr>
      <w:tr w:rsidR="0054117B" w:rsidRPr="00E97622" w14:paraId="65D34C9A" w14:textId="77777777" w:rsidTr="003A22E4">
        <w:tc>
          <w:tcPr>
            <w:tcW w:w="797" w:type="pct"/>
            <w:shd w:val="clear" w:color="auto" w:fill="FAF9F8"/>
            <w:vAlign w:val="bottom"/>
          </w:tcPr>
          <w:p w14:paraId="614C20F0" w14:textId="659A747F" w:rsidR="0054117B" w:rsidRPr="0054117B" w:rsidRDefault="0054117B" w:rsidP="00EF2C6E">
            <w:pPr>
              <w:rPr>
                <w:sz w:val="20"/>
                <w:szCs w:val="20"/>
              </w:rPr>
            </w:pPr>
            <w:r w:rsidRPr="0054117B">
              <w:rPr>
                <w:rFonts w:eastAsia="Times New Roman" w:cs="Calibri"/>
                <w:bCs/>
                <w:color w:val="000000"/>
                <w:sz w:val="20"/>
                <w:szCs w:val="20"/>
                <w:lang w:val="fr" w:eastAsia="en-AU"/>
              </w:rPr>
              <w:t>État d'esprit des communautés</w:t>
            </w:r>
          </w:p>
        </w:tc>
        <w:tc>
          <w:tcPr>
            <w:tcW w:w="650" w:type="pct"/>
            <w:shd w:val="clear" w:color="auto" w:fill="FAF9F8"/>
          </w:tcPr>
          <w:p w14:paraId="40988ABA" w14:textId="2DA6E197" w:rsidR="0054117B" w:rsidRPr="00E97622" w:rsidRDefault="0054117B" w:rsidP="006877D0">
            <w:pPr>
              <w:jc w:val="right"/>
              <w:rPr>
                <w:sz w:val="20"/>
                <w:szCs w:val="20"/>
              </w:rPr>
            </w:pPr>
            <w:r w:rsidRPr="00E97622">
              <w:rPr>
                <w:sz w:val="20"/>
                <w:szCs w:val="20"/>
              </w:rPr>
              <w:t>20</w:t>
            </w:r>
          </w:p>
        </w:tc>
        <w:tc>
          <w:tcPr>
            <w:tcW w:w="650" w:type="pct"/>
            <w:shd w:val="clear" w:color="auto" w:fill="FAF9F8"/>
          </w:tcPr>
          <w:p w14:paraId="370EDEDB" w14:textId="76292B67" w:rsidR="0054117B" w:rsidRPr="00E97622" w:rsidRDefault="0054117B" w:rsidP="006877D0">
            <w:pPr>
              <w:jc w:val="right"/>
              <w:rPr>
                <w:sz w:val="20"/>
                <w:szCs w:val="20"/>
              </w:rPr>
            </w:pPr>
            <w:r w:rsidRPr="00E97622">
              <w:rPr>
                <w:sz w:val="20"/>
                <w:szCs w:val="20"/>
              </w:rPr>
              <w:t>33</w:t>
            </w:r>
          </w:p>
        </w:tc>
        <w:tc>
          <w:tcPr>
            <w:tcW w:w="650" w:type="pct"/>
            <w:shd w:val="clear" w:color="auto" w:fill="FAF9F8"/>
          </w:tcPr>
          <w:p w14:paraId="508856DE" w14:textId="24730E8C" w:rsidR="0054117B" w:rsidRPr="00E97622" w:rsidRDefault="0054117B" w:rsidP="006877D0">
            <w:pPr>
              <w:jc w:val="right"/>
              <w:rPr>
                <w:sz w:val="20"/>
                <w:szCs w:val="20"/>
              </w:rPr>
            </w:pPr>
            <w:r w:rsidRPr="00E97622">
              <w:rPr>
                <w:sz w:val="20"/>
                <w:szCs w:val="20"/>
              </w:rPr>
              <w:t>10</w:t>
            </w:r>
          </w:p>
        </w:tc>
        <w:tc>
          <w:tcPr>
            <w:tcW w:w="650" w:type="pct"/>
            <w:shd w:val="clear" w:color="auto" w:fill="FAF9F8"/>
          </w:tcPr>
          <w:p w14:paraId="19795E4A" w14:textId="77777777" w:rsidR="0054117B" w:rsidRPr="00E97622" w:rsidRDefault="0054117B" w:rsidP="006877D0">
            <w:pPr>
              <w:jc w:val="right"/>
              <w:rPr>
                <w:sz w:val="20"/>
                <w:szCs w:val="20"/>
              </w:rPr>
            </w:pPr>
            <w:r w:rsidRPr="00E97622">
              <w:rPr>
                <w:sz w:val="20"/>
                <w:szCs w:val="20"/>
              </w:rPr>
              <w:t>0</w:t>
            </w:r>
          </w:p>
        </w:tc>
        <w:tc>
          <w:tcPr>
            <w:tcW w:w="959" w:type="pct"/>
            <w:shd w:val="clear" w:color="auto" w:fill="FAF9F8"/>
          </w:tcPr>
          <w:p w14:paraId="6022F5FA" w14:textId="77777777" w:rsidR="0054117B" w:rsidRPr="00E97622" w:rsidRDefault="0054117B" w:rsidP="006877D0">
            <w:pPr>
              <w:jc w:val="right"/>
              <w:rPr>
                <w:sz w:val="20"/>
                <w:szCs w:val="20"/>
              </w:rPr>
            </w:pPr>
            <w:r w:rsidRPr="00E97622">
              <w:rPr>
                <w:sz w:val="20"/>
                <w:szCs w:val="20"/>
              </w:rPr>
              <w:t>0</w:t>
            </w:r>
          </w:p>
        </w:tc>
        <w:tc>
          <w:tcPr>
            <w:tcW w:w="644" w:type="pct"/>
            <w:shd w:val="clear" w:color="auto" w:fill="FAF9F8"/>
          </w:tcPr>
          <w:p w14:paraId="0BFC36E9" w14:textId="772C3EF7" w:rsidR="0054117B" w:rsidRPr="00E97622" w:rsidRDefault="0054117B" w:rsidP="006877D0">
            <w:pPr>
              <w:jc w:val="right"/>
              <w:rPr>
                <w:sz w:val="20"/>
                <w:szCs w:val="20"/>
              </w:rPr>
            </w:pPr>
            <w:r w:rsidRPr="00E97622">
              <w:rPr>
                <w:sz w:val="20"/>
                <w:szCs w:val="20"/>
              </w:rPr>
              <w:t>63</w:t>
            </w:r>
          </w:p>
        </w:tc>
      </w:tr>
      <w:tr w:rsidR="0054117B" w:rsidRPr="00E97622" w14:paraId="79E8D389" w14:textId="77777777" w:rsidTr="003A22E4">
        <w:tc>
          <w:tcPr>
            <w:tcW w:w="797" w:type="pct"/>
            <w:vAlign w:val="bottom"/>
          </w:tcPr>
          <w:p w14:paraId="762EA67B" w14:textId="0B4CB70A" w:rsidR="0054117B" w:rsidRPr="0054117B" w:rsidRDefault="0054117B" w:rsidP="00EF2C6E">
            <w:pPr>
              <w:rPr>
                <w:sz w:val="20"/>
                <w:szCs w:val="20"/>
              </w:rPr>
            </w:pPr>
            <w:r w:rsidRPr="0054117B">
              <w:rPr>
                <w:rFonts w:eastAsia="Times New Roman" w:cs="Calibri"/>
                <w:bCs/>
                <w:color w:val="000000"/>
                <w:sz w:val="20"/>
                <w:szCs w:val="20"/>
                <w:lang w:val="fr" w:eastAsia="en-AU"/>
              </w:rPr>
              <w:t>Petite enfance</w:t>
            </w:r>
          </w:p>
        </w:tc>
        <w:tc>
          <w:tcPr>
            <w:tcW w:w="650" w:type="pct"/>
          </w:tcPr>
          <w:p w14:paraId="76B5A428" w14:textId="6D01DBB6" w:rsidR="0054117B" w:rsidRPr="00E97622" w:rsidRDefault="0054117B" w:rsidP="006877D0">
            <w:pPr>
              <w:jc w:val="right"/>
              <w:rPr>
                <w:sz w:val="20"/>
                <w:szCs w:val="20"/>
              </w:rPr>
            </w:pPr>
            <w:r w:rsidRPr="00E97622">
              <w:rPr>
                <w:sz w:val="20"/>
                <w:szCs w:val="20"/>
              </w:rPr>
              <w:t>20</w:t>
            </w:r>
          </w:p>
        </w:tc>
        <w:tc>
          <w:tcPr>
            <w:tcW w:w="650" w:type="pct"/>
          </w:tcPr>
          <w:p w14:paraId="31678CE4" w14:textId="2D6F0471" w:rsidR="0054117B" w:rsidRPr="00E97622" w:rsidRDefault="0054117B" w:rsidP="006877D0">
            <w:pPr>
              <w:jc w:val="right"/>
              <w:rPr>
                <w:sz w:val="20"/>
                <w:szCs w:val="20"/>
              </w:rPr>
            </w:pPr>
            <w:r w:rsidRPr="00E97622">
              <w:rPr>
                <w:sz w:val="20"/>
                <w:szCs w:val="20"/>
              </w:rPr>
              <w:t>43</w:t>
            </w:r>
          </w:p>
        </w:tc>
        <w:tc>
          <w:tcPr>
            <w:tcW w:w="650" w:type="pct"/>
          </w:tcPr>
          <w:p w14:paraId="6C94D221" w14:textId="170A28A9" w:rsidR="0054117B" w:rsidRPr="00E97622" w:rsidRDefault="0054117B" w:rsidP="006877D0">
            <w:pPr>
              <w:jc w:val="right"/>
              <w:rPr>
                <w:sz w:val="20"/>
                <w:szCs w:val="20"/>
              </w:rPr>
            </w:pPr>
            <w:r w:rsidRPr="00E97622">
              <w:rPr>
                <w:sz w:val="20"/>
                <w:szCs w:val="20"/>
              </w:rPr>
              <w:t>7</w:t>
            </w:r>
          </w:p>
        </w:tc>
        <w:tc>
          <w:tcPr>
            <w:tcW w:w="650" w:type="pct"/>
          </w:tcPr>
          <w:p w14:paraId="244E2AE2" w14:textId="77777777" w:rsidR="0054117B" w:rsidRPr="00E97622" w:rsidRDefault="0054117B" w:rsidP="006877D0">
            <w:pPr>
              <w:jc w:val="right"/>
              <w:rPr>
                <w:sz w:val="20"/>
                <w:szCs w:val="20"/>
              </w:rPr>
            </w:pPr>
            <w:r w:rsidRPr="00E97622">
              <w:rPr>
                <w:sz w:val="20"/>
                <w:szCs w:val="20"/>
              </w:rPr>
              <w:t>3</w:t>
            </w:r>
          </w:p>
        </w:tc>
        <w:tc>
          <w:tcPr>
            <w:tcW w:w="959" w:type="pct"/>
          </w:tcPr>
          <w:p w14:paraId="65CFF358" w14:textId="77777777" w:rsidR="0054117B" w:rsidRPr="00E97622" w:rsidRDefault="0054117B" w:rsidP="006877D0">
            <w:pPr>
              <w:jc w:val="right"/>
              <w:rPr>
                <w:sz w:val="20"/>
                <w:szCs w:val="20"/>
              </w:rPr>
            </w:pPr>
            <w:r w:rsidRPr="00E97622">
              <w:rPr>
                <w:sz w:val="20"/>
                <w:szCs w:val="20"/>
              </w:rPr>
              <w:t>1</w:t>
            </w:r>
          </w:p>
        </w:tc>
        <w:tc>
          <w:tcPr>
            <w:tcW w:w="644" w:type="pct"/>
          </w:tcPr>
          <w:p w14:paraId="194151B9" w14:textId="38B8663B" w:rsidR="0054117B" w:rsidRPr="00E97622" w:rsidRDefault="0054117B" w:rsidP="006877D0">
            <w:pPr>
              <w:jc w:val="right"/>
              <w:rPr>
                <w:sz w:val="20"/>
                <w:szCs w:val="20"/>
              </w:rPr>
            </w:pPr>
            <w:r w:rsidRPr="00E97622">
              <w:rPr>
                <w:sz w:val="20"/>
                <w:szCs w:val="20"/>
              </w:rPr>
              <w:t>74</w:t>
            </w:r>
          </w:p>
        </w:tc>
      </w:tr>
      <w:tr w:rsidR="0054117B" w:rsidRPr="00E97622" w14:paraId="51E90B34" w14:textId="77777777" w:rsidTr="003A22E4">
        <w:tc>
          <w:tcPr>
            <w:tcW w:w="797" w:type="pct"/>
            <w:shd w:val="clear" w:color="auto" w:fill="FAF9F8"/>
            <w:vAlign w:val="bottom"/>
          </w:tcPr>
          <w:p w14:paraId="74082AD9" w14:textId="15D77D36" w:rsidR="0054117B" w:rsidRPr="0054117B" w:rsidRDefault="0054117B" w:rsidP="00EF2C6E">
            <w:pPr>
              <w:rPr>
                <w:sz w:val="20"/>
                <w:szCs w:val="20"/>
              </w:rPr>
            </w:pPr>
            <w:r w:rsidRPr="0054117B">
              <w:rPr>
                <w:rFonts w:eastAsia="Times New Roman" w:cs="Calibri"/>
                <w:bCs/>
                <w:color w:val="000000"/>
                <w:sz w:val="20"/>
                <w:szCs w:val="20"/>
                <w:lang w:val="fr" w:eastAsia="en-AU"/>
              </w:rPr>
              <w:t>Sécurité</w:t>
            </w:r>
          </w:p>
        </w:tc>
        <w:tc>
          <w:tcPr>
            <w:tcW w:w="650" w:type="pct"/>
            <w:shd w:val="clear" w:color="auto" w:fill="FAF9F8"/>
          </w:tcPr>
          <w:p w14:paraId="7860BF3D" w14:textId="77777777" w:rsidR="0054117B" w:rsidRPr="00E97622" w:rsidRDefault="0054117B" w:rsidP="006877D0">
            <w:pPr>
              <w:jc w:val="right"/>
              <w:rPr>
                <w:sz w:val="20"/>
                <w:szCs w:val="20"/>
              </w:rPr>
            </w:pPr>
            <w:r w:rsidRPr="00E97622">
              <w:rPr>
                <w:sz w:val="20"/>
                <w:szCs w:val="20"/>
              </w:rPr>
              <w:t>34</w:t>
            </w:r>
          </w:p>
        </w:tc>
        <w:tc>
          <w:tcPr>
            <w:tcW w:w="650" w:type="pct"/>
            <w:shd w:val="clear" w:color="auto" w:fill="FAF9F8"/>
          </w:tcPr>
          <w:p w14:paraId="32958378" w14:textId="77777777" w:rsidR="0054117B" w:rsidRPr="00E97622" w:rsidRDefault="0054117B" w:rsidP="006877D0">
            <w:pPr>
              <w:jc w:val="right"/>
              <w:rPr>
                <w:sz w:val="20"/>
                <w:szCs w:val="20"/>
              </w:rPr>
            </w:pPr>
            <w:r w:rsidRPr="00E97622">
              <w:rPr>
                <w:sz w:val="20"/>
                <w:szCs w:val="20"/>
              </w:rPr>
              <w:t>52</w:t>
            </w:r>
          </w:p>
        </w:tc>
        <w:tc>
          <w:tcPr>
            <w:tcW w:w="650" w:type="pct"/>
            <w:shd w:val="clear" w:color="auto" w:fill="FAF9F8"/>
          </w:tcPr>
          <w:p w14:paraId="2CE15342" w14:textId="77777777" w:rsidR="0054117B" w:rsidRPr="00E97622" w:rsidRDefault="0054117B" w:rsidP="006877D0">
            <w:pPr>
              <w:jc w:val="right"/>
              <w:rPr>
                <w:sz w:val="20"/>
                <w:szCs w:val="20"/>
              </w:rPr>
            </w:pPr>
            <w:r w:rsidRPr="00E97622">
              <w:rPr>
                <w:sz w:val="20"/>
                <w:szCs w:val="20"/>
              </w:rPr>
              <w:t>25</w:t>
            </w:r>
          </w:p>
        </w:tc>
        <w:tc>
          <w:tcPr>
            <w:tcW w:w="650" w:type="pct"/>
            <w:shd w:val="clear" w:color="auto" w:fill="FAF9F8"/>
          </w:tcPr>
          <w:p w14:paraId="5B43DB73" w14:textId="77777777" w:rsidR="0054117B" w:rsidRPr="00E97622" w:rsidRDefault="0054117B" w:rsidP="006877D0">
            <w:pPr>
              <w:jc w:val="right"/>
              <w:rPr>
                <w:sz w:val="20"/>
                <w:szCs w:val="20"/>
              </w:rPr>
            </w:pPr>
            <w:r w:rsidRPr="00E97622">
              <w:rPr>
                <w:sz w:val="20"/>
                <w:szCs w:val="20"/>
              </w:rPr>
              <w:t>4</w:t>
            </w:r>
          </w:p>
        </w:tc>
        <w:tc>
          <w:tcPr>
            <w:tcW w:w="959" w:type="pct"/>
            <w:shd w:val="clear" w:color="auto" w:fill="FAF9F8"/>
          </w:tcPr>
          <w:p w14:paraId="5546A7C3" w14:textId="77777777" w:rsidR="0054117B" w:rsidRPr="00E97622" w:rsidRDefault="0054117B" w:rsidP="006877D0">
            <w:pPr>
              <w:jc w:val="right"/>
              <w:rPr>
                <w:sz w:val="20"/>
                <w:szCs w:val="20"/>
              </w:rPr>
            </w:pPr>
            <w:r w:rsidRPr="00E97622">
              <w:rPr>
                <w:sz w:val="20"/>
                <w:szCs w:val="20"/>
              </w:rPr>
              <w:t>2</w:t>
            </w:r>
          </w:p>
        </w:tc>
        <w:tc>
          <w:tcPr>
            <w:tcW w:w="644" w:type="pct"/>
            <w:shd w:val="clear" w:color="auto" w:fill="FAF9F8"/>
          </w:tcPr>
          <w:p w14:paraId="7143D255" w14:textId="3F4AA248" w:rsidR="0054117B" w:rsidRPr="00E97622" w:rsidRDefault="0054117B" w:rsidP="006877D0">
            <w:pPr>
              <w:jc w:val="right"/>
              <w:rPr>
                <w:sz w:val="20"/>
                <w:szCs w:val="20"/>
              </w:rPr>
            </w:pPr>
            <w:r w:rsidRPr="00E97622">
              <w:rPr>
                <w:sz w:val="20"/>
                <w:szCs w:val="20"/>
              </w:rPr>
              <w:t>117</w:t>
            </w:r>
          </w:p>
        </w:tc>
      </w:tr>
      <w:tr w:rsidR="0054117B" w:rsidRPr="00E97622" w14:paraId="2EE15BDB" w14:textId="77777777" w:rsidTr="003A22E4">
        <w:tc>
          <w:tcPr>
            <w:tcW w:w="797" w:type="pct"/>
            <w:vAlign w:val="bottom"/>
          </w:tcPr>
          <w:p w14:paraId="745F9B56" w14:textId="06F85CE1" w:rsidR="0054117B" w:rsidRPr="0054117B" w:rsidRDefault="0054117B" w:rsidP="00EF2C6E">
            <w:pPr>
              <w:rPr>
                <w:sz w:val="20"/>
                <w:szCs w:val="20"/>
              </w:rPr>
            </w:pPr>
            <w:r w:rsidRPr="0054117B">
              <w:rPr>
                <w:rFonts w:eastAsia="Times New Roman" w:cs="Calibri"/>
                <w:bCs/>
                <w:color w:val="000000"/>
                <w:sz w:val="20"/>
                <w:szCs w:val="20"/>
                <w:lang w:val="fr" w:eastAsia="en-AU"/>
              </w:rPr>
              <w:t>Gestion des urgences</w:t>
            </w:r>
          </w:p>
        </w:tc>
        <w:tc>
          <w:tcPr>
            <w:tcW w:w="650" w:type="pct"/>
          </w:tcPr>
          <w:p w14:paraId="12D71D18" w14:textId="77777777" w:rsidR="0054117B" w:rsidRPr="00E97622" w:rsidRDefault="0054117B" w:rsidP="006877D0">
            <w:pPr>
              <w:jc w:val="right"/>
              <w:rPr>
                <w:sz w:val="20"/>
                <w:szCs w:val="20"/>
              </w:rPr>
            </w:pPr>
            <w:r w:rsidRPr="00E97622">
              <w:rPr>
                <w:sz w:val="20"/>
                <w:szCs w:val="20"/>
              </w:rPr>
              <w:t>10</w:t>
            </w:r>
          </w:p>
        </w:tc>
        <w:tc>
          <w:tcPr>
            <w:tcW w:w="650" w:type="pct"/>
          </w:tcPr>
          <w:p w14:paraId="6183D618" w14:textId="77777777" w:rsidR="0054117B" w:rsidRPr="00E97622" w:rsidRDefault="0054117B" w:rsidP="006877D0">
            <w:pPr>
              <w:jc w:val="right"/>
              <w:rPr>
                <w:sz w:val="20"/>
                <w:szCs w:val="20"/>
              </w:rPr>
            </w:pPr>
            <w:r w:rsidRPr="00E97622">
              <w:rPr>
                <w:sz w:val="20"/>
                <w:szCs w:val="20"/>
              </w:rPr>
              <w:t>34</w:t>
            </w:r>
          </w:p>
        </w:tc>
        <w:tc>
          <w:tcPr>
            <w:tcW w:w="650" w:type="pct"/>
          </w:tcPr>
          <w:p w14:paraId="19B92F49" w14:textId="77777777" w:rsidR="0054117B" w:rsidRPr="00E97622" w:rsidRDefault="0054117B" w:rsidP="006877D0">
            <w:pPr>
              <w:jc w:val="right"/>
              <w:rPr>
                <w:sz w:val="20"/>
                <w:szCs w:val="20"/>
              </w:rPr>
            </w:pPr>
            <w:r w:rsidRPr="00E97622">
              <w:rPr>
                <w:sz w:val="20"/>
                <w:szCs w:val="20"/>
              </w:rPr>
              <w:t>3</w:t>
            </w:r>
          </w:p>
        </w:tc>
        <w:tc>
          <w:tcPr>
            <w:tcW w:w="650" w:type="pct"/>
          </w:tcPr>
          <w:p w14:paraId="7057D1D1" w14:textId="77777777" w:rsidR="0054117B" w:rsidRPr="00E97622" w:rsidRDefault="0054117B" w:rsidP="006877D0">
            <w:pPr>
              <w:jc w:val="right"/>
              <w:rPr>
                <w:sz w:val="20"/>
                <w:szCs w:val="20"/>
              </w:rPr>
            </w:pPr>
            <w:r w:rsidRPr="00E97622">
              <w:rPr>
                <w:sz w:val="20"/>
                <w:szCs w:val="20"/>
              </w:rPr>
              <w:t>0</w:t>
            </w:r>
          </w:p>
        </w:tc>
        <w:tc>
          <w:tcPr>
            <w:tcW w:w="959" w:type="pct"/>
          </w:tcPr>
          <w:p w14:paraId="74193802" w14:textId="77777777" w:rsidR="0054117B" w:rsidRPr="00E97622" w:rsidRDefault="0054117B" w:rsidP="006877D0">
            <w:pPr>
              <w:jc w:val="right"/>
              <w:rPr>
                <w:sz w:val="20"/>
                <w:szCs w:val="20"/>
              </w:rPr>
            </w:pPr>
            <w:r w:rsidRPr="00E97622">
              <w:rPr>
                <w:sz w:val="20"/>
                <w:szCs w:val="20"/>
              </w:rPr>
              <w:t>0</w:t>
            </w:r>
          </w:p>
        </w:tc>
        <w:tc>
          <w:tcPr>
            <w:tcW w:w="644" w:type="pct"/>
          </w:tcPr>
          <w:p w14:paraId="73C02F3E" w14:textId="151D6EB0" w:rsidR="0054117B" w:rsidRPr="00E97622" w:rsidRDefault="0054117B" w:rsidP="006877D0">
            <w:pPr>
              <w:jc w:val="right"/>
              <w:rPr>
                <w:sz w:val="20"/>
                <w:szCs w:val="20"/>
              </w:rPr>
            </w:pPr>
            <w:r w:rsidRPr="00E97622">
              <w:rPr>
                <w:sz w:val="20"/>
                <w:szCs w:val="20"/>
              </w:rPr>
              <w:t>47</w:t>
            </w:r>
          </w:p>
        </w:tc>
      </w:tr>
      <w:tr w:rsidR="0054117B" w:rsidRPr="00E97622" w14:paraId="51DCAC69" w14:textId="77777777" w:rsidTr="003A22E4">
        <w:tc>
          <w:tcPr>
            <w:tcW w:w="797" w:type="pct"/>
            <w:shd w:val="clear" w:color="auto" w:fill="E4E9F3"/>
            <w:vAlign w:val="bottom"/>
          </w:tcPr>
          <w:p w14:paraId="168D9DA1" w14:textId="57DCE95C" w:rsidR="0054117B" w:rsidRPr="0054117B" w:rsidRDefault="0054117B" w:rsidP="00EF2C6E">
            <w:pPr>
              <w:rPr>
                <w:b/>
                <w:sz w:val="20"/>
                <w:szCs w:val="20"/>
              </w:rPr>
            </w:pPr>
            <w:r w:rsidRPr="0054117B">
              <w:rPr>
                <w:rFonts w:eastAsia="Times New Roman" w:cs="Calibri"/>
                <w:b/>
                <w:bCs/>
                <w:color w:val="000000"/>
                <w:sz w:val="20"/>
                <w:szCs w:val="20"/>
                <w:lang w:val="fr" w:eastAsia="en-AU"/>
              </w:rPr>
              <w:t>Total</w:t>
            </w:r>
          </w:p>
        </w:tc>
        <w:tc>
          <w:tcPr>
            <w:tcW w:w="650" w:type="pct"/>
            <w:shd w:val="clear" w:color="auto" w:fill="E4E9F3"/>
          </w:tcPr>
          <w:p w14:paraId="51E4DE63" w14:textId="0B1A61B1" w:rsidR="0054117B" w:rsidRPr="00E97622" w:rsidRDefault="0054117B" w:rsidP="006877D0">
            <w:pPr>
              <w:jc w:val="right"/>
              <w:rPr>
                <w:b/>
                <w:sz w:val="20"/>
                <w:szCs w:val="20"/>
              </w:rPr>
            </w:pPr>
            <w:r w:rsidRPr="00E97622">
              <w:rPr>
                <w:b/>
                <w:sz w:val="20"/>
                <w:szCs w:val="20"/>
              </w:rPr>
              <w:t>101</w:t>
            </w:r>
          </w:p>
        </w:tc>
        <w:tc>
          <w:tcPr>
            <w:tcW w:w="650" w:type="pct"/>
            <w:shd w:val="clear" w:color="auto" w:fill="E4E9F3"/>
          </w:tcPr>
          <w:p w14:paraId="54345EF2" w14:textId="24155DF2" w:rsidR="0054117B" w:rsidRPr="00E97622" w:rsidRDefault="0054117B" w:rsidP="006877D0">
            <w:pPr>
              <w:jc w:val="right"/>
              <w:rPr>
                <w:b/>
                <w:sz w:val="20"/>
                <w:szCs w:val="20"/>
              </w:rPr>
            </w:pPr>
            <w:r w:rsidRPr="00E97622">
              <w:rPr>
                <w:b/>
                <w:sz w:val="20"/>
                <w:szCs w:val="20"/>
              </w:rPr>
              <w:t>209</w:t>
            </w:r>
          </w:p>
        </w:tc>
        <w:tc>
          <w:tcPr>
            <w:tcW w:w="650" w:type="pct"/>
            <w:shd w:val="clear" w:color="auto" w:fill="E4E9F3"/>
          </w:tcPr>
          <w:p w14:paraId="782B41BA" w14:textId="62C1D67E" w:rsidR="0054117B" w:rsidRPr="00E97622" w:rsidRDefault="0054117B" w:rsidP="006877D0">
            <w:pPr>
              <w:jc w:val="right"/>
              <w:rPr>
                <w:b/>
                <w:sz w:val="20"/>
                <w:szCs w:val="20"/>
              </w:rPr>
            </w:pPr>
            <w:r w:rsidRPr="00E97622">
              <w:rPr>
                <w:b/>
                <w:sz w:val="20"/>
                <w:szCs w:val="20"/>
              </w:rPr>
              <w:t>54</w:t>
            </w:r>
          </w:p>
        </w:tc>
        <w:tc>
          <w:tcPr>
            <w:tcW w:w="650" w:type="pct"/>
            <w:shd w:val="clear" w:color="auto" w:fill="E4E9F3"/>
          </w:tcPr>
          <w:p w14:paraId="2E857847" w14:textId="77777777" w:rsidR="0054117B" w:rsidRPr="00E97622" w:rsidRDefault="0054117B" w:rsidP="006877D0">
            <w:pPr>
              <w:jc w:val="right"/>
              <w:rPr>
                <w:b/>
                <w:sz w:val="20"/>
                <w:szCs w:val="20"/>
              </w:rPr>
            </w:pPr>
            <w:r w:rsidRPr="00E97622">
              <w:rPr>
                <w:b/>
                <w:sz w:val="20"/>
                <w:szCs w:val="20"/>
              </w:rPr>
              <w:t>7</w:t>
            </w:r>
          </w:p>
        </w:tc>
        <w:tc>
          <w:tcPr>
            <w:tcW w:w="959" w:type="pct"/>
            <w:shd w:val="clear" w:color="auto" w:fill="E4E9F3"/>
          </w:tcPr>
          <w:p w14:paraId="5164116F" w14:textId="77777777" w:rsidR="0054117B" w:rsidRPr="00E97622" w:rsidRDefault="0054117B" w:rsidP="006877D0">
            <w:pPr>
              <w:jc w:val="right"/>
              <w:rPr>
                <w:b/>
                <w:sz w:val="20"/>
                <w:szCs w:val="20"/>
              </w:rPr>
            </w:pPr>
            <w:r w:rsidRPr="00E97622">
              <w:rPr>
                <w:b/>
                <w:sz w:val="20"/>
                <w:szCs w:val="20"/>
              </w:rPr>
              <w:t>3</w:t>
            </w:r>
          </w:p>
        </w:tc>
        <w:tc>
          <w:tcPr>
            <w:tcW w:w="644" w:type="pct"/>
            <w:shd w:val="clear" w:color="auto" w:fill="E4E9F3"/>
          </w:tcPr>
          <w:p w14:paraId="4FD8F931" w14:textId="45DF428E" w:rsidR="0054117B" w:rsidRPr="00E97622" w:rsidRDefault="0054117B" w:rsidP="006877D0">
            <w:pPr>
              <w:jc w:val="right"/>
              <w:rPr>
                <w:b/>
                <w:sz w:val="20"/>
                <w:szCs w:val="20"/>
              </w:rPr>
            </w:pPr>
            <w:r w:rsidRPr="00E97622">
              <w:rPr>
                <w:b/>
                <w:sz w:val="20"/>
                <w:szCs w:val="20"/>
              </w:rPr>
              <w:t>374</w:t>
            </w:r>
          </w:p>
        </w:tc>
      </w:tr>
      <w:tr w:rsidR="0054117B" w:rsidRPr="00E97622" w14:paraId="1AF5935D" w14:textId="77777777" w:rsidTr="003A22E4">
        <w:tc>
          <w:tcPr>
            <w:tcW w:w="797" w:type="pct"/>
            <w:vAlign w:val="bottom"/>
          </w:tcPr>
          <w:p w14:paraId="19CF094B" w14:textId="52EF952A" w:rsidR="0054117B" w:rsidRPr="0054117B" w:rsidRDefault="0054117B" w:rsidP="00EF2C6E">
            <w:pPr>
              <w:rPr>
                <w:b/>
                <w:sz w:val="20"/>
                <w:szCs w:val="20"/>
              </w:rPr>
            </w:pPr>
            <w:r w:rsidRPr="0054117B">
              <w:rPr>
                <w:rFonts w:eastAsia="Times New Roman" w:cs="Calibri"/>
                <w:b/>
                <w:bCs/>
                <w:color w:val="000000"/>
                <w:sz w:val="20"/>
                <w:szCs w:val="20"/>
                <w:lang w:val="fr" w:eastAsia="en-AU"/>
              </w:rPr>
              <w:t>Pourcentage</w:t>
            </w:r>
          </w:p>
        </w:tc>
        <w:tc>
          <w:tcPr>
            <w:tcW w:w="650" w:type="pct"/>
          </w:tcPr>
          <w:p w14:paraId="36A45139" w14:textId="6DE9E78A" w:rsidR="0054117B" w:rsidRPr="00E97622" w:rsidRDefault="0054117B" w:rsidP="006877D0">
            <w:pPr>
              <w:jc w:val="right"/>
              <w:rPr>
                <w:b/>
                <w:sz w:val="20"/>
                <w:szCs w:val="20"/>
              </w:rPr>
            </w:pPr>
            <w:r w:rsidRPr="00E97622">
              <w:rPr>
                <w:b/>
                <w:sz w:val="20"/>
                <w:szCs w:val="20"/>
              </w:rPr>
              <w:t>27%</w:t>
            </w:r>
          </w:p>
        </w:tc>
        <w:tc>
          <w:tcPr>
            <w:tcW w:w="650" w:type="pct"/>
          </w:tcPr>
          <w:p w14:paraId="58CCBC6A" w14:textId="5A33EFA6" w:rsidR="0054117B" w:rsidRPr="00E97622" w:rsidRDefault="0054117B" w:rsidP="006877D0">
            <w:pPr>
              <w:jc w:val="right"/>
              <w:rPr>
                <w:b/>
                <w:sz w:val="20"/>
                <w:szCs w:val="20"/>
              </w:rPr>
            </w:pPr>
            <w:r w:rsidRPr="00E97622">
              <w:rPr>
                <w:b/>
                <w:sz w:val="20"/>
                <w:szCs w:val="20"/>
              </w:rPr>
              <w:t>56%</w:t>
            </w:r>
          </w:p>
        </w:tc>
        <w:tc>
          <w:tcPr>
            <w:tcW w:w="650" w:type="pct"/>
          </w:tcPr>
          <w:p w14:paraId="41651E00" w14:textId="157DA2A7" w:rsidR="0054117B" w:rsidRPr="00E97622" w:rsidRDefault="0054117B" w:rsidP="006877D0">
            <w:pPr>
              <w:jc w:val="right"/>
              <w:rPr>
                <w:b/>
                <w:sz w:val="20"/>
                <w:szCs w:val="20"/>
              </w:rPr>
            </w:pPr>
            <w:r w:rsidRPr="00E97622">
              <w:rPr>
                <w:b/>
                <w:sz w:val="20"/>
                <w:szCs w:val="20"/>
              </w:rPr>
              <w:t>14%</w:t>
            </w:r>
          </w:p>
        </w:tc>
        <w:tc>
          <w:tcPr>
            <w:tcW w:w="650" w:type="pct"/>
          </w:tcPr>
          <w:p w14:paraId="5F3CCAA1" w14:textId="0427F666" w:rsidR="0054117B" w:rsidRPr="00E97622" w:rsidRDefault="0054117B" w:rsidP="006877D0">
            <w:pPr>
              <w:jc w:val="right"/>
              <w:rPr>
                <w:b/>
                <w:sz w:val="20"/>
                <w:szCs w:val="20"/>
              </w:rPr>
            </w:pPr>
            <w:r w:rsidRPr="00E97622">
              <w:rPr>
                <w:b/>
                <w:sz w:val="20"/>
                <w:szCs w:val="20"/>
              </w:rPr>
              <w:t>2%</w:t>
            </w:r>
          </w:p>
        </w:tc>
        <w:tc>
          <w:tcPr>
            <w:tcW w:w="959" w:type="pct"/>
          </w:tcPr>
          <w:p w14:paraId="3A365A28" w14:textId="7511F897" w:rsidR="0054117B" w:rsidRPr="00E97622" w:rsidRDefault="0054117B" w:rsidP="006877D0">
            <w:pPr>
              <w:jc w:val="right"/>
              <w:rPr>
                <w:b/>
                <w:sz w:val="20"/>
                <w:szCs w:val="20"/>
              </w:rPr>
            </w:pPr>
            <w:r w:rsidRPr="00E97622">
              <w:rPr>
                <w:b/>
                <w:sz w:val="20"/>
                <w:szCs w:val="20"/>
              </w:rPr>
              <w:t>1%</w:t>
            </w:r>
          </w:p>
        </w:tc>
        <w:tc>
          <w:tcPr>
            <w:tcW w:w="644" w:type="pct"/>
          </w:tcPr>
          <w:p w14:paraId="355F1000" w14:textId="77777777" w:rsidR="0054117B" w:rsidRPr="00E97622" w:rsidRDefault="0054117B" w:rsidP="006877D0">
            <w:pPr>
              <w:jc w:val="right"/>
              <w:rPr>
                <w:b/>
                <w:sz w:val="20"/>
                <w:szCs w:val="20"/>
              </w:rPr>
            </w:pPr>
          </w:p>
        </w:tc>
      </w:tr>
    </w:tbl>
    <w:p w14:paraId="729C1DC3" w14:textId="537398B1" w:rsidR="001227BC" w:rsidRPr="001227BC" w:rsidRDefault="003A22E4" w:rsidP="00B30536">
      <w:pPr>
        <w:spacing w:before="240"/>
        <w:rPr>
          <w:sz w:val="20"/>
          <w:szCs w:val="20"/>
        </w:rPr>
      </w:pPr>
      <w:r>
        <w:rPr>
          <w:sz w:val="20"/>
          <w:lang w:val="fr-FR"/>
        </w:rPr>
        <w:t>Remarque : les pourcentages étant arrondis, ils ne sont pas toujours égaux à 100.</w:t>
      </w:r>
    </w:p>
    <w:p w14:paraId="5DF15335" w14:textId="18087F63" w:rsidR="00B30536" w:rsidRDefault="00B30536">
      <w:r>
        <w:br w:type="page"/>
      </w:r>
    </w:p>
    <w:p w14:paraId="0C4D47F4" w14:textId="2A3AA4AF" w:rsidR="008E35C9" w:rsidRDefault="006317DE" w:rsidP="00BF0891">
      <w:pPr>
        <w:pStyle w:val="Heading1"/>
      </w:pPr>
      <w:bookmarkStart w:id="6" w:name="_Toc153226821"/>
      <w:r>
        <w:rPr>
          <w:lang w:val="fr-FR"/>
        </w:rPr>
        <w:lastRenderedPageBreak/>
        <w:t>Plan d’actions ciblé Emploi</w:t>
      </w:r>
      <w:bookmarkEnd w:id="6"/>
    </w:p>
    <w:p w14:paraId="7AB3C8BD" w14:textId="3C531767" w:rsidR="008E35C9" w:rsidRPr="00BF0891" w:rsidRDefault="008E35C9" w:rsidP="00515A1C">
      <w:pPr>
        <w:pStyle w:val="Heading2"/>
        <w:pBdr>
          <w:top w:val="none" w:sz="0" w:space="0" w:color="auto"/>
        </w:pBdr>
      </w:pPr>
      <w:bookmarkStart w:id="7" w:name="_Toc153226822"/>
      <w:r w:rsidRPr="00BF0891">
        <w:t>Introduction</w:t>
      </w:r>
      <w:bookmarkEnd w:id="7"/>
      <w:r w:rsidR="006317DE" w:rsidRPr="006317DE">
        <w:rPr>
          <w:b w:val="0"/>
          <w:lang w:val="fr-FR"/>
        </w:rPr>
        <w:t xml:space="preserve"> </w:t>
      </w:r>
    </w:p>
    <w:p w14:paraId="6013AF89" w14:textId="77777777" w:rsidR="006317DE" w:rsidRPr="00B74F34" w:rsidRDefault="006317DE" w:rsidP="006317DE">
      <w:pPr>
        <w:spacing w:before="240" w:after="240" w:line="240" w:lineRule="auto"/>
        <w:rPr>
          <w:rFonts w:cs="Arial"/>
          <w:lang w:val="fr-FR"/>
        </w:rPr>
      </w:pPr>
      <w:r>
        <w:rPr>
          <w:lang w:val="fr-FR"/>
        </w:rPr>
        <w:t xml:space="preserve">Le PAC Emploi a été conçu pour inciter les avancées dans le cadre du domaine de résultats Emploi et sécurité financière de la Stratégie. </w:t>
      </w:r>
    </w:p>
    <w:p w14:paraId="6E41F834" w14:textId="77777777" w:rsidR="006317DE" w:rsidRPr="00B74F34" w:rsidRDefault="006317DE" w:rsidP="006317DE">
      <w:pPr>
        <w:spacing w:before="240" w:after="240" w:line="240" w:lineRule="auto"/>
        <w:rPr>
          <w:rFonts w:cs="Arial"/>
          <w:lang w:val="fr-FR"/>
        </w:rPr>
      </w:pPr>
      <w:r>
        <w:rPr>
          <w:lang w:val="fr-FR"/>
        </w:rPr>
        <w:t xml:space="preserve">Ce domaine de résultats vise à garantir la sécurité financière des personnes en situation de handicap pour qu’elles puissent planifier leur avenir, faire leurs propres choix et avoir le contrôle de leur vie. </w:t>
      </w:r>
    </w:p>
    <w:p w14:paraId="73DBD022" w14:textId="77777777" w:rsidR="006317DE" w:rsidRPr="00B74F34" w:rsidRDefault="006317DE" w:rsidP="006317DE">
      <w:pPr>
        <w:spacing w:before="240" w:after="240" w:line="240" w:lineRule="auto"/>
        <w:rPr>
          <w:rFonts w:cs="Arial"/>
          <w:lang w:val="fr-FR"/>
        </w:rPr>
      </w:pPr>
      <w:r>
        <w:rPr>
          <w:lang w:val="fr-FR"/>
        </w:rPr>
        <w:t xml:space="preserve">L’emploi est un élément clé de la sécurité financière et ce PAC sera une composante essentielle de ce domaine de résultats. </w:t>
      </w:r>
    </w:p>
    <w:p w14:paraId="52CCA21C" w14:textId="77777777" w:rsidR="006317DE" w:rsidRPr="00B74F34" w:rsidRDefault="006317DE" w:rsidP="006317DE">
      <w:pPr>
        <w:spacing w:before="240" w:after="240" w:line="240" w:lineRule="auto"/>
        <w:rPr>
          <w:rFonts w:cs="Arial"/>
          <w:lang w:val="fr-FR"/>
        </w:rPr>
      </w:pPr>
      <w:r>
        <w:rPr>
          <w:lang w:val="fr-FR"/>
        </w:rPr>
        <w:t>Dans le cadre du PAC Emploi, 73 actions ont été menées par le gouvernement fédéral et ceux des États et Territoires au cours de la période 2022-2023.</w:t>
      </w:r>
    </w:p>
    <w:p w14:paraId="6B05FEFA" w14:textId="0F73EC75" w:rsidR="006317DE" w:rsidRDefault="006317DE" w:rsidP="006317DE">
      <w:pPr>
        <w:spacing w:before="240" w:after="240" w:line="240" w:lineRule="auto"/>
      </w:pPr>
      <w:r>
        <w:rPr>
          <w:lang w:val="fr-FR"/>
        </w:rPr>
        <w:t>Elles visaient notamment à mettre en place des projets pilotes en matière d’emploi afin d’orienter les personnes en situation de handicap vers des secteurs en proie à des pénuries de compétences, d’encourager le recrutement de ces personnes dans les services publics et d’améliorer les programmes pour l’emploi.</w:t>
      </w:r>
    </w:p>
    <w:p w14:paraId="4C75F9D2" w14:textId="10387AD6" w:rsidR="00FC59E6" w:rsidRPr="00447A17" w:rsidRDefault="00447A17" w:rsidP="00B30536">
      <w:pPr>
        <w:pStyle w:val="Heading2"/>
      </w:pPr>
      <w:bookmarkStart w:id="8" w:name="_Toc153226823"/>
      <w:r w:rsidRPr="00447A17">
        <w:rPr>
          <w:lang w:val="fr-FR"/>
        </w:rPr>
        <w:t>Objectifs</w:t>
      </w:r>
      <w:bookmarkEnd w:id="8"/>
    </w:p>
    <w:p w14:paraId="64FDC062" w14:textId="442DDA45" w:rsidR="00FC59E6" w:rsidRDefault="00FC59E6" w:rsidP="00FC59E6">
      <w:pPr>
        <w:spacing w:after="120" w:line="240" w:lineRule="auto"/>
        <w:ind w:left="426" w:hanging="426"/>
      </w:pPr>
      <w:r>
        <w:t>1.</w:t>
      </w:r>
      <w:r>
        <w:tab/>
      </w:r>
      <w:r w:rsidR="00447A17">
        <w:rPr>
          <w:lang w:val="fr-FR"/>
        </w:rPr>
        <w:t>Augmenter le taux d’emploi des personnes en situation de handicap.</w:t>
      </w:r>
    </w:p>
    <w:p w14:paraId="75CA5A4C" w14:textId="2E1B5233" w:rsidR="00FC59E6" w:rsidRDefault="00FC59E6" w:rsidP="00FC59E6">
      <w:pPr>
        <w:spacing w:after="120" w:line="240" w:lineRule="auto"/>
        <w:ind w:left="426" w:hanging="426"/>
      </w:pPr>
      <w:r>
        <w:t>2.</w:t>
      </w:r>
      <w:r>
        <w:tab/>
      </w:r>
      <w:r w:rsidR="00447A17">
        <w:rPr>
          <w:lang w:val="fr-FR"/>
        </w:rPr>
        <w:t>Faciliter la transition des études vers l’emploi pour les jeunes en situation de handicap.</w:t>
      </w:r>
    </w:p>
    <w:p w14:paraId="09830886" w14:textId="02EAB1F5" w:rsidR="00FC59E6" w:rsidRDefault="00FC59E6">
      <w:r>
        <w:br w:type="page"/>
      </w:r>
    </w:p>
    <w:p w14:paraId="4EEE85DA" w14:textId="4FE54733" w:rsidR="008E35C9" w:rsidRPr="0066071F" w:rsidRDefault="00B9145F" w:rsidP="0066071F">
      <w:pPr>
        <w:rPr>
          <w:b/>
          <w:bCs/>
          <w:color w:val="6C1740"/>
          <w:sz w:val="94"/>
          <w:szCs w:val="94"/>
        </w:rPr>
      </w:pPr>
      <w:r w:rsidRPr="00B9145F">
        <w:rPr>
          <w:b/>
          <w:bCs/>
          <w:color w:val="6C1740"/>
          <w:sz w:val="94"/>
          <w:szCs w:val="94"/>
        </w:rPr>
        <w:lastRenderedPageBreak/>
        <w:t xml:space="preserve">PAC </w:t>
      </w:r>
      <w:proofErr w:type="spellStart"/>
      <w:r w:rsidRPr="00B9145F">
        <w:rPr>
          <w:b/>
          <w:bCs/>
          <w:color w:val="6C1740"/>
          <w:sz w:val="94"/>
          <w:szCs w:val="94"/>
        </w:rPr>
        <w:t>Emploi</w:t>
      </w:r>
      <w:proofErr w:type="spellEnd"/>
    </w:p>
    <w:p w14:paraId="51474833" w14:textId="0263DE89" w:rsidR="008E35C9" w:rsidRDefault="00B9145F" w:rsidP="00B30536">
      <w:pPr>
        <w:spacing w:before="240" w:after="240" w:line="240" w:lineRule="auto"/>
      </w:pPr>
      <w:r>
        <w:rPr>
          <w:lang w:val="fr-FR"/>
        </w:rPr>
        <w:t>Tableau 3 : PAC Emploi – État d’avancement des actions par gouvernement en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628"/>
        <w:gridCol w:w="1168"/>
        <w:gridCol w:w="1168"/>
        <w:gridCol w:w="1168"/>
        <w:gridCol w:w="1169"/>
        <w:gridCol w:w="1772"/>
        <w:gridCol w:w="1169"/>
      </w:tblGrid>
      <w:tr w:rsidR="00580A70" w:rsidRPr="00FD75A9" w14:paraId="7158EFA4" w14:textId="77777777" w:rsidTr="00B9145F">
        <w:tc>
          <w:tcPr>
            <w:tcW w:w="800" w:type="pct"/>
            <w:tcBorders>
              <w:top w:val="nil"/>
              <w:bottom w:val="single" w:sz="4" w:space="0" w:color="auto"/>
              <w:right w:val="single" w:sz="4" w:space="0" w:color="FFFFFF" w:themeColor="background1"/>
            </w:tcBorders>
            <w:shd w:val="clear" w:color="auto" w:fill="6C1740"/>
          </w:tcPr>
          <w:p w14:paraId="23D0A7CC" w14:textId="50867CCD" w:rsidR="00580A70" w:rsidRPr="00FD75A9" w:rsidRDefault="00580A70" w:rsidP="008F6E78">
            <w:pPr>
              <w:rPr>
                <w:b/>
                <w:sz w:val="20"/>
                <w:szCs w:val="20"/>
              </w:rPr>
            </w:pPr>
            <w:bookmarkStart w:id="9" w:name="Title_03"/>
            <w:bookmarkEnd w:id="9"/>
            <w:r w:rsidRPr="00A86D39">
              <w:rPr>
                <w:rFonts w:eastAsia="Times New Roman" w:cs="Calibri"/>
                <w:b/>
                <w:bCs/>
                <w:color w:val="FFFFFF" w:themeColor="background1"/>
                <w:sz w:val="20"/>
                <w:szCs w:val="20"/>
                <w:lang w:val="fr" w:eastAsia="en-AU"/>
              </w:rPr>
              <w:t>Gouvernement</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78015D23" w:rsidR="00580A70" w:rsidRPr="00FD75A9" w:rsidRDefault="00580A70" w:rsidP="00B30536">
            <w:pPr>
              <w:jc w:val="right"/>
              <w:rPr>
                <w:b/>
                <w:sz w:val="20"/>
                <w:szCs w:val="20"/>
              </w:rPr>
            </w:pPr>
            <w:r w:rsidRPr="00A86D39">
              <w:rPr>
                <w:rFonts w:eastAsia="Times New Roman" w:cs="Calibri"/>
                <w:b/>
                <w:bCs/>
                <w:color w:val="FFFFFF" w:themeColor="background1"/>
                <w:sz w:val="20"/>
                <w:szCs w:val="20"/>
                <w:lang w:val="fr" w:eastAsia="en-AU"/>
              </w:rPr>
              <w:t>Finalisé</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439475FC" w:rsidR="00580A70" w:rsidRPr="00FD75A9" w:rsidRDefault="00580A70" w:rsidP="00B30536">
            <w:pPr>
              <w:jc w:val="right"/>
              <w:rPr>
                <w:b/>
                <w:sz w:val="20"/>
                <w:szCs w:val="20"/>
              </w:rPr>
            </w:pPr>
            <w:r w:rsidRPr="00A86D39">
              <w:rPr>
                <w:rFonts w:eastAsia="Times New Roman" w:cs="Calibri"/>
                <w:b/>
                <w:bCs/>
                <w:color w:val="FFFFFF" w:themeColor="background1"/>
                <w:sz w:val="20"/>
                <w:szCs w:val="20"/>
                <w:lang w:val="fr" w:eastAsia="en-AU"/>
              </w:rPr>
              <w:t>En bonne voie</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72704825" w:rsidR="00580A70" w:rsidRPr="00FD75A9" w:rsidRDefault="00580A70" w:rsidP="00B30536">
            <w:pPr>
              <w:jc w:val="right"/>
              <w:rPr>
                <w:b/>
                <w:sz w:val="20"/>
                <w:szCs w:val="20"/>
              </w:rPr>
            </w:pPr>
            <w:r w:rsidRPr="00A86D39">
              <w:rPr>
                <w:rFonts w:eastAsia="Times New Roman" w:cs="Calibri"/>
                <w:b/>
                <w:bCs/>
                <w:color w:val="FFFFFF" w:themeColor="background1"/>
                <w:sz w:val="20"/>
                <w:szCs w:val="20"/>
                <w:lang w:val="fr" w:eastAsia="en-AU"/>
              </w:rPr>
              <w:t>Quelques retards</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28E2F1F8" w:rsidR="00580A70" w:rsidRPr="00FD75A9" w:rsidRDefault="00580A70" w:rsidP="00B30536">
            <w:pPr>
              <w:jc w:val="right"/>
              <w:rPr>
                <w:b/>
                <w:sz w:val="20"/>
                <w:szCs w:val="20"/>
              </w:rPr>
            </w:pPr>
            <w:r w:rsidRPr="00A86D39">
              <w:rPr>
                <w:rFonts w:eastAsia="Times New Roman" w:cs="Calibri"/>
                <w:b/>
                <w:bCs/>
                <w:color w:val="FFFFFF" w:themeColor="background1"/>
                <w:sz w:val="20"/>
                <w:szCs w:val="20"/>
                <w:lang w:val="fr" w:eastAsia="en-AU"/>
              </w:rPr>
              <w:t>En pause</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5AC236D6" w:rsidR="00580A70" w:rsidRPr="00FD75A9" w:rsidRDefault="00580A70" w:rsidP="00B30536">
            <w:pPr>
              <w:jc w:val="right"/>
              <w:rPr>
                <w:b/>
                <w:sz w:val="20"/>
                <w:szCs w:val="20"/>
              </w:rPr>
            </w:pPr>
            <w:r w:rsidRPr="00A86D39">
              <w:rPr>
                <w:rFonts w:eastAsia="Times New Roman" w:cs="Calibri"/>
                <w:b/>
                <w:bCs/>
                <w:color w:val="FFFFFF" w:themeColor="background1"/>
                <w:sz w:val="20"/>
                <w:szCs w:val="20"/>
                <w:lang w:val="fr" w:eastAsia="en-AU"/>
              </w:rPr>
              <w:t>Commencement à une date ultérieure</w:t>
            </w:r>
          </w:p>
        </w:tc>
        <w:tc>
          <w:tcPr>
            <w:tcW w:w="700" w:type="pct"/>
            <w:tcBorders>
              <w:top w:val="nil"/>
              <w:left w:val="single" w:sz="4" w:space="0" w:color="FFFFFF" w:themeColor="background1"/>
              <w:bottom w:val="single" w:sz="4" w:space="0" w:color="auto"/>
            </w:tcBorders>
            <w:shd w:val="clear" w:color="auto" w:fill="6C1740"/>
          </w:tcPr>
          <w:p w14:paraId="2BAEF0CF" w14:textId="14B0BF4B" w:rsidR="00580A70" w:rsidRPr="00FD75A9" w:rsidRDefault="00580A70" w:rsidP="00B30536">
            <w:pPr>
              <w:jc w:val="right"/>
              <w:rPr>
                <w:b/>
                <w:sz w:val="20"/>
                <w:szCs w:val="20"/>
              </w:rPr>
            </w:pPr>
            <w:r w:rsidRPr="00A86D39">
              <w:rPr>
                <w:b/>
                <w:color w:val="FFFFFF" w:themeColor="background1"/>
                <w:sz w:val="20"/>
                <w:szCs w:val="20"/>
              </w:rPr>
              <w:t>Total</w:t>
            </w:r>
          </w:p>
        </w:tc>
      </w:tr>
      <w:tr w:rsidR="00FD75A9" w:rsidRPr="00FD75A9" w14:paraId="242ABDE3" w14:textId="77777777" w:rsidTr="00B9145F">
        <w:tc>
          <w:tcPr>
            <w:tcW w:w="800" w:type="pct"/>
            <w:tcBorders>
              <w:top w:val="single" w:sz="4" w:space="0" w:color="auto"/>
            </w:tcBorders>
          </w:tcPr>
          <w:p w14:paraId="7BEE5A7D" w14:textId="1CD5C0E4" w:rsidR="008F6E78" w:rsidRPr="00FD75A9" w:rsidRDefault="008F6E78" w:rsidP="00AF7CD8">
            <w:pPr>
              <w:rPr>
                <w:sz w:val="20"/>
                <w:szCs w:val="20"/>
              </w:rPr>
            </w:pPr>
            <w:r w:rsidRPr="00FD75A9">
              <w:rPr>
                <w:sz w:val="20"/>
                <w:szCs w:val="20"/>
              </w:rPr>
              <w:t>Aus</w:t>
            </w:r>
            <w:r w:rsidR="00AF7CD8" w:rsidRPr="00FD75A9">
              <w:rPr>
                <w:sz w:val="20"/>
                <w:szCs w:val="20"/>
              </w:rPr>
              <w:t xml:space="preserve">tralian </w:t>
            </w:r>
            <w:r w:rsidRPr="00FD75A9">
              <w:rPr>
                <w:sz w:val="20"/>
                <w:szCs w:val="20"/>
              </w:rPr>
              <w:t>Gov</w:t>
            </w:r>
            <w:r w:rsidR="00AF7CD8" w:rsidRPr="00FD75A9">
              <w:rPr>
                <w:sz w:val="20"/>
                <w:szCs w:val="20"/>
              </w:rPr>
              <w:t>ernment</w:t>
            </w:r>
          </w:p>
        </w:tc>
        <w:tc>
          <w:tcPr>
            <w:tcW w:w="700" w:type="pct"/>
            <w:tcBorders>
              <w:top w:val="single" w:sz="4" w:space="0" w:color="auto"/>
            </w:tcBorders>
          </w:tcPr>
          <w:p w14:paraId="02126D9E" w14:textId="708A2C4D" w:rsidR="008F6E78" w:rsidRPr="00FD75A9" w:rsidRDefault="002D06EB" w:rsidP="00B30536">
            <w:pPr>
              <w:jc w:val="right"/>
              <w:rPr>
                <w:sz w:val="20"/>
                <w:szCs w:val="20"/>
              </w:rPr>
            </w:pPr>
            <w:r w:rsidRPr="00FD75A9">
              <w:rPr>
                <w:sz w:val="20"/>
                <w:szCs w:val="20"/>
              </w:rPr>
              <w:t>2</w:t>
            </w:r>
          </w:p>
        </w:tc>
        <w:tc>
          <w:tcPr>
            <w:tcW w:w="700" w:type="pct"/>
            <w:tcBorders>
              <w:top w:val="single" w:sz="4" w:space="0" w:color="auto"/>
            </w:tcBorders>
          </w:tcPr>
          <w:p w14:paraId="1803F1C9" w14:textId="40AEAF77" w:rsidR="008F6E78" w:rsidRPr="00FD75A9" w:rsidRDefault="00E732EA" w:rsidP="00B30536">
            <w:pPr>
              <w:jc w:val="right"/>
              <w:rPr>
                <w:sz w:val="20"/>
                <w:szCs w:val="20"/>
              </w:rPr>
            </w:pPr>
            <w:r w:rsidRPr="00FD75A9">
              <w:rPr>
                <w:sz w:val="20"/>
                <w:szCs w:val="20"/>
              </w:rPr>
              <w:t>5</w:t>
            </w:r>
          </w:p>
        </w:tc>
        <w:tc>
          <w:tcPr>
            <w:tcW w:w="700" w:type="pct"/>
            <w:tcBorders>
              <w:top w:val="single" w:sz="4" w:space="0" w:color="auto"/>
            </w:tcBorders>
          </w:tcPr>
          <w:p w14:paraId="6A5F6604" w14:textId="0FD59100" w:rsidR="008F6E78" w:rsidRPr="00FD75A9" w:rsidRDefault="00E732EA" w:rsidP="00B30536">
            <w:pPr>
              <w:jc w:val="right"/>
              <w:rPr>
                <w:sz w:val="20"/>
                <w:szCs w:val="20"/>
              </w:rPr>
            </w:pPr>
            <w:r w:rsidRPr="00FD75A9">
              <w:rPr>
                <w:sz w:val="20"/>
                <w:szCs w:val="20"/>
              </w:rPr>
              <w:t>2</w:t>
            </w:r>
          </w:p>
        </w:tc>
        <w:tc>
          <w:tcPr>
            <w:tcW w:w="700" w:type="pct"/>
            <w:tcBorders>
              <w:top w:val="single" w:sz="4" w:space="0" w:color="auto"/>
            </w:tcBorders>
          </w:tcPr>
          <w:p w14:paraId="68D9888F" w14:textId="5BE9D5AA" w:rsidR="008F6E78" w:rsidRPr="00FD75A9" w:rsidRDefault="002D06EB" w:rsidP="00B30536">
            <w:pPr>
              <w:jc w:val="right"/>
              <w:rPr>
                <w:sz w:val="20"/>
                <w:szCs w:val="20"/>
              </w:rPr>
            </w:pPr>
            <w:r w:rsidRPr="00FD75A9">
              <w:rPr>
                <w:sz w:val="20"/>
                <w:szCs w:val="20"/>
              </w:rPr>
              <w:t>0</w:t>
            </w:r>
          </w:p>
        </w:tc>
        <w:tc>
          <w:tcPr>
            <w:tcW w:w="700" w:type="pct"/>
            <w:tcBorders>
              <w:top w:val="single" w:sz="4" w:space="0" w:color="auto"/>
            </w:tcBorders>
          </w:tcPr>
          <w:p w14:paraId="7C58BF5F" w14:textId="05753C73" w:rsidR="008F6E78" w:rsidRPr="00FD75A9" w:rsidRDefault="002D06EB" w:rsidP="00B30536">
            <w:pPr>
              <w:jc w:val="right"/>
              <w:rPr>
                <w:sz w:val="20"/>
                <w:szCs w:val="20"/>
              </w:rPr>
            </w:pPr>
            <w:r w:rsidRPr="00FD75A9">
              <w:rPr>
                <w:sz w:val="20"/>
                <w:szCs w:val="20"/>
              </w:rPr>
              <w:t>0</w:t>
            </w:r>
          </w:p>
        </w:tc>
        <w:tc>
          <w:tcPr>
            <w:tcW w:w="700" w:type="pct"/>
            <w:tcBorders>
              <w:top w:val="single" w:sz="4" w:space="0" w:color="auto"/>
            </w:tcBorders>
          </w:tcPr>
          <w:p w14:paraId="73B28F27" w14:textId="5871CF10" w:rsidR="008F6E78" w:rsidRPr="00FD75A9" w:rsidRDefault="002D06EB" w:rsidP="00B30536">
            <w:pPr>
              <w:jc w:val="right"/>
              <w:rPr>
                <w:sz w:val="20"/>
                <w:szCs w:val="20"/>
              </w:rPr>
            </w:pPr>
            <w:r w:rsidRPr="00FD75A9">
              <w:rPr>
                <w:sz w:val="20"/>
                <w:szCs w:val="20"/>
              </w:rPr>
              <w:t>9</w:t>
            </w:r>
          </w:p>
        </w:tc>
      </w:tr>
      <w:tr w:rsidR="00FD75A9" w:rsidRPr="00FD75A9" w14:paraId="2751EC7C" w14:textId="77777777" w:rsidTr="00B9145F">
        <w:tc>
          <w:tcPr>
            <w:tcW w:w="800" w:type="pct"/>
            <w:shd w:val="clear" w:color="auto" w:fill="FAF9F8"/>
          </w:tcPr>
          <w:p w14:paraId="16C3648A" w14:textId="77777777" w:rsidR="008F6E78" w:rsidRPr="00FD75A9" w:rsidRDefault="008F6E78" w:rsidP="008F6E78">
            <w:pPr>
              <w:rPr>
                <w:sz w:val="20"/>
                <w:szCs w:val="20"/>
              </w:rPr>
            </w:pPr>
            <w:r w:rsidRPr="00FD75A9">
              <w:rPr>
                <w:sz w:val="20"/>
                <w:szCs w:val="20"/>
              </w:rPr>
              <w:t>NSW</w:t>
            </w:r>
          </w:p>
        </w:tc>
        <w:tc>
          <w:tcPr>
            <w:tcW w:w="700" w:type="pct"/>
            <w:shd w:val="clear" w:color="auto" w:fill="FAF9F8"/>
          </w:tcPr>
          <w:p w14:paraId="60F4C903" w14:textId="57735DE1"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29D071DA" w14:textId="4F3C1190" w:rsidR="008F6E78" w:rsidRPr="00FD75A9" w:rsidRDefault="002D06EB" w:rsidP="00B30536">
            <w:pPr>
              <w:jc w:val="right"/>
              <w:rPr>
                <w:sz w:val="20"/>
                <w:szCs w:val="20"/>
              </w:rPr>
            </w:pPr>
            <w:r w:rsidRPr="00FD75A9">
              <w:rPr>
                <w:sz w:val="20"/>
                <w:szCs w:val="20"/>
              </w:rPr>
              <w:t>4</w:t>
            </w:r>
          </w:p>
        </w:tc>
        <w:tc>
          <w:tcPr>
            <w:tcW w:w="700" w:type="pct"/>
            <w:shd w:val="clear" w:color="auto" w:fill="FAF9F8"/>
          </w:tcPr>
          <w:p w14:paraId="3CAC720A" w14:textId="0FE4A47E" w:rsidR="008F6E78" w:rsidRPr="00FD75A9" w:rsidRDefault="002D06EB" w:rsidP="00B30536">
            <w:pPr>
              <w:jc w:val="right"/>
              <w:rPr>
                <w:sz w:val="20"/>
                <w:szCs w:val="20"/>
              </w:rPr>
            </w:pPr>
            <w:r w:rsidRPr="00FD75A9">
              <w:rPr>
                <w:sz w:val="20"/>
                <w:szCs w:val="20"/>
              </w:rPr>
              <w:t>2</w:t>
            </w:r>
          </w:p>
        </w:tc>
        <w:tc>
          <w:tcPr>
            <w:tcW w:w="700" w:type="pct"/>
            <w:shd w:val="clear" w:color="auto" w:fill="FAF9F8"/>
          </w:tcPr>
          <w:p w14:paraId="3E9FCC2A" w14:textId="149238C1"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13683BA1" w14:textId="49CF0CA9"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20C45732" w14:textId="4D6A26E7" w:rsidR="008F6E78" w:rsidRPr="00FD75A9" w:rsidRDefault="002D06EB" w:rsidP="00B30536">
            <w:pPr>
              <w:jc w:val="right"/>
              <w:rPr>
                <w:sz w:val="20"/>
                <w:szCs w:val="20"/>
              </w:rPr>
            </w:pPr>
            <w:r w:rsidRPr="00FD75A9">
              <w:rPr>
                <w:sz w:val="20"/>
                <w:szCs w:val="20"/>
              </w:rPr>
              <w:t>6</w:t>
            </w:r>
          </w:p>
        </w:tc>
      </w:tr>
      <w:tr w:rsidR="00FD75A9" w:rsidRPr="00FD75A9" w14:paraId="0EAAC189" w14:textId="77777777" w:rsidTr="00B9145F">
        <w:tc>
          <w:tcPr>
            <w:tcW w:w="800" w:type="pct"/>
          </w:tcPr>
          <w:p w14:paraId="0CEA2A4A" w14:textId="77777777" w:rsidR="008F6E78" w:rsidRPr="00FD75A9" w:rsidRDefault="008F6E78" w:rsidP="008F6E78">
            <w:pPr>
              <w:rPr>
                <w:sz w:val="20"/>
                <w:szCs w:val="20"/>
              </w:rPr>
            </w:pPr>
            <w:r w:rsidRPr="00FD75A9">
              <w:rPr>
                <w:sz w:val="20"/>
                <w:szCs w:val="20"/>
              </w:rPr>
              <w:t>VIC</w:t>
            </w:r>
          </w:p>
        </w:tc>
        <w:tc>
          <w:tcPr>
            <w:tcW w:w="700" w:type="pct"/>
          </w:tcPr>
          <w:p w14:paraId="0E65192D" w14:textId="6DEB19AD" w:rsidR="008F6E78" w:rsidRPr="00FD75A9" w:rsidRDefault="002D06EB" w:rsidP="00B30536">
            <w:pPr>
              <w:jc w:val="right"/>
              <w:rPr>
                <w:sz w:val="20"/>
                <w:szCs w:val="20"/>
              </w:rPr>
            </w:pPr>
            <w:r w:rsidRPr="00FD75A9">
              <w:rPr>
                <w:sz w:val="20"/>
                <w:szCs w:val="20"/>
              </w:rPr>
              <w:t>5</w:t>
            </w:r>
          </w:p>
        </w:tc>
        <w:tc>
          <w:tcPr>
            <w:tcW w:w="700" w:type="pct"/>
          </w:tcPr>
          <w:p w14:paraId="578380FA" w14:textId="6D4762E9" w:rsidR="008F6E78" w:rsidRPr="00FD75A9" w:rsidRDefault="002D06EB" w:rsidP="00B30536">
            <w:pPr>
              <w:jc w:val="right"/>
              <w:rPr>
                <w:sz w:val="20"/>
                <w:szCs w:val="20"/>
              </w:rPr>
            </w:pPr>
            <w:r w:rsidRPr="00FD75A9">
              <w:rPr>
                <w:sz w:val="20"/>
                <w:szCs w:val="20"/>
              </w:rPr>
              <w:t>12</w:t>
            </w:r>
          </w:p>
        </w:tc>
        <w:tc>
          <w:tcPr>
            <w:tcW w:w="700" w:type="pct"/>
          </w:tcPr>
          <w:p w14:paraId="6AF7E869" w14:textId="78DCDCF5" w:rsidR="008F6E78" w:rsidRPr="00FD75A9" w:rsidRDefault="002D06EB" w:rsidP="00B30536">
            <w:pPr>
              <w:jc w:val="right"/>
              <w:rPr>
                <w:sz w:val="20"/>
                <w:szCs w:val="20"/>
              </w:rPr>
            </w:pPr>
            <w:r w:rsidRPr="00FD75A9">
              <w:rPr>
                <w:sz w:val="20"/>
                <w:szCs w:val="20"/>
              </w:rPr>
              <w:t>1</w:t>
            </w:r>
          </w:p>
        </w:tc>
        <w:tc>
          <w:tcPr>
            <w:tcW w:w="700" w:type="pct"/>
          </w:tcPr>
          <w:p w14:paraId="439BEC12" w14:textId="744AB9D2" w:rsidR="008F6E78" w:rsidRPr="00FD75A9" w:rsidRDefault="002D06EB" w:rsidP="00B30536">
            <w:pPr>
              <w:jc w:val="right"/>
              <w:rPr>
                <w:sz w:val="20"/>
                <w:szCs w:val="20"/>
              </w:rPr>
            </w:pPr>
            <w:r w:rsidRPr="00FD75A9">
              <w:rPr>
                <w:sz w:val="20"/>
                <w:szCs w:val="20"/>
              </w:rPr>
              <w:t>0</w:t>
            </w:r>
          </w:p>
        </w:tc>
        <w:tc>
          <w:tcPr>
            <w:tcW w:w="700" w:type="pct"/>
          </w:tcPr>
          <w:p w14:paraId="4FBC45FB" w14:textId="4F1D587A" w:rsidR="008F6E78" w:rsidRPr="00FD75A9" w:rsidRDefault="002D06EB" w:rsidP="00B30536">
            <w:pPr>
              <w:jc w:val="right"/>
              <w:rPr>
                <w:sz w:val="20"/>
                <w:szCs w:val="20"/>
              </w:rPr>
            </w:pPr>
            <w:r w:rsidRPr="00FD75A9">
              <w:rPr>
                <w:sz w:val="20"/>
                <w:szCs w:val="20"/>
              </w:rPr>
              <w:t>0</w:t>
            </w:r>
          </w:p>
        </w:tc>
        <w:tc>
          <w:tcPr>
            <w:tcW w:w="700" w:type="pct"/>
          </w:tcPr>
          <w:p w14:paraId="04D5870D" w14:textId="31484F29" w:rsidR="008F6E78" w:rsidRPr="00FD75A9" w:rsidRDefault="002D06EB" w:rsidP="00B30536">
            <w:pPr>
              <w:jc w:val="right"/>
              <w:rPr>
                <w:sz w:val="20"/>
                <w:szCs w:val="20"/>
              </w:rPr>
            </w:pPr>
            <w:r w:rsidRPr="00FD75A9">
              <w:rPr>
                <w:sz w:val="20"/>
                <w:szCs w:val="20"/>
              </w:rPr>
              <w:t>18</w:t>
            </w:r>
          </w:p>
        </w:tc>
      </w:tr>
      <w:tr w:rsidR="00FD75A9" w:rsidRPr="00FD75A9" w14:paraId="1D8C6FF2" w14:textId="77777777" w:rsidTr="00B9145F">
        <w:tc>
          <w:tcPr>
            <w:tcW w:w="800" w:type="pct"/>
            <w:shd w:val="clear" w:color="auto" w:fill="FAF9F8"/>
          </w:tcPr>
          <w:p w14:paraId="47CF6702" w14:textId="77777777" w:rsidR="008F6E78" w:rsidRPr="00FD75A9" w:rsidRDefault="008F6E78" w:rsidP="008F6E78">
            <w:pPr>
              <w:rPr>
                <w:sz w:val="20"/>
                <w:szCs w:val="20"/>
              </w:rPr>
            </w:pPr>
            <w:r w:rsidRPr="00FD75A9">
              <w:rPr>
                <w:sz w:val="20"/>
                <w:szCs w:val="20"/>
              </w:rPr>
              <w:t>QLD</w:t>
            </w:r>
          </w:p>
        </w:tc>
        <w:tc>
          <w:tcPr>
            <w:tcW w:w="700" w:type="pct"/>
            <w:shd w:val="clear" w:color="auto" w:fill="FAF9F8"/>
          </w:tcPr>
          <w:p w14:paraId="7AAF8114" w14:textId="77A43903" w:rsidR="008F6E78" w:rsidRPr="00FD75A9" w:rsidRDefault="002D06EB" w:rsidP="00B30536">
            <w:pPr>
              <w:jc w:val="right"/>
              <w:rPr>
                <w:sz w:val="20"/>
                <w:szCs w:val="20"/>
              </w:rPr>
            </w:pPr>
            <w:r w:rsidRPr="00FD75A9">
              <w:rPr>
                <w:sz w:val="20"/>
                <w:szCs w:val="20"/>
              </w:rPr>
              <w:t>3</w:t>
            </w:r>
          </w:p>
        </w:tc>
        <w:tc>
          <w:tcPr>
            <w:tcW w:w="700" w:type="pct"/>
            <w:shd w:val="clear" w:color="auto" w:fill="FAF9F8"/>
          </w:tcPr>
          <w:p w14:paraId="39F7D5CD" w14:textId="7B503B67" w:rsidR="008F6E78" w:rsidRPr="00FD75A9" w:rsidRDefault="002D06EB" w:rsidP="00B30536">
            <w:pPr>
              <w:jc w:val="right"/>
              <w:rPr>
                <w:sz w:val="20"/>
                <w:szCs w:val="20"/>
              </w:rPr>
            </w:pPr>
            <w:r w:rsidRPr="00FD75A9">
              <w:rPr>
                <w:sz w:val="20"/>
                <w:szCs w:val="20"/>
              </w:rPr>
              <w:t>6</w:t>
            </w:r>
          </w:p>
        </w:tc>
        <w:tc>
          <w:tcPr>
            <w:tcW w:w="700" w:type="pct"/>
            <w:shd w:val="clear" w:color="auto" w:fill="FAF9F8"/>
          </w:tcPr>
          <w:p w14:paraId="73D1E4EC" w14:textId="114F0D49"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56482E90" w14:textId="6747E9E1"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2A2F3BD5" w14:textId="244CD3C2"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711714F8" w14:textId="4DDEC08E" w:rsidR="008F6E78" w:rsidRPr="00FD75A9" w:rsidRDefault="002D06EB" w:rsidP="00B30536">
            <w:pPr>
              <w:jc w:val="right"/>
              <w:rPr>
                <w:sz w:val="20"/>
                <w:szCs w:val="20"/>
              </w:rPr>
            </w:pPr>
            <w:r w:rsidRPr="00FD75A9">
              <w:rPr>
                <w:sz w:val="20"/>
                <w:szCs w:val="20"/>
              </w:rPr>
              <w:t>9</w:t>
            </w:r>
          </w:p>
        </w:tc>
      </w:tr>
      <w:tr w:rsidR="00FD75A9" w:rsidRPr="00FD75A9" w14:paraId="76848610" w14:textId="77777777" w:rsidTr="00B9145F">
        <w:tc>
          <w:tcPr>
            <w:tcW w:w="800" w:type="pct"/>
          </w:tcPr>
          <w:p w14:paraId="2FAF6883" w14:textId="03733655" w:rsidR="008F6E78" w:rsidRPr="00FD75A9" w:rsidRDefault="002D06EB" w:rsidP="008F6E78">
            <w:pPr>
              <w:rPr>
                <w:sz w:val="20"/>
                <w:szCs w:val="20"/>
              </w:rPr>
            </w:pPr>
            <w:r w:rsidRPr="00FD75A9">
              <w:rPr>
                <w:sz w:val="20"/>
                <w:szCs w:val="20"/>
              </w:rPr>
              <w:t>WA</w:t>
            </w:r>
          </w:p>
        </w:tc>
        <w:tc>
          <w:tcPr>
            <w:tcW w:w="700" w:type="pct"/>
          </w:tcPr>
          <w:p w14:paraId="77493C02" w14:textId="3E14953A" w:rsidR="008F6E78" w:rsidRPr="00FD75A9" w:rsidRDefault="002D06EB" w:rsidP="00B30536">
            <w:pPr>
              <w:jc w:val="right"/>
              <w:rPr>
                <w:sz w:val="20"/>
                <w:szCs w:val="20"/>
              </w:rPr>
            </w:pPr>
            <w:r w:rsidRPr="00FD75A9">
              <w:rPr>
                <w:sz w:val="20"/>
                <w:szCs w:val="20"/>
              </w:rPr>
              <w:t>1</w:t>
            </w:r>
          </w:p>
        </w:tc>
        <w:tc>
          <w:tcPr>
            <w:tcW w:w="700" w:type="pct"/>
          </w:tcPr>
          <w:p w14:paraId="4F90116F" w14:textId="7CF0174D" w:rsidR="008F6E78" w:rsidRPr="00FD75A9" w:rsidRDefault="002D06EB" w:rsidP="00B30536">
            <w:pPr>
              <w:jc w:val="right"/>
              <w:rPr>
                <w:sz w:val="20"/>
                <w:szCs w:val="20"/>
              </w:rPr>
            </w:pPr>
            <w:r w:rsidRPr="00FD75A9">
              <w:rPr>
                <w:sz w:val="20"/>
                <w:szCs w:val="20"/>
              </w:rPr>
              <w:t>5</w:t>
            </w:r>
          </w:p>
        </w:tc>
        <w:tc>
          <w:tcPr>
            <w:tcW w:w="700" w:type="pct"/>
          </w:tcPr>
          <w:p w14:paraId="64F9C123" w14:textId="6B04466D" w:rsidR="008F6E78" w:rsidRPr="00FD75A9" w:rsidRDefault="002D06EB" w:rsidP="00B30536">
            <w:pPr>
              <w:jc w:val="right"/>
              <w:rPr>
                <w:sz w:val="20"/>
                <w:szCs w:val="20"/>
              </w:rPr>
            </w:pPr>
            <w:r w:rsidRPr="00FD75A9">
              <w:rPr>
                <w:sz w:val="20"/>
                <w:szCs w:val="20"/>
              </w:rPr>
              <w:t>1</w:t>
            </w:r>
          </w:p>
        </w:tc>
        <w:tc>
          <w:tcPr>
            <w:tcW w:w="700" w:type="pct"/>
          </w:tcPr>
          <w:p w14:paraId="5C73588B" w14:textId="371FBB96" w:rsidR="008F6E78" w:rsidRPr="00FD75A9" w:rsidRDefault="002D06EB" w:rsidP="00B30536">
            <w:pPr>
              <w:jc w:val="right"/>
              <w:rPr>
                <w:sz w:val="20"/>
                <w:szCs w:val="20"/>
              </w:rPr>
            </w:pPr>
            <w:r w:rsidRPr="00FD75A9">
              <w:rPr>
                <w:sz w:val="20"/>
                <w:szCs w:val="20"/>
              </w:rPr>
              <w:t>0</w:t>
            </w:r>
          </w:p>
        </w:tc>
        <w:tc>
          <w:tcPr>
            <w:tcW w:w="700" w:type="pct"/>
          </w:tcPr>
          <w:p w14:paraId="5018BDDD" w14:textId="414B4740" w:rsidR="008F6E78" w:rsidRPr="00FD75A9" w:rsidRDefault="002D06EB" w:rsidP="00B30536">
            <w:pPr>
              <w:jc w:val="right"/>
              <w:rPr>
                <w:sz w:val="20"/>
                <w:szCs w:val="20"/>
              </w:rPr>
            </w:pPr>
            <w:r w:rsidRPr="00FD75A9">
              <w:rPr>
                <w:sz w:val="20"/>
                <w:szCs w:val="20"/>
              </w:rPr>
              <w:t>0</w:t>
            </w:r>
          </w:p>
        </w:tc>
        <w:tc>
          <w:tcPr>
            <w:tcW w:w="700" w:type="pct"/>
          </w:tcPr>
          <w:p w14:paraId="60389A4E" w14:textId="22AA4C75" w:rsidR="008F6E78" w:rsidRPr="00FD75A9" w:rsidRDefault="002D06EB" w:rsidP="00B30536">
            <w:pPr>
              <w:jc w:val="right"/>
              <w:rPr>
                <w:sz w:val="20"/>
                <w:szCs w:val="20"/>
              </w:rPr>
            </w:pPr>
            <w:r w:rsidRPr="00FD75A9">
              <w:rPr>
                <w:sz w:val="20"/>
                <w:szCs w:val="20"/>
              </w:rPr>
              <w:t>7</w:t>
            </w:r>
          </w:p>
        </w:tc>
      </w:tr>
      <w:tr w:rsidR="00FD75A9" w:rsidRPr="00FD75A9" w14:paraId="64D7D258" w14:textId="77777777" w:rsidTr="00B9145F">
        <w:tc>
          <w:tcPr>
            <w:tcW w:w="800" w:type="pct"/>
            <w:shd w:val="clear" w:color="auto" w:fill="FAF9F8"/>
          </w:tcPr>
          <w:p w14:paraId="55180AF3" w14:textId="77777777" w:rsidR="008F6E78" w:rsidRPr="00FD75A9" w:rsidRDefault="008F6E78" w:rsidP="008F6E78">
            <w:pPr>
              <w:rPr>
                <w:sz w:val="20"/>
                <w:szCs w:val="20"/>
              </w:rPr>
            </w:pPr>
            <w:r w:rsidRPr="00FD75A9">
              <w:rPr>
                <w:sz w:val="20"/>
                <w:szCs w:val="20"/>
              </w:rPr>
              <w:t>SA</w:t>
            </w:r>
          </w:p>
        </w:tc>
        <w:tc>
          <w:tcPr>
            <w:tcW w:w="700" w:type="pct"/>
            <w:shd w:val="clear" w:color="auto" w:fill="FAF9F8"/>
          </w:tcPr>
          <w:p w14:paraId="1668DEED" w14:textId="0F24F62F" w:rsidR="008F6E78" w:rsidRPr="00FD75A9" w:rsidRDefault="002D06EB" w:rsidP="00B30536">
            <w:pPr>
              <w:jc w:val="right"/>
              <w:rPr>
                <w:sz w:val="20"/>
                <w:szCs w:val="20"/>
              </w:rPr>
            </w:pPr>
            <w:r w:rsidRPr="00FD75A9">
              <w:rPr>
                <w:sz w:val="20"/>
                <w:szCs w:val="20"/>
              </w:rPr>
              <w:t>1</w:t>
            </w:r>
          </w:p>
        </w:tc>
        <w:tc>
          <w:tcPr>
            <w:tcW w:w="700" w:type="pct"/>
            <w:shd w:val="clear" w:color="auto" w:fill="FAF9F8"/>
          </w:tcPr>
          <w:p w14:paraId="503CEAFC" w14:textId="48F0A8E9" w:rsidR="008F6E78" w:rsidRPr="00FD75A9" w:rsidRDefault="002D06EB" w:rsidP="00B30536">
            <w:pPr>
              <w:jc w:val="right"/>
              <w:rPr>
                <w:sz w:val="20"/>
                <w:szCs w:val="20"/>
              </w:rPr>
            </w:pPr>
            <w:r w:rsidRPr="00FD75A9">
              <w:rPr>
                <w:sz w:val="20"/>
                <w:szCs w:val="20"/>
              </w:rPr>
              <w:t>7</w:t>
            </w:r>
          </w:p>
        </w:tc>
        <w:tc>
          <w:tcPr>
            <w:tcW w:w="700" w:type="pct"/>
            <w:shd w:val="clear" w:color="auto" w:fill="FAF9F8"/>
          </w:tcPr>
          <w:p w14:paraId="4C0FAAED" w14:textId="473C2EA4" w:rsidR="008F6E78" w:rsidRPr="00FD75A9" w:rsidRDefault="002D06EB" w:rsidP="00B30536">
            <w:pPr>
              <w:jc w:val="right"/>
              <w:rPr>
                <w:sz w:val="20"/>
                <w:szCs w:val="20"/>
              </w:rPr>
            </w:pPr>
            <w:r w:rsidRPr="00FD75A9">
              <w:rPr>
                <w:sz w:val="20"/>
                <w:szCs w:val="20"/>
              </w:rPr>
              <w:t>2</w:t>
            </w:r>
          </w:p>
        </w:tc>
        <w:tc>
          <w:tcPr>
            <w:tcW w:w="700" w:type="pct"/>
            <w:shd w:val="clear" w:color="auto" w:fill="FAF9F8"/>
          </w:tcPr>
          <w:p w14:paraId="101D16B9" w14:textId="3533DB55"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46FD7BC4" w14:textId="1B51A61A"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0581EFC3" w14:textId="535F7DE1" w:rsidR="008F6E78" w:rsidRPr="00FD75A9" w:rsidRDefault="002D06EB" w:rsidP="00B30536">
            <w:pPr>
              <w:jc w:val="right"/>
              <w:rPr>
                <w:sz w:val="20"/>
                <w:szCs w:val="20"/>
              </w:rPr>
            </w:pPr>
            <w:r w:rsidRPr="00FD75A9">
              <w:rPr>
                <w:sz w:val="20"/>
                <w:szCs w:val="20"/>
              </w:rPr>
              <w:t>10</w:t>
            </w:r>
          </w:p>
        </w:tc>
      </w:tr>
      <w:tr w:rsidR="00FD75A9" w:rsidRPr="00FD75A9" w14:paraId="6334AB20" w14:textId="77777777" w:rsidTr="00B9145F">
        <w:tc>
          <w:tcPr>
            <w:tcW w:w="800" w:type="pct"/>
          </w:tcPr>
          <w:p w14:paraId="46AD7740" w14:textId="77777777" w:rsidR="008F6E78" w:rsidRPr="00FD75A9" w:rsidRDefault="008F6E78" w:rsidP="008F6E78">
            <w:pPr>
              <w:rPr>
                <w:sz w:val="20"/>
                <w:szCs w:val="20"/>
              </w:rPr>
            </w:pPr>
            <w:r w:rsidRPr="00FD75A9">
              <w:rPr>
                <w:sz w:val="20"/>
                <w:szCs w:val="20"/>
              </w:rPr>
              <w:t>TAS</w:t>
            </w:r>
          </w:p>
        </w:tc>
        <w:tc>
          <w:tcPr>
            <w:tcW w:w="700" w:type="pct"/>
          </w:tcPr>
          <w:p w14:paraId="07C4A0B4" w14:textId="01F2B19A" w:rsidR="008F6E78" w:rsidRPr="00FD75A9" w:rsidRDefault="002D06EB" w:rsidP="00B30536">
            <w:pPr>
              <w:jc w:val="right"/>
              <w:rPr>
                <w:sz w:val="20"/>
                <w:szCs w:val="20"/>
              </w:rPr>
            </w:pPr>
            <w:r w:rsidRPr="00FD75A9">
              <w:rPr>
                <w:sz w:val="20"/>
                <w:szCs w:val="20"/>
              </w:rPr>
              <w:t>2</w:t>
            </w:r>
          </w:p>
        </w:tc>
        <w:tc>
          <w:tcPr>
            <w:tcW w:w="700" w:type="pct"/>
          </w:tcPr>
          <w:p w14:paraId="1D55D3B0" w14:textId="7F4036CF" w:rsidR="008F6E78" w:rsidRPr="00FD75A9" w:rsidRDefault="002D06EB" w:rsidP="00B30536">
            <w:pPr>
              <w:jc w:val="right"/>
              <w:rPr>
                <w:sz w:val="20"/>
                <w:szCs w:val="20"/>
              </w:rPr>
            </w:pPr>
            <w:r w:rsidRPr="00FD75A9">
              <w:rPr>
                <w:sz w:val="20"/>
                <w:szCs w:val="20"/>
              </w:rPr>
              <w:t>1</w:t>
            </w:r>
          </w:p>
        </w:tc>
        <w:tc>
          <w:tcPr>
            <w:tcW w:w="700" w:type="pct"/>
          </w:tcPr>
          <w:p w14:paraId="00A6C68E" w14:textId="250E031D" w:rsidR="008F6E78" w:rsidRPr="00FD75A9" w:rsidRDefault="002D06EB" w:rsidP="00B30536">
            <w:pPr>
              <w:jc w:val="right"/>
              <w:rPr>
                <w:sz w:val="20"/>
                <w:szCs w:val="20"/>
              </w:rPr>
            </w:pPr>
            <w:r w:rsidRPr="00FD75A9">
              <w:rPr>
                <w:sz w:val="20"/>
                <w:szCs w:val="20"/>
              </w:rPr>
              <w:t>1</w:t>
            </w:r>
          </w:p>
        </w:tc>
        <w:tc>
          <w:tcPr>
            <w:tcW w:w="700" w:type="pct"/>
          </w:tcPr>
          <w:p w14:paraId="191BF13B" w14:textId="2B734A8A" w:rsidR="008F6E78" w:rsidRPr="00FD75A9" w:rsidRDefault="002D06EB" w:rsidP="00B30536">
            <w:pPr>
              <w:jc w:val="right"/>
              <w:rPr>
                <w:sz w:val="20"/>
                <w:szCs w:val="20"/>
              </w:rPr>
            </w:pPr>
            <w:r w:rsidRPr="00FD75A9">
              <w:rPr>
                <w:sz w:val="20"/>
                <w:szCs w:val="20"/>
              </w:rPr>
              <w:t>0</w:t>
            </w:r>
          </w:p>
        </w:tc>
        <w:tc>
          <w:tcPr>
            <w:tcW w:w="700" w:type="pct"/>
          </w:tcPr>
          <w:p w14:paraId="60022E63" w14:textId="791337F4" w:rsidR="008F6E78" w:rsidRPr="00FD75A9" w:rsidRDefault="002D06EB" w:rsidP="00B30536">
            <w:pPr>
              <w:jc w:val="right"/>
              <w:rPr>
                <w:sz w:val="20"/>
                <w:szCs w:val="20"/>
              </w:rPr>
            </w:pPr>
            <w:r w:rsidRPr="00FD75A9">
              <w:rPr>
                <w:sz w:val="20"/>
                <w:szCs w:val="20"/>
              </w:rPr>
              <w:t>0</w:t>
            </w:r>
          </w:p>
        </w:tc>
        <w:tc>
          <w:tcPr>
            <w:tcW w:w="700" w:type="pct"/>
          </w:tcPr>
          <w:p w14:paraId="4EBA7C05" w14:textId="655A3E21" w:rsidR="008F6E78" w:rsidRPr="00FD75A9" w:rsidRDefault="002D06EB" w:rsidP="00B30536">
            <w:pPr>
              <w:jc w:val="right"/>
              <w:rPr>
                <w:sz w:val="20"/>
                <w:szCs w:val="20"/>
              </w:rPr>
            </w:pPr>
            <w:r w:rsidRPr="00FD75A9">
              <w:rPr>
                <w:sz w:val="20"/>
                <w:szCs w:val="20"/>
              </w:rPr>
              <w:t>4</w:t>
            </w:r>
          </w:p>
        </w:tc>
      </w:tr>
      <w:tr w:rsidR="00FD75A9" w:rsidRPr="00FD75A9" w14:paraId="13CC6B4A" w14:textId="77777777" w:rsidTr="00B9145F">
        <w:tc>
          <w:tcPr>
            <w:tcW w:w="800" w:type="pct"/>
            <w:shd w:val="clear" w:color="auto" w:fill="FAF9F8"/>
          </w:tcPr>
          <w:p w14:paraId="7695C642" w14:textId="77777777" w:rsidR="008F6E78" w:rsidRPr="00FD75A9" w:rsidRDefault="008F6E78" w:rsidP="008F6E78">
            <w:pPr>
              <w:rPr>
                <w:sz w:val="20"/>
                <w:szCs w:val="20"/>
              </w:rPr>
            </w:pPr>
            <w:r w:rsidRPr="00FD75A9">
              <w:rPr>
                <w:sz w:val="20"/>
                <w:szCs w:val="20"/>
              </w:rPr>
              <w:t>ACT</w:t>
            </w:r>
          </w:p>
        </w:tc>
        <w:tc>
          <w:tcPr>
            <w:tcW w:w="700" w:type="pct"/>
            <w:shd w:val="clear" w:color="auto" w:fill="FAF9F8"/>
          </w:tcPr>
          <w:p w14:paraId="6AE3D7CC" w14:textId="48415D5B" w:rsidR="008F6E78" w:rsidRPr="00FD75A9" w:rsidRDefault="002D06EB" w:rsidP="00B30536">
            <w:pPr>
              <w:jc w:val="right"/>
              <w:rPr>
                <w:sz w:val="20"/>
                <w:szCs w:val="20"/>
              </w:rPr>
            </w:pPr>
            <w:r w:rsidRPr="00FD75A9">
              <w:rPr>
                <w:sz w:val="20"/>
                <w:szCs w:val="20"/>
              </w:rPr>
              <w:t>3</w:t>
            </w:r>
          </w:p>
        </w:tc>
        <w:tc>
          <w:tcPr>
            <w:tcW w:w="700" w:type="pct"/>
            <w:shd w:val="clear" w:color="auto" w:fill="FAF9F8"/>
          </w:tcPr>
          <w:p w14:paraId="41DA96D5" w14:textId="2FACEE4D" w:rsidR="008F6E78" w:rsidRPr="00FD75A9" w:rsidRDefault="002D06EB" w:rsidP="00B30536">
            <w:pPr>
              <w:jc w:val="right"/>
              <w:rPr>
                <w:sz w:val="20"/>
                <w:szCs w:val="20"/>
              </w:rPr>
            </w:pPr>
            <w:r w:rsidRPr="00FD75A9">
              <w:rPr>
                <w:sz w:val="20"/>
                <w:szCs w:val="20"/>
              </w:rPr>
              <w:t>2</w:t>
            </w:r>
          </w:p>
        </w:tc>
        <w:tc>
          <w:tcPr>
            <w:tcW w:w="700" w:type="pct"/>
            <w:shd w:val="clear" w:color="auto" w:fill="FAF9F8"/>
          </w:tcPr>
          <w:p w14:paraId="79D94E9B" w14:textId="057424C7"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20A9795C" w14:textId="316800F9"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20A18B60" w14:textId="4D11B58C" w:rsidR="008F6E78" w:rsidRPr="00FD75A9" w:rsidRDefault="002D06EB" w:rsidP="00B30536">
            <w:pPr>
              <w:jc w:val="right"/>
              <w:rPr>
                <w:sz w:val="20"/>
                <w:szCs w:val="20"/>
              </w:rPr>
            </w:pPr>
            <w:r w:rsidRPr="00FD75A9">
              <w:rPr>
                <w:sz w:val="20"/>
                <w:szCs w:val="20"/>
              </w:rPr>
              <w:t>0</w:t>
            </w:r>
          </w:p>
        </w:tc>
        <w:tc>
          <w:tcPr>
            <w:tcW w:w="700" w:type="pct"/>
            <w:shd w:val="clear" w:color="auto" w:fill="FAF9F8"/>
          </w:tcPr>
          <w:p w14:paraId="706CAA41" w14:textId="353054F8" w:rsidR="008F6E78" w:rsidRPr="00FD75A9" w:rsidRDefault="002D06EB" w:rsidP="00B30536">
            <w:pPr>
              <w:jc w:val="right"/>
              <w:rPr>
                <w:sz w:val="20"/>
                <w:szCs w:val="20"/>
              </w:rPr>
            </w:pPr>
            <w:r w:rsidRPr="00FD75A9">
              <w:rPr>
                <w:sz w:val="20"/>
                <w:szCs w:val="20"/>
              </w:rPr>
              <w:t>5</w:t>
            </w:r>
          </w:p>
        </w:tc>
      </w:tr>
      <w:tr w:rsidR="00FD75A9" w:rsidRPr="00FD75A9" w14:paraId="5210A113" w14:textId="77777777" w:rsidTr="00B9145F">
        <w:tc>
          <w:tcPr>
            <w:tcW w:w="800" w:type="pct"/>
          </w:tcPr>
          <w:p w14:paraId="243CAA1C" w14:textId="77777777" w:rsidR="008F6E78" w:rsidRPr="00FD75A9" w:rsidRDefault="008F6E78" w:rsidP="008F6E78">
            <w:pPr>
              <w:rPr>
                <w:sz w:val="20"/>
                <w:szCs w:val="20"/>
              </w:rPr>
            </w:pPr>
            <w:r w:rsidRPr="00FD75A9">
              <w:rPr>
                <w:sz w:val="20"/>
                <w:szCs w:val="20"/>
              </w:rPr>
              <w:t>NT</w:t>
            </w:r>
          </w:p>
        </w:tc>
        <w:tc>
          <w:tcPr>
            <w:tcW w:w="700" w:type="pct"/>
          </w:tcPr>
          <w:p w14:paraId="4656BECD" w14:textId="7A969C4F" w:rsidR="008F6E78" w:rsidRPr="00FD75A9" w:rsidRDefault="002D06EB" w:rsidP="00B30536">
            <w:pPr>
              <w:jc w:val="right"/>
              <w:rPr>
                <w:sz w:val="20"/>
                <w:szCs w:val="20"/>
              </w:rPr>
            </w:pPr>
            <w:r w:rsidRPr="00FD75A9">
              <w:rPr>
                <w:sz w:val="20"/>
                <w:szCs w:val="20"/>
              </w:rPr>
              <w:t>0</w:t>
            </w:r>
          </w:p>
        </w:tc>
        <w:tc>
          <w:tcPr>
            <w:tcW w:w="700" w:type="pct"/>
          </w:tcPr>
          <w:p w14:paraId="08E29505" w14:textId="7A651563" w:rsidR="008F6E78" w:rsidRPr="00FD75A9" w:rsidRDefault="002D06EB" w:rsidP="00B30536">
            <w:pPr>
              <w:jc w:val="right"/>
              <w:rPr>
                <w:sz w:val="20"/>
                <w:szCs w:val="20"/>
              </w:rPr>
            </w:pPr>
            <w:r w:rsidRPr="00FD75A9">
              <w:rPr>
                <w:sz w:val="20"/>
                <w:szCs w:val="20"/>
              </w:rPr>
              <w:t>5</w:t>
            </w:r>
          </w:p>
        </w:tc>
        <w:tc>
          <w:tcPr>
            <w:tcW w:w="700" w:type="pct"/>
          </w:tcPr>
          <w:p w14:paraId="777B8C6C" w14:textId="05AAE18E" w:rsidR="008F6E78" w:rsidRPr="00FD75A9" w:rsidRDefault="002D06EB" w:rsidP="00B30536">
            <w:pPr>
              <w:jc w:val="right"/>
              <w:rPr>
                <w:sz w:val="20"/>
                <w:szCs w:val="20"/>
              </w:rPr>
            </w:pPr>
            <w:r w:rsidRPr="00FD75A9">
              <w:rPr>
                <w:sz w:val="20"/>
                <w:szCs w:val="20"/>
              </w:rPr>
              <w:t>0</w:t>
            </w:r>
          </w:p>
        </w:tc>
        <w:tc>
          <w:tcPr>
            <w:tcW w:w="700" w:type="pct"/>
          </w:tcPr>
          <w:p w14:paraId="59C7007F" w14:textId="12813CFE" w:rsidR="008F6E78" w:rsidRPr="00FD75A9" w:rsidRDefault="002D06EB" w:rsidP="00B30536">
            <w:pPr>
              <w:jc w:val="right"/>
              <w:rPr>
                <w:sz w:val="20"/>
                <w:szCs w:val="20"/>
              </w:rPr>
            </w:pPr>
            <w:r w:rsidRPr="00FD75A9">
              <w:rPr>
                <w:sz w:val="20"/>
                <w:szCs w:val="20"/>
              </w:rPr>
              <w:t>0</w:t>
            </w:r>
          </w:p>
        </w:tc>
        <w:tc>
          <w:tcPr>
            <w:tcW w:w="700" w:type="pct"/>
          </w:tcPr>
          <w:p w14:paraId="426AEC51" w14:textId="71CEF99A" w:rsidR="008F6E78" w:rsidRPr="00FD75A9" w:rsidRDefault="002D06EB" w:rsidP="00B30536">
            <w:pPr>
              <w:jc w:val="right"/>
              <w:rPr>
                <w:sz w:val="20"/>
                <w:szCs w:val="20"/>
              </w:rPr>
            </w:pPr>
            <w:r w:rsidRPr="00FD75A9">
              <w:rPr>
                <w:sz w:val="20"/>
                <w:szCs w:val="20"/>
              </w:rPr>
              <w:t>0</w:t>
            </w:r>
          </w:p>
        </w:tc>
        <w:tc>
          <w:tcPr>
            <w:tcW w:w="700" w:type="pct"/>
          </w:tcPr>
          <w:p w14:paraId="1AF8B3A6" w14:textId="7AD79520" w:rsidR="008F6E78" w:rsidRPr="00FD75A9" w:rsidRDefault="002D06EB" w:rsidP="00B30536">
            <w:pPr>
              <w:jc w:val="right"/>
              <w:rPr>
                <w:sz w:val="20"/>
                <w:szCs w:val="20"/>
              </w:rPr>
            </w:pPr>
            <w:r w:rsidRPr="00FD75A9">
              <w:rPr>
                <w:sz w:val="20"/>
                <w:szCs w:val="20"/>
              </w:rPr>
              <w:t>5</w:t>
            </w:r>
          </w:p>
        </w:tc>
      </w:tr>
      <w:tr w:rsidR="00FD75A9" w:rsidRPr="00FD75A9" w14:paraId="04AAFD52" w14:textId="77777777" w:rsidTr="00B9145F">
        <w:trPr>
          <w:trHeight w:val="69"/>
        </w:trPr>
        <w:tc>
          <w:tcPr>
            <w:tcW w:w="800" w:type="pct"/>
            <w:shd w:val="clear" w:color="auto" w:fill="E4E9F3"/>
          </w:tcPr>
          <w:p w14:paraId="63003177" w14:textId="2EA69D09" w:rsidR="008F6E78" w:rsidRPr="00FD75A9" w:rsidRDefault="002F5011" w:rsidP="008F6E78">
            <w:pPr>
              <w:rPr>
                <w:b/>
                <w:sz w:val="20"/>
                <w:szCs w:val="20"/>
              </w:rPr>
            </w:pPr>
            <w:r w:rsidRPr="004F4004">
              <w:rPr>
                <w:rFonts w:eastAsia="Times New Roman" w:cs="Calibri"/>
                <w:b/>
                <w:bCs/>
                <w:color w:val="000000"/>
                <w:lang w:val="fr" w:eastAsia="en-AU"/>
              </w:rPr>
              <w:t>Total national</w:t>
            </w:r>
          </w:p>
        </w:tc>
        <w:tc>
          <w:tcPr>
            <w:tcW w:w="700" w:type="pct"/>
            <w:shd w:val="clear" w:color="auto" w:fill="E4E9F3"/>
          </w:tcPr>
          <w:p w14:paraId="19767AB9" w14:textId="57E77AEA" w:rsidR="008F6E78" w:rsidRPr="00FD75A9" w:rsidRDefault="002D06EB" w:rsidP="00B30536">
            <w:pPr>
              <w:jc w:val="right"/>
              <w:rPr>
                <w:b/>
                <w:sz w:val="20"/>
                <w:szCs w:val="20"/>
              </w:rPr>
            </w:pPr>
            <w:r w:rsidRPr="00FD75A9">
              <w:rPr>
                <w:b/>
                <w:sz w:val="20"/>
                <w:szCs w:val="20"/>
              </w:rPr>
              <w:t>17</w:t>
            </w:r>
          </w:p>
        </w:tc>
        <w:tc>
          <w:tcPr>
            <w:tcW w:w="700" w:type="pct"/>
            <w:shd w:val="clear" w:color="auto" w:fill="E4E9F3"/>
          </w:tcPr>
          <w:p w14:paraId="714ED289" w14:textId="0F28668C" w:rsidR="008F6E78" w:rsidRPr="00FD75A9" w:rsidRDefault="00E732EA" w:rsidP="00B30536">
            <w:pPr>
              <w:jc w:val="right"/>
              <w:rPr>
                <w:b/>
                <w:sz w:val="20"/>
                <w:szCs w:val="20"/>
              </w:rPr>
            </w:pPr>
            <w:r w:rsidRPr="00FD75A9">
              <w:rPr>
                <w:b/>
                <w:sz w:val="20"/>
                <w:szCs w:val="20"/>
              </w:rPr>
              <w:t>47</w:t>
            </w:r>
          </w:p>
        </w:tc>
        <w:tc>
          <w:tcPr>
            <w:tcW w:w="700" w:type="pct"/>
            <w:shd w:val="clear" w:color="auto" w:fill="E4E9F3"/>
          </w:tcPr>
          <w:p w14:paraId="77EFCEF9" w14:textId="4D0FDFCE" w:rsidR="008F6E78" w:rsidRPr="00FD75A9" w:rsidRDefault="00E732EA" w:rsidP="00B30536">
            <w:pPr>
              <w:jc w:val="right"/>
              <w:rPr>
                <w:b/>
                <w:sz w:val="20"/>
                <w:szCs w:val="20"/>
              </w:rPr>
            </w:pPr>
            <w:r w:rsidRPr="00FD75A9">
              <w:rPr>
                <w:b/>
                <w:sz w:val="20"/>
                <w:szCs w:val="20"/>
              </w:rPr>
              <w:t>9</w:t>
            </w:r>
          </w:p>
        </w:tc>
        <w:tc>
          <w:tcPr>
            <w:tcW w:w="700" w:type="pct"/>
            <w:shd w:val="clear" w:color="auto" w:fill="E4E9F3"/>
          </w:tcPr>
          <w:p w14:paraId="45E41460" w14:textId="3FAE3EF1" w:rsidR="008F6E78" w:rsidRPr="00FD75A9" w:rsidRDefault="002D06EB" w:rsidP="00B30536">
            <w:pPr>
              <w:jc w:val="right"/>
              <w:rPr>
                <w:b/>
                <w:sz w:val="20"/>
                <w:szCs w:val="20"/>
              </w:rPr>
            </w:pPr>
            <w:r w:rsidRPr="00FD75A9">
              <w:rPr>
                <w:b/>
                <w:sz w:val="20"/>
                <w:szCs w:val="20"/>
              </w:rPr>
              <w:t>0</w:t>
            </w:r>
          </w:p>
        </w:tc>
        <w:tc>
          <w:tcPr>
            <w:tcW w:w="700" w:type="pct"/>
            <w:shd w:val="clear" w:color="auto" w:fill="E4E9F3"/>
          </w:tcPr>
          <w:p w14:paraId="59EE92B2" w14:textId="5CC428C3" w:rsidR="008F6E78" w:rsidRPr="00FD75A9" w:rsidRDefault="002D06EB" w:rsidP="00B30536">
            <w:pPr>
              <w:jc w:val="right"/>
              <w:rPr>
                <w:b/>
                <w:sz w:val="20"/>
                <w:szCs w:val="20"/>
              </w:rPr>
            </w:pPr>
            <w:r w:rsidRPr="00FD75A9">
              <w:rPr>
                <w:b/>
                <w:sz w:val="20"/>
                <w:szCs w:val="20"/>
              </w:rPr>
              <w:t>0</w:t>
            </w:r>
          </w:p>
        </w:tc>
        <w:tc>
          <w:tcPr>
            <w:tcW w:w="700" w:type="pct"/>
            <w:shd w:val="clear" w:color="auto" w:fill="E4E9F3"/>
          </w:tcPr>
          <w:p w14:paraId="307E9F1E" w14:textId="77777777" w:rsidR="008F6E78" w:rsidRPr="00FD75A9" w:rsidRDefault="00BF0891" w:rsidP="00B30536">
            <w:pPr>
              <w:jc w:val="right"/>
              <w:rPr>
                <w:b/>
                <w:sz w:val="20"/>
                <w:szCs w:val="20"/>
              </w:rPr>
            </w:pPr>
            <w:r w:rsidRPr="00FD75A9">
              <w:rPr>
                <w:b/>
                <w:sz w:val="20"/>
                <w:szCs w:val="20"/>
              </w:rPr>
              <w:t>73</w:t>
            </w:r>
          </w:p>
        </w:tc>
      </w:tr>
    </w:tbl>
    <w:p w14:paraId="222C8822" w14:textId="18574C66" w:rsidR="008E35C9" w:rsidRDefault="00B9145F" w:rsidP="00B30536">
      <w:pPr>
        <w:spacing w:before="240" w:after="240" w:line="240" w:lineRule="auto"/>
      </w:pPr>
      <w:r>
        <w:rPr>
          <w:lang w:val="fr-FR"/>
        </w:rPr>
        <w:t>Tableau 4 : PAC Emploi – État d’avancement des actions par objectif en 2022-2023</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00"/>
        <w:gridCol w:w="1214"/>
        <w:gridCol w:w="1214"/>
        <w:gridCol w:w="1214"/>
        <w:gridCol w:w="1214"/>
        <w:gridCol w:w="1773"/>
        <w:gridCol w:w="1213"/>
      </w:tblGrid>
      <w:tr w:rsidR="00580A70" w:rsidRPr="00FD75A9" w14:paraId="600E313B" w14:textId="77777777" w:rsidTr="00580A70">
        <w:trPr>
          <w:jc w:val="right"/>
        </w:trPr>
        <w:tc>
          <w:tcPr>
            <w:tcW w:w="757" w:type="pct"/>
            <w:tcBorders>
              <w:top w:val="nil"/>
              <w:bottom w:val="single" w:sz="4" w:space="0" w:color="auto"/>
              <w:right w:val="single" w:sz="4" w:space="0" w:color="FFFFFF" w:themeColor="background1"/>
            </w:tcBorders>
            <w:shd w:val="clear" w:color="auto" w:fill="6C1740"/>
          </w:tcPr>
          <w:p w14:paraId="43718EB0" w14:textId="498E46CE" w:rsidR="00580A70" w:rsidRPr="00FD75A9" w:rsidRDefault="00580A70" w:rsidP="00580A70">
            <w:pPr>
              <w:rPr>
                <w:b/>
                <w:sz w:val="20"/>
                <w:szCs w:val="20"/>
              </w:rPr>
            </w:pPr>
            <w:bookmarkStart w:id="10" w:name="Title_04"/>
            <w:bookmarkEnd w:id="10"/>
            <w:r w:rsidRPr="00580A70">
              <w:rPr>
                <w:rFonts w:eastAsia="Times New Roman" w:cs="Calibri"/>
                <w:b/>
                <w:bCs/>
                <w:color w:val="FFFFFF" w:themeColor="background1"/>
                <w:lang w:val="fr" w:eastAsia="en-AU"/>
              </w:rPr>
              <w:t>Objectif</w:t>
            </w:r>
          </w:p>
        </w:tc>
        <w:tc>
          <w:tcPr>
            <w:tcW w:w="657"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5501DC4C" w:rsidR="00580A70" w:rsidRPr="00FD75A9" w:rsidRDefault="00580A70" w:rsidP="00A85829">
            <w:pPr>
              <w:jc w:val="right"/>
              <w:rPr>
                <w:b/>
                <w:sz w:val="20"/>
                <w:szCs w:val="20"/>
              </w:rPr>
            </w:pPr>
            <w:r w:rsidRPr="00A86D39">
              <w:rPr>
                <w:rFonts w:eastAsia="Times New Roman" w:cs="Calibri"/>
                <w:b/>
                <w:bCs/>
                <w:color w:val="FFFFFF" w:themeColor="background1"/>
                <w:sz w:val="20"/>
                <w:szCs w:val="20"/>
                <w:lang w:val="fr" w:eastAsia="en-AU"/>
              </w:rPr>
              <w:t>Finalisé</w:t>
            </w:r>
          </w:p>
        </w:tc>
        <w:tc>
          <w:tcPr>
            <w:tcW w:w="657"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4E51CD25" w:rsidR="00580A70" w:rsidRPr="00FD75A9" w:rsidRDefault="00580A70" w:rsidP="00A85829">
            <w:pPr>
              <w:jc w:val="right"/>
              <w:rPr>
                <w:b/>
                <w:sz w:val="20"/>
                <w:szCs w:val="20"/>
              </w:rPr>
            </w:pPr>
            <w:r w:rsidRPr="00A86D39">
              <w:rPr>
                <w:rFonts w:eastAsia="Times New Roman" w:cs="Calibri"/>
                <w:b/>
                <w:bCs/>
                <w:color w:val="FFFFFF" w:themeColor="background1"/>
                <w:sz w:val="20"/>
                <w:szCs w:val="20"/>
                <w:lang w:val="fr" w:eastAsia="en-AU"/>
              </w:rPr>
              <w:t>En bonne voie</w:t>
            </w:r>
          </w:p>
        </w:tc>
        <w:tc>
          <w:tcPr>
            <w:tcW w:w="657"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04B2BB2A" w:rsidR="00580A70" w:rsidRPr="00FD75A9" w:rsidRDefault="00580A70" w:rsidP="00A85829">
            <w:pPr>
              <w:jc w:val="right"/>
              <w:rPr>
                <w:b/>
                <w:sz w:val="20"/>
                <w:szCs w:val="20"/>
              </w:rPr>
            </w:pPr>
            <w:r w:rsidRPr="00A86D39">
              <w:rPr>
                <w:rFonts w:eastAsia="Times New Roman" w:cs="Calibri"/>
                <w:b/>
                <w:bCs/>
                <w:color w:val="FFFFFF" w:themeColor="background1"/>
                <w:sz w:val="20"/>
                <w:szCs w:val="20"/>
                <w:lang w:val="fr" w:eastAsia="en-AU"/>
              </w:rPr>
              <w:t>Quelques retards</w:t>
            </w:r>
          </w:p>
        </w:tc>
        <w:tc>
          <w:tcPr>
            <w:tcW w:w="657"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6B667FA2" w:rsidR="00580A70" w:rsidRPr="00FD75A9" w:rsidRDefault="00580A70" w:rsidP="00A85829">
            <w:pPr>
              <w:jc w:val="right"/>
              <w:rPr>
                <w:b/>
                <w:sz w:val="20"/>
                <w:szCs w:val="20"/>
              </w:rPr>
            </w:pPr>
            <w:r w:rsidRPr="00A86D39">
              <w:rPr>
                <w:rFonts w:eastAsia="Times New Roman" w:cs="Calibri"/>
                <w:b/>
                <w:bCs/>
                <w:color w:val="FFFFFF" w:themeColor="background1"/>
                <w:sz w:val="20"/>
                <w:szCs w:val="20"/>
                <w:lang w:val="fr" w:eastAsia="en-AU"/>
              </w:rPr>
              <w:t>En pause</w:t>
            </w:r>
          </w:p>
        </w:tc>
        <w:tc>
          <w:tcPr>
            <w:tcW w:w="959"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3BB1C2B0" w:rsidR="00580A70" w:rsidRPr="00FD75A9" w:rsidRDefault="00580A70" w:rsidP="00A85829">
            <w:pPr>
              <w:jc w:val="right"/>
              <w:rPr>
                <w:b/>
                <w:sz w:val="20"/>
                <w:szCs w:val="20"/>
              </w:rPr>
            </w:pPr>
            <w:r w:rsidRPr="00A86D39">
              <w:rPr>
                <w:rFonts w:eastAsia="Times New Roman" w:cs="Calibri"/>
                <w:b/>
                <w:bCs/>
                <w:color w:val="FFFFFF" w:themeColor="background1"/>
                <w:sz w:val="20"/>
                <w:szCs w:val="20"/>
                <w:lang w:val="fr" w:eastAsia="en-AU"/>
              </w:rPr>
              <w:t>Commencement à une date ultérieure</w:t>
            </w:r>
          </w:p>
        </w:tc>
        <w:tc>
          <w:tcPr>
            <w:tcW w:w="657" w:type="pct"/>
            <w:tcBorders>
              <w:top w:val="nil"/>
              <w:left w:val="single" w:sz="4" w:space="0" w:color="FFFFFF" w:themeColor="background1"/>
              <w:bottom w:val="single" w:sz="4" w:space="0" w:color="auto"/>
            </w:tcBorders>
            <w:shd w:val="clear" w:color="auto" w:fill="6C1740"/>
          </w:tcPr>
          <w:p w14:paraId="4A2DF49E" w14:textId="226C9952" w:rsidR="00580A70" w:rsidRPr="00FD75A9" w:rsidRDefault="00580A70" w:rsidP="00A85829">
            <w:pPr>
              <w:jc w:val="right"/>
              <w:rPr>
                <w:b/>
                <w:sz w:val="20"/>
                <w:szCs w:val="20"/>
              </w:rPr>
            </w:pPr>
            <w:r w:rsidRPr="00A86D39">
              <w:rPr>
                <w:b/>
                <w:color w:val="FFFFFF" w:themeColor="background1"/>
                <w:sz w:val="20"/>
                <w:szCs w:val="20"/>
              </w:rPr>
              <w:t>Total</w:t>
            </w:r>
          </w:p>
        </w:tc>
      </w:tr>
      <w:tr w:rsidR="00580A70" w:rsidRPr="00FD75A9" w14:paraId="53AC3D9D" w14:textId="77777777" w:rsidTr="00580A70">
        <w:trPr>
          <w:jc w:val="right"/>
        </w:trPr>
        <w:tc>
          <w:tcPr>
            <w:tcW w:w="757" w:type="pct"/>
            <w:tcBorders>
              <w:top w:val="single" w:sz="4" w:space="0" w:color="auto"/>
            </w:tcBorders>
            <w:vAlign w:val="bottom"/>
          </w:tcPr>
          <w:p w14:paraId="1B838A7D" w14:textId="7C9042F2" w:rsidR="00580A70" w:rsidRPr="00FD75A9" w:rsidRDefault="00580A70" w:rsidP="008F6E78">
            <w:pPr>
              <w:rPr>
                <w:sz w:val="20"/>
                <w:szCs w:val="20"/>
              </w:rPr>
            </w:pPr>
            <w:r w:rsidRPr="004F4004">
              <w:rPr>
                <w:rFonts w:eastAsia="Times New Roman" w:cs="Calibri"/>
                <w:color w:val="000000"/>
                <w:lang w:val="fr" w:eastAsia="en-AU"/>
              </w:rPr>
              <w:t>Objectif 1</w:t>
            </w:r>
          </w:p>
        </w:tc>
        <w:tc>
          <w:tcPr>
            <w:tcW w:w="657" w:type="pct"/>
            <w:tcBorders>
              <w:top w:val="single" w:sz="4" w:space="0" w:color="auto"/>
            </w:tcBorders>
          </w:tcPr>
          <w:p w14:paraId="2064A006" w14:textId="00D053BC" w:rsidR="00580A70" w:rsidRPr="00FD75A9" w:rsidRDefault="00580A70" w:rsidP="00A85829">
            <w:pPr>
              <w:jc w:val="right"/>
              <w:rPr>
                <w:sz w:val="20"/>
                <w:szCs w:val="20"/>
              </w:rPr>
            </w:pPr>
            <w:r w:rsidRPr="00FD75A9">
              <w:rPr>
                <w:sz w:val="20"/>
                <w:szCs w:val="20"/>
              </w:rPr>
              <w:t>12</w:t>
            </w:r>
          </w:p>
        </w:tc>
        <w:tc>
          <w:tcPr>
            <w:tcW w:w="657" w:type="pct"/>
            <w:tcBorders>
              <w:top w:val="single" w:sz="4" w:space="0" w:color="auto"/>
            </w:tcBorders>
          </w:tcPr>
          <w:p w14:paraId="4F5BCC03" w14:textId="7509CE67" w:rsidR="00580A70" w:rsidRPr="00FD75A9" w:rsidRDefault="00580A70" w:rsidP="00A85829">
            <w:pPr>
              <w:jc w:val="right"/>
              <w:rPr>
                <w:sz w:val="20"/>
                <w:szCs w:val="20"/>
              </w:rPr>
            </w:pPr>
            <w:r w:rsidRPr="00FD75A9">
              <w:rPr>
                <w:sz w:val="20"/>
                <w:szCs w:val="20"/>
              </w:rPr>
              <w:t>28</w:t>
            </w:r>
          </w:p>
        </w:tc>
        <w:tc>
          <w:tcPr>
            <w:tcW w:w="657" w:type="pct"/>
            <w:tcBorders>
              <w:top w:val="single" w:sz="4" w:space="0" w:color="auto"/>
            </w:tcBorders>
          </w:tcPr>
          <w:p w14:paraId="0FAE7406" w14:textId="14404D31" w:rsidR="00580A70" w:rsidRPr="00FD75A9" w:rsidRDefault="00580A70" w:rsidP="00A85829">
            <w:pPr>
              <w:jc w:val="right"/>
              <w:rPr>
                <w:sz w:val="20"/>
                <w:szCs w:val="20"/>
              </w:rPr>
            </w:pPr>
            <w:r w:rsidRPr="00FD75A9">
              <w:rPr>
                <w:sz w:val="20"/>
                <w:szCs w:val="20"/>
              </w:rPr>
              <w:t>8</w:t>
            </w:r>
          </w:p>
        </w:tc>
        <w:tc>
          <w:tcPr>
            <w:tcW w:w="657" w:type="pct"/>
            <w:tcBorders>
              <w:top w:val="single" w:sz="4" w:space="0" w:color="auto"/>
            </w:tcBorders>
          </w:tcPr>
          <w:p w14:paraId="32A5B0FE" w14:textId="56C5D29D" w:rsidR="00580A70" w:rsidRPr="00FD75A9" w:rsidRDefault="00580A70" w:rsidP="00A85829">
            <w:pPr>
              <w:jc w:val="right"/>
              <w:rPr>
                <w:sz w:val="20"/>
                <w:szCs w:val="20"/>
              </w:rPr>
            </w:pPr>
            <w:r w:rsidRPr="00FD75A9">
              <w:rPr>
                <w:sz w:val="20"/>
                <w:szCs w:val="20"/>
              </w:rPr>
              <w:t>0</w:t>
            </w:r>
          </w:p>
        </w:tc>
        <w:tc>
          <w:tcPr>
            <w:tcW w:w="959" w:type="pct"/>
            <w:tcBorders>
              <w:top w:val="single" w:sz="4" w:space="0" w:color="auto"/>
            </w:tcBorders>
          </w:tcPr>
          <w:p w14:paraId="1983DD90" w14:textId="0A4D66D0" w:rsidR="00580A70" w:rsidRPr="00FD75A9" w:rsidRDefault="00580A70" w:rsidP="00A85829">
            <w:pPr>
              <w:jc w:val="right"/>
              <w:rPr>
                <w:sz w:val="20"/>
                <w:szCs w:val="20"/>
              </w:rPr>
            </w:pPr>
            <w:r w:rsidRPr="00FD75A9">
              <w:rPr>
                <w:sz w:val="20"/>
                <w:szCs w:val="20"/>
              </w:rPr>
              <w:t>0</w:t>
            </w:r>
          </w:p>
        </w:tc>
        <w:tc>
          <w:tcPr>
            <w:tcW w:w="657" w:type="pct"/>
            <w:tcBorders>
              <w:top w:val="single" w:sz="4" w:space="0" w:color="auto"/>
            </w:tcBorders>
          </w:tcPr>
          <w:p w14:paraId="72D79641" w14:textId="5828EE3D" w:rsidR="00580A70" w:rsidRPr="00FD75A9" w:rsidRDefault="00580A70" w:rsidP="00A85829">
            <w:pPr>
              <w:jc w:val="right"/>
              <w:rPr>
                <w:sz w:val="20"/>
                <w:szCs w:val="20"/>
              </w:rPr>
            </w:pPr>
            <w:r w:rsidRPr="00FD75A9">
              <w:rPr>
                <w:sz w:val="20"/>
                <w:szCs w:val="20"/>
              </w:rPr>
              <w:t>48</w:t>
            </w:r>
          </w:p>
        </w:tc>
      </w:tr>
      <w:tr w:rsidR="00580A70" w:rsidRPr="00FD75A9" w14:paraId="0E42F2F1" w14:textId="77777777" w:rsidTr="00580A70">
        <w:trPr>
          <w:jc w:val="right"/>
        </w:trPr>
        <w:tc>
          <w:tcPr>
            <w:tcW w:w="757" w:type="pct"/>
            <w:shd w:val="clear" w:color="auto" w:fill="FAF9F8"/>
            <w:vAlign w:val="bottom"/>
          </w:tcPr>
          <w:p w14:paraId="11C48F92" w14:textId="5846540F" w:rsidR="00580A70" w:rsidRPr="00FD75A9" w:rsidRDefault="00580A70" w:rsidP="008F6E78">
            <w:pPr>
              <w:rPr>
                <w:sz w:val="20"/>
                <w:szCs w:val="20"/>
              </w:rPr>
            </w:pPr>
            <w:r w:rsidRPr="004F4004">
              <w:rPr>
                <w:rFonts w:eastAsia="Times New Roman" w:cs="Calibri"/>
                <w:color w:val="000000"/>
                <w:lang w:val="fr" w:eastAsia="en-AU"/>
              </w:rPr>
              <w:t>Objectif 2</w:t>
            </w:r>
          </w:p>
        </w:tc>
        <w:tc>
          <w:tcPr>
            <w:tcW w:w="657" w:type="pct"/>
            <w:shd w:val="clear" w:color="auto" w:fill="FAF9F8"/>
          </w:tcPr>
          <w:p w14:paraId="3CC49E38" w14:textId="641DB4B4" w:rsidR="00580A70" w:rsidRPr="00FD75A9" w:rsidRDefault="00580A70" w:rsidP="00A85829">
            <w:pPr>
              <w:jc w:val="right"/>
              <w:rPr>
                <w:sz w:val="20"/>
                <w:szCs w:val="20"/>
              </w:rPr>
            </w:pPr>
            <w:r w:rsidRPr="00FD75A9">
              <w:rPr>
                <w:sz w:val="20"/>
                <w:szCs w:val="20"/>
              </w:rPr>
              <w:t>5</w:t>
            </w:r>
          </w:p>
        </w:tc>
        <w:tc>
          <w:tcPr>
            <w:tcW w:w="657" w:type="pct"/>
            <w:shd w:val="clear" w:color="auto" w:fill="FAF9F8"/>
          </w:tcPr>
          <w:p w14:paraId="5DF69D70" w14:textId="7963C340" w:rsidR="00580A70" w:rsidRPr="00FD75A9" w:rsidRDefault="00580A70" w:rsidP="00A85829">
            <w:pPr>
              <w:jc w:val="right"/>
              <w:rPr>
                <w:sz w:val="20"/>
                <w:szCs w:val="20"/>
              </w:rPr>
            </w:pPr>
            <w:r w:rsidRPr="00FD75A9">
              <w:rPr>
                <w:sz w:val="20"/>
                <w:szCs w:val="20"/>
              </w:rPr>
              <w:t>19</w:t>
            </w:r>
          </w:p>
        </w:tc>
        <w:tc>
          <w:tcPr>
            <w:tcW w:w="657" w:type="pct"/>
            <w:shd w:val="clear" w:color="auto" w:fill="FAF9F8"/>
          </w:tcPr>
          <w:p w14:paraId="5902BC62" w14:textId="3140F7EF" w:rsidR="00580A70" w:rsidRPr="00FD75A9" w:rsidRDefault="00580A70" w:rsidP="00A85829">
            <w:pPr>
              <w:jc w:val="right"/>
              <w:rPr>
                <w:sz w:val="20"/>
                <w:szCs w:val="20"/>
              </w:rPr>
            </w:pPr>
            <w:r w:rsidRPr="00FD75A9">
              <w:rPr>
                <w:sz w:val="20"/>
                <w:szCs w:val="20"/>
              </w:rPr>
              <w:t>1</w:t>
            </w:r>
          </w:p>
        </w:tc>
        <w:tc>
          <w:tcPr>
            <w:tcW w:w="657" w:type="pct"/>
            <w:shd w:val="clear" w:color="auto" w:fill="FAF9F8"/>
          </w:tcPr>
          <w:p w14:paraId="5901EE9E" w14:textId="0A8DF466" w:rsidR="00580A70" w:rsidRPr="00FD75A9" w:rsidRDefault="00580A70" w:rsidP="00A85829">
            <w:pPr>
              <w:jc w:val="right"/>
              <w:rPr>
                <w:sz w:val="20"/>
                <w:szCs w:val="20"/>
              </w:rPr>
            </w:pPr>
            <w:r w:rsidRPr="00FD75A9">
              <w:rPr>
                <w:sz w:val="20"/>
                <w:szCs w:val="20"/>
              </w:rPr>
              <w:t>0</w:t>
            </w:r>
          </w:p>
        </w:tc>
        <w:tc>
          <w:tcPr>
            <w:tcW w:w="959" w:type="pct"/>
            <w:shd w:val="clear" w:color="auto" w:fill="FAF9F8"/>
          </w:tcPr>
          <w:p w14:paraId="3A2BF645" w14:textId="55E3E6FD" w:rsidR="00580A70" w:rsidRPr="00FD75A9" w:rsidRDefault="00580A70" w:rsidP="00A85829">
            <w:pPr>
              <w:jc w:val="right"/>
              <w:rPr>
                <w:sz w:val="20"/>
                <w:szCs w:val="20"/>
              </w:rPr>
            </w:pPr>
            <w:r w:rsidRPr="00FD75A9">
              <w:rPr>
                <w:sz w:val="20"/>
                <w:szCs w:val="20"/>
              </w:rPr>
              <w:t>0</w:t>
            </w:r>
          </w:p>
        </w:tc>
        <w:tc>
          <w:tcPr>
            <w:tcW w:w="657" w:type="pct"/>
            <w:shd w:val="clear" w:color="auto" w:fill="FAF9F8"/>
          </w:tcPr>
          <w:p w14:paraId="43938ADC" w14:textId="56102FA3" w:rsidR="00580A70" w:rsidRPr="00FD75A9" w:rsidRDefault="00580A70" w:rsidP="00A85829">
            <w:pPr>
              <w:jc w:val="right"/>
              <w:rPr>
                <w:sz w:val="20"/>
                <w:szCs w:val="20"/>
              </w:rPr>
            </w:pPr>
            <w:r w:rsidRPr="00FD75A9">
              <w:rPr>
                <w:sz w:val="20"/>
                <w:szCs w:val="20"/>
              </w:rPr>
              <w:t>25</w:t>
            </w:r>
          </w:p>
        </w:tc>
      </w:tr>
      <w:tr w:rsidR="00FD75A9" w:rsidRPr="00FD75A9" w14:paraId="339FBA49" w14:textId="77777777" w:rsidTr="00580A70">
        <w:trPr>
          <w:jc w:val="right"/>
        </w:trPr>
        <w:tc>
          <w:tcPr>
            <w:tcW w:w="757" w:type="pct"/>
            <w:shd w:val="clear" w:color="auto" w:fill="E4E9F3"/>
          </w:tcPr>
          <w:p w14:paraId="396EB2EF" w14:textId="4F676013" w:rsidR="008F6E78" w:rsidRPr="00FD75A9" w:rsidRDefault="00580A70" w:rsidP="008F6E78">
            <w:pPr>
              <w:rPr>
                <w:b/>
                <w:sz w:val="20"/>
                <w:szCs w:val="20"/>
              </w:rPr>
            </w:pPr>
            <w:r w:rsidRPr="004F4004">
              <w:rPr>
                <w:rFonts w:eastAsia="Times New Roman" w:cs="Calibri"/>
                <w:b/>
                <w:bCs/>
                <w:color w:val="000000"/>
                <w:lang w:val="fr" w:eastAsia="en-AU"/>
              </w:rPr>
              <w:t>En général</w:t>
            </w:r>
          </w:p>
        </w:tc>
        <w:tc>
          <w:tcPr>
            <w:tcW w:w="657" w:type="pct"/>
            <w:shd w:val="clear" w:color="auto" w:fill="E4E9F3"/>
          </w:tcPr>
          <w:p w14:paraId="66D35B2E" w14:textId="6C1F6670" w:rsidR="008F6E78" w:rsidRPr="00FD75A9" w:rsidRDefault="002D06EB" w:rsidP="00A85829">
            <w:pPr>
              <w:jc w:val="right"/>
              <w:rPr>
                <w:b/>
                <w:sz w:val="20"/>
                <w:szCs w:val="20"/>
              </w:rPr>
            </w:pPr>
            <w:r w:rsidRPr="00FD75A9">
              <w:rPr>
                <w:b/>
                <w:sz w:val="20"/>
                <w:szCs w:val="20"/>
              </w:rPr>
              <w:t>17</w:t>
            </w:r>
          </w:p>
        </w:tc>
        <w:tc>
          <w:tcPr>
            <w:tcW w:w="657" w:type="pct"/>
            <w:shd w:val="clear" w:color="auto" w:fill="E4E9F3"/>
          </w:tcPr>
          <w:p w14:paraId="555DE42D" w14:textId="01DE0960" w:rsidR="008F6E78" w:rsidRPr="00FD75A9" w:rsidRDefault="00E732EA" w:rsidP="00A85829">
            <w:pPr>
              <w:jc w:val="right"/>
              <w:rPr>
                <w:b/>
                <w:sz w:val="20"/>
                <w:szCs w:val="20"/>
              </w:rPr>
            </w:pPr>
            <w:r w:rsidRPr="00FD75A9">
              <w:rPr>
                <w:b/>
                <w:sz w:val="20"/>
                <w:szCs w:val="20"/>
              </w:rPr>
              <w:t>47</w:t>
            </w:r>
          </w:p>
        </w:tc>
        <w:tc>
          <w:tcPr>
            <w:tcW w:w="657" w:type="pct"/>
            <w:shd w:val="clear" w:color="auto" w:fill="E4E9F3"/>
          </w:tcPr>
          <w:p w14:paraId="0E0784D7" w14:textId="3E1A60AC" w:rsidR="008F6E78" w:rsidRPr="00FD75A9" w:rsidRDefault="00E732EA" w:rsidP="00A85829">
            <w:pPr>
              <w:jc w:val="right"/>
              <w:rPr>
                <w:b/>
                <w:sz w:val="20"/>
                <w:szCs w:val="20"/>
              </w:rPr>
            </w:pPr>
            <w:r w:rsidRPr="00FD75A9">
              <w:rPr>
                <w:b/>
                <w:sz w:val="20"/>
                <w:szCs w:val="20"/>
              </w:rPr>
              <w:t>9</w:t>
            </w:r>
          </w:p>
        </w:tc>
        <w:tc>
          <w:tcPr>
            <w:tcW w:w="657" w:type="pct"/>
            <w:shd w:val="clear" w:color="auto" w:fill="E4E9F3"/>
          </w:tcPr>
          <w:p w14:paraId="517FF48F" w14:textId="794A6643" w:rsidR="008F6E78" w:rsidRPr="00FD75A9" w:rsidRDefault="002D06EB" w:rsidP="00A85829">
            <w:pPr>
              <w:jc w:val="right"/>
              <w:rPr>
                <w:b/>
                <w:sz w:val="20"/>
                <w:szCs w:val="20"/>
              </w:rPr>
            </w:pPr>
            <w:r w:rsidRPr="00FD75A9">
              <w:rPr>
                <w:b/>
                <w:sz w:val="20"/>
                <w:szCs w:val="20"/>
              </w:rPr>
              <w:t>0</w:t>
            </w:r>
          </w:p>
        </w:tc>
        <w:tc>
          <w:tcPr>
            <w:tcW w:w="959" w:type="pct"/>
            <w:shd w:val="clear" w:color="auto" w:fill="E4E9F3"/>
          </w:tcPr>
          <w:p w14:paraId="34D60497" w14:textId="77327FCE" w:rsidR="008F6E78" w:rsidRPr="00FD75A9" w:rsidRDefault="002D06EB" w:rsidP="00A85829">
            <w:pPr>
              <w:jc w:val="right"/>
              <w:rPr>
                <w:b/>
                <w:sz w:val="20"/>
                <w:szCs w:val="20"/>
              </w:rPr>
            </w:pPr>
            <w:r w:rsidRPr="00FD75A9">
              <w:rPr>
                <w:b/>
                <w:sz w:val="20"/>
                <w:szCs w:val="20"/>
              </w:rPr>
              <w:t>0</w:t>
            </w:r>
          </w:p>
        </w:tc>
        <w:tc>
          <w:tcPr>
            <w:tcW w:w="657" w:type="pct"/>
            <w:shd w:val="clear" w:color="auto" w:fill="E4E9F3"/>
          </w:tcPr>
          <w:p w14:paraId="117AEB40" w14:textId="77777777" w:rsidR="008F6E78" w:rsidRPr="00FD75A9" w:rsidRDefault="00BF0891" w:rsidP="00A85829">
            <w:pPr>
              <w:jc w:val="right"/>
              <w:rPr>
                <w:b/>
                <w:sz w:val="20"/>
                <w:szCs w:val="20"/>
              </w:rPr>
            </w:pPr>
            <w:r w:rsidRPr="00FD75A9">
              <w:rPr>
                <w:b/>
                <w:sz w:val="20"/>
                <w:szCs w:val="20"/>
              </w:rPr>
              <w:t>73</w:t>
            </w:r>
          </w:p>
        </w:tc>
      </w:tr>
    </w:tbl>
    <w:p w14:paraId="0A14190C" w14:textId="77777777" w:rsidR="008E35C9" w:rsidRDefault="008E35C9">
      <w:r>
        <w:br w:type="page"/>
      </w:r>
    </w:p>
    <w:p w14:paraId="3CBA0824" w14:textId="7064798F" w:rsidR="008E35C9" w:rsidRPr="008E35C9" w:rsidRDefault="00F32BFA" w:rsidP="0094489E">
      <w:pPr>
        <w:pStyle w:val="Heading1"/>
      </w:pPr>
      <w:bookmarkStart w:id="11" w:name="_Toc153226824"/>
      <w:r w:rsidRPr="00F32BFA">
        <w:lastRenderedPageBreak/>
        <w:t xml:space="preserve">Plan </w:t>
      </w:r>
      <w:proofErr w:type="spellStart"/>
      <w:r w:rsidRPr="00F32BFA">
        <w:t>d’actions</w:t>
      </w:r>
      <w:proofErr w:type="spellEnd"/>
      <w:r w:rsidRPr="00F32BFA">
        <w:t xml:space="preserve"> </w:t>
      </w:r>
      <w:proofErr w:type="spellStart"/>
      <w:r w:rsidRPr="00F32BFA">
        <w:t>ciblé</w:t>
      </w:r>
      <w:proofErr w:type="spellEnd"/>
      <w:r w:rsidRPr="00F32BFA">
        <w:t xml:space="preserve"> Attitudes des </w:t>
      </w:r>
      <w:proofErr w:type="spellStart"/>
      <w:r w:rsidRPr="00F32BFA">
        <w:t>communautés</w:t>
      </w:r>
      <w:bookmarkEnd w:id="11"/>
      <w:proofErr w:type="spellEnd"/>
    </w:p>
    <w:p w14:paraId="25168A5F" w14:textId="4557F526" w:rsidR="00DA227A" w:rsidRPr="00DA227A" w:rsidRDefault="008E35C9" w:rsidP="00515A1C">
      <w:pPr>
        <w:pStyle w:val="Heading2"/>
        <w:pBdr>
          <w:top w:val="none" w:sz="0" w:space="0" w:color="auto"/>
        </w:pBdr>
      </w:pPr>
      <w:bookmarkStart w:id="12" w:name="_Toc153226825"/>
      <w:r w:rsidRPr="00DA227A">
        <w:t>Introduction</w:t>
      </w:r>
      <w:bookmarkEnd w:id="12"/>
      <w:r w:rsidRPr="00DA227A">
        <w:t xml:space="preserve"> </w:t>
      </w:r>
    </w:p>
    <w:p w14:paraId="70DE18E6" w14:textId="77777777" w:rsidR="00F32BFA" w:rsidRPr="00B74F34" w:rsidRDefault="00F32BFA" w:rsidP="00F32BFA">
      <w:pPr>
        <w:spacing w:after="120" w:line="240" w:lineRule="auto"/>
        <w:rPr>
          <w:rFonts w:cs="Arial"/>
          <w:lang w:val="fr-FR"/>
        </w:rPr>
      </w:pPr>
      <w:r>
        <w:rPr>
          <w:lang w:val="fr-FR"/>
        </w:rPr>
        <w:t xml:space="preserve">Le PAC Attitudes des communautés a été conçu pour stimuler les avancées dans le domaine de résultats Attitudes des communautés de la Stratégie. </w:t>
      </w:r>
    </w:p>
    <w:p w14:paraId="136E3468" w14:textId="77777777" w:rsidR="00F32BFA" w:rsidRPr="00FF30B1" w:rsidRDefault="00F32BFA" w:rsidP="00F32BFA">
      <w:pPr>
        <w:spacing w:after="120" w:line="240" w:lineRule="auto"/>
        <w:rPr>
          <w:rFonts w:cs="Arial"/>
          <w:lang w:val="fr-FR"/>
        </w:rPr>
      </w:pPr>
      <w:r>
        <w:rPr>
          <w:lang w:val="fr-FR"/>
        </w:rPr>
        <w:t xml:space="preserve">Ce domaine de résultats vise une amélioration des attitudes des communautés et a pour objectif que les personnes en situation de handicap soient traitées de façon égale et inclusive et participent de manière pleine et entière à la société australienne. </w:t>
      </w:r>
    </w:p>
    <w:p w14:paraId="05DD2F36" w14:textId="77777777" w:rsidR="00F32BFA" w:rsidRPr="00FF30B1" w:rsidRDefault="00F32BFA" w:rsidP="00F32BFA">
      <w:pPr>
        <w:spacing w:after="120" w:line="240" w:lineRule="auto"/>
        <w:rPr>
          <w:rFonts w:cs="Arial"/>
          <w:lang w:val="fr-FR"/>
        </w:rPr>
      </w:pPr>
      <w:r>
        <w:rPr>
          <w:lang w:val="fr-FR"/>
        </w:rPr>
        <w:t xml:space="preserve">Dans le cadre du PAC Attitudes des communautés, 63 actions ont été menées par le gouvernement fédéral et ceux des États et Territoires au cours de la période 2022-2023. </w:t>
      </w:r>
    </w:p>
    <w:p w14:paraId="5EC619F1" w14:textId="1168CB4A" w:rsidR="00F32BFA" w:rsidRDefault="00F32BFA" w:rsidP="00F32BFA">
      <w:pPr>
        <w:spacing w:after="120" w:line="240" w:lineRule="auto"/>
      </w:pPr>
      <w:r>
        <w:rPr>
          <w:lang w:val="fr-FR"/>
        </w:rPr>
        <w:t>Il s’agit notamment d’actions pour gagner la confiance des professionnels dans le handicap, organiser des activités éducatives et de mobilisation des communautés et concevoir des ressources de formation du personnel de terrain afin d’améliorer leur compréhension du handicap.</w:t>
      </w:r>
    </w:p>
    <w:p w14:paraId="02B52D26" w14:textId="1D76862B" w:rsidR="008E35C9" w:rsidRPr="00F32BFA" w:rsidRDefault="00F32BFA" w:rsidP="0039316A">
      <w:pPr>
        <w:pStyle w:val="Heading2"/>
      </w:pPr>
      <w:bookmarkStart w:id="13" w:name="_Toc153226826"/>
      <w:r w:rsidRPr="00F32BFA">
        <w:rPr>
          <w:lang w:val="fr-FR"/>
        </w:rPr>
        <w:t>Objectifs</w:t>
      </w:r>
      <w:bookmarkEnd w:id="13"/>
    </w:p>
    <w:p w14:paraId="7B91A9E6" w14:textId="33781D69" w:rsidR="008E35C9" w:rsidRDefault="00F32BFA" w:rsidP="0039316A">
      <w:pPr>
        <w:pStyle w:val="ListParagraph"/>
        <w:numPr>
          <w:ilvl w:val="0"/>
          <w:numId w:val="39"/>
        </w:numPr>
        <w:spacing w:before="120" w:after="120" w:line="240" w:lineRule="auto"/>
        <w:contextualSpacing w:val="0"/>
      </w:pPr>
      <w:r>
        <w:rPr>
          <w:lang w:val="fr-FR"/>
        </w:rPr>
        <w:t>Les employeurs valorisent la contribution professionnelle des personnes en situation de handicap à l’entreprise et reconnaissent l’intérêt qu’il y a à les employer.</w:t>
      </w:r>
    </w:p>
    <w:p w14:paraId="1E2FC502" w14:textId="71584BAF" w:rsidR="008E35C9" w:rsidRDefault="00F32BFA" w:rsidP="0039316A">
      <w:pPr>
        <w:pStyle w:val="ListParagraph"/>
        <w:numPr>
          <w:ilvl w:val="0"/>
          <w:numId w:val="39"/>
        </w:numPr>
        <w:spacing w:before="120" w:after="120" w:line="240" w:lineRule="auto"/>
        <w:contextualSpacing w:val="0"/>
      </w:pPr>
      <w:r>
        <w:rPr>
          <w:lang w:val="fr-FR"/>
        </w:rPr>
        <w:t>Le personnel des entreprises sait s’adapter aux besoins des personnes en situation de handicap, avec assurance et de façon positive.</w:t>
      </w:r>
    </w:p>
    <w:p w14:paraId="29A5B039" w14:textId="10929374" w:rsidR="008E35C9" w:rsidRDefault="00F32BFA" w:rsidP="0039316A">
      <w:pPr>
        <w:pStyle w:val="ListParagraph"/>
        <w:numPr>
          <w:ilvl w:val="0"/>
          <w:numId w:val="39"/>
        </w:numPr>
        <w:spacing w:before="120" w:after="120" w:line="240" w:lineRule="auto"/>
        <w:contextualSpacing w:val="0"/>
      </w:pPr>
      <w:r>
        <w:rPr>
          <w:lang w:val="fr-FR"/>
        </w:rPr>
        <w:t>Les personnes en situation de handicap sont davantage représentées aux postes de direction.</w:t>
      </w:r>
    </w:p>
    <w:p w14:paraId="54665405" w14:textId="76817C00" w:rsidR="008E35C9" w:rsidRDefault="003427CF" w:rsidP="0039316A">
      <w:pPr>
        <w:pStyle w:val="ListParagraph"/>
        <w:numPr>
          <w:ilvl w:val="0"/>
          <w:numId w:val="39"/>
        </w:numPr>
        <w:spacing w:before="120" w:after="120" w:line="240" w:lineRule="auto"/>
        <w:contextualSpacing w:val="0"/>
      </w:pPr>
      <w:r>
        <w:rPr>
          <w:lang w:val="fr-FR"/>
        </w:rPr>
        <w:t>Améliorer les attitudes des communautés envers les personnes en situation de handicap pour contribuer positivement aux Mesures prioritaires visées par la Stratégie.</w:t>
      </w:r>
    </w:p>
    <w:p w14:paraId="16881111" w14:textId="77777777" w:rsidR="008E35C9" w:rsidRDefault="008E35C9">
      <w:r>
        <w:br w:type="page"/>
      </w:r>
    </w:p>
    <w:p w14:paraId="7D038539" w14:textId="3F5763B3" w:rsidR="008E35C9" w:rsidRPr="0066071F" w:rsidRDefault="000D6E43" w:rsidP="0066071F">
      <w:pPr>
        <w:rPr>
          <w:b/>
          <w:bCs/>
          <w:color w:val="6C1740"/>
          <w:sz w:val="94"/>
          <w:szCs w:val="94"/>
        </w:rPr>
      </w:pPr>
      <w:r w:rsidRPr="000D6E43">
        <w:rPr>
          <w:b/>
          <w:bCs/>
          <w:color w:val="6C1740"/>
          <w:sz w:val="94"/>
          <w:szCs w:val="94"/>
        </w:rPr>
        <w:lastRenderedPageBreak/>
        <w:t xml:space="preserve">PAC Attitudes des </w:t>
      </w:r>
      <w:proofErr w:type="spellStart"/>
      <w:r w:rsidRPr="000D6E43">
        <w:rPr>
          <w:b/>
          <w:bCs/>
          <w:color w:val="6C1740"/>
          <w:sz w:val="94"/>
          <w:szCs w:val="94"/>
        </w:rPr>
        <w:t>communautés</w:t>
      </w:r>
      <w:proofErr w:type="spellEnd"/>
    </w:p>
    <w:p w14:paraId="0F92551D" w14:textId="2E94B1AB" w:rsidR="008E35C9" w:rsidRDefault="000D6E43" w:rsidP="00A64246">
      <w:pPr>
        <w:spacing w:before="240" w:after="240" w:line="240" w:lineRule="auto"/>
      </w:pPr>
      <w:r>
        <w:rPr>
          <w:lang w:val="fr-FR"/>
        </w:rPr>
        <w:t>Tableau 5 : PAC Attitudes des communautés – État d’avancement des actions par gouvernement 2022-2023</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637"/>
        <w:gridCol w:w="1135"/>
        <w:gridCol w:w="1294"/>
        <w:gridCol w:w="1294"/>
        <w:gridCol w:w="1294"/>
        <w:gridCol w:w="1294"/>
        <w:gridCol w:w="1294"/>
      </w:tblGrid>
      <w:tr w:rsidR="003134DE" w:rsidRPr="00C50630" w14:paraId="542AF0E4" w14:textId="77777777" w:rsidTr="003134DE">
        <w:trPr>
          <w:cantSplit/>
        </w:trPr>
        <w:tc>
          <w:tcPr>
            <w:tcW w:w="886" w:type="pct"/>
            <w:tcBorders>
              <w:bottom w:val="single" w:sz="4" w:space="0" w:color="auto"/>
            </w:tcBorders>
            <w:shd w:val="clear" w:color="auto" w:fill="6C1740"/>
            <w:noWrap/>
            <w:hideMark/>
          </w:tcPr>
          <w:p w14:paraId="5325089D" w14:textId="57C59BE0" w:rsidR="003134DE" w:rsidRPr="00C50630" w:rsidRDefault="003134DE" w:rsidP="00AF7CD8">
            <w:pPr>
              <w:spacing w:after="0" w:line="240" w:lineRule="auto"/>
              <w:rPr>
                <w:rFonts w:eastAsia="Times New Roman" w:cs="Arial"/>
                <w:b/>
                <w:color w:val="FFFFFF" w:themeColor="background1"/>
                <w:sz w:val="20"/>
                <w:szCs w:val="20"/>
                <w:lang w:eastAsia="en-AU"/>
              </w:rPr>
            </w:pPr>
            <w:bookmarkStart w:id="14" w:name="Title_05"/>
            <w:bookmarkEnd w:id="14"/>
            <w:r w:rsidRPr="00A86D39">
              <w:rPr>
                <w:rFonts w:eastAsia="Times New Roman" w:cs="Calibri"/>
                <w:b/>
                <w:bCs/>
                <w:color w:val="FFFFFF" w:themeColor="background1"/>
                <w:sz w:val="20"/>
                <w:szCs w:val="20"/>
                <w:lang w:val="fr" w:eastAsia="en-AU"/>
              </w:rPr>
              <w:t>Gouvernement</w:t>
            </w:r>
          </w:p>
        </w:tc>
        <w:tc>
          <w:tcPr>
            <w:tcW w:w="614" w:type="pct"/>
            <w:tcBorders>
              <w:bottom w:val="single" w:sz="4" w:space="0" w:color="auto"/>
            </w:tcBorders>
            <w:shd w:val="clear" w:color="auto" w:fill="6C1740"/>
            <w:hideMark/>
          </w:tcPr>
          <w:p w14:paraId="4EC8608D" w14:textId="51164567" w:rsidR="003134DE" w:rsidRPr="00C50630" w:rsidRDefault="003134DE" w:rsidP="00464AAF">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Finalisé</w:t>
            </w:r>
          </w:p>
        </w:tc>
        <w:tc>
          <w:tcPr>
            <w:tcW w:w="700" w:type="pct"/>
            <w:tcBorders>
              <w:bottom w:val="single" w:sz="4" w:space="0" w:color="auto"/>
            </w:tcBorders>
            <w:shd w:val="clear" w:color="auto" w:fill="6C1740"/>
            <w:noWrap/>
            <w:hideMark/>
          </w:tcPr>
          <w:p w14:paraId="782CE22D" w14:textId="3E38C0CB" w:rsidR="003134DE" w:rsidRPr="00C50630" w:rsidRDefault="003134DE" w:rsidP="00AF7CD8">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En bonne voie</w:t>
            </w:r>
          </w:p>
        </w:tc>
        <w:tc>
          <w:tcPr>
            <w:tcW w:w="700" w:type="pct"/>
            <w:tcBorders>
              <w:bottom w:val="single" w:sz="4" w:space="0" w:color="auto"/>
            </w:tcBorders>
            <w:shd w:val="clear" w:color="auto" w:fill="6C1740"/>
            <w:noWrap/>
            <w:hideMark/>
          </w:tcPr>
          <w:p w14:paraId="6CEDDA32" w14:textId="681A29A2" w:rsidR="003134DE" w:rsidRPr="00C50630" w:rsidRDefault="003134DE" w:rsidP="00AF7CD8">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Quelques retards</w:t>
            </w:r>
          </w:p>
        </w:tc>
        <w:tc>
          <w:tcPr>
            <w:tcW w:w="700" w:type="pct"/>
            <w:tcBorders>
              <w:bottom w:val="single" w:sz="4" w:space="0" w:color="auto"/>
            </w:tcBorders>
            <w:shd w:val="clear" w:color="auto" w:fill="6C1740"/>
            <w:noWrap/>
            <w:hideMark/>
          </w:tcPr>
          <w:p w14:paraId="7BD8A81F" w14:textId="229CD626" w:rsidR="003134DE" w:rsidRPr="00C50630" w:rsidRDefault="003134DE" w:rsidP="00AF7CD8">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En pause</w:t>
            </w:r>
          </w:p>
        </w:tc>
        <w:tc>
          <w:tcPr>
            <w:tcW w:w="700" w:type="pct"/>
            <w:tcBorders>
              <w:bottom w:val="single" w:sz="4" w:space="0" w:color="auto"/>
            </w:tcBorders>
            <w:shd w:val="clear" w:color="auto" w:fill="6C1740"/>
            <w:noWrap/>
            <w:hideMark/>
          </w:tcPr>
          <w:p w14:paraId="41B6A61F" w14:textId="5155BFBE" w:rsidR="003134DE" w:rsidRPr="00C50630" w:rsidRDefault="003134DE" w:rsidP="00AF7CD8">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Commencement à une date ultérieure</w:t>
            </w:r>
          </w:p>
        </w:tc>
        <w:tc>
          <w:tcPr>
            <w:tcW w:w="700" w:type="pct"/>
            <w:tcBorders>
              <w:bottom w:val="single" w:sz="4" w:space="0" w:color="auto"/>
            </w:tcBorders>
            <w:shd w:val="clear" w:color="auto" w:fill="6C1740"/>
            <w:noWrap/>
            <w:hideMark/>
          </w:tcPr>
          <w:p w14:paraId="170FCCA7" w14:textId="49E8CBF8" w:rsidR="003134DE" w:rsidRPr="00C50630" w:rsidRDefault="003134DE" w:rsidP="00AF7CD8">
            <w:pPr>
              <w:spacing w:after="0" w:line="240" w:lineRule="auto"/>
              <w:rPr>
                <w:rFonts w:eastAsia="Times New Roman" w:cs="Arial"/>
                <w:b/>
                <w:color w:val="FFFFFF" w:themeColor="background1"/>
                <w:sz w:val="20"/>
                <w:szCs w:val="20"/>
                <w:lang w:eastAsia="en-AU"/>
              </w:rPr>
            </w:pPr>
            <w:r w:rsidRPr="00A86D39">
              <w:rPr>
                <w:b/>
                <w:color w:val="FFFFFF" w:themeColor="background1"/>
                <w:sz w:val="20"/>
                <w:szCs w:val="20"/>
              </w:rPr>
              <w:t>Total</w:t>
            </w:r>
          </w:p>
        </w:tc>
      </w:tr>
      <w:tr w:rsidR="00FC6D39" w:rsidRPr="00C50630" w14:paraId="69141F84" w14:textId="77777777" w:rsidTr="003134DE">
        <w:trPr>
          <w:cantSplit/>
        </w:trPr>
        <w:tc>
          <w:tcPr>
            <w:tcW w:w="886" w:type="pct"/>
            <w:tcBorders>
              <w:top w:val="single" w:sz="4" w:space="0" w:color="auto"/>
              <w:bottom w:val="single" w:sz="4" w:space="0" w:color="auto"/>
              <w:right w:val="single" w:sz="4" w:space="0" w:color="auto"/>
            </w:tcBorders>
            <w:noWrap/>
            <w:hideMark/>
          </w:tcPr>
          <w:p w14:paraId="0E684CF2" w14:textId="2261B27F"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Australian Government</w:t>
            </w:r>
          </w:p>
        </w:tc>
        <w:tc>
          <w:tcPr>
            <w:tcW w:w="614" w:type="pct"/>
            <w:tcBorders>
              <w:top w:val="single" w:sz="4" w:space="0" w:color="auto"/>
              <w:left w:val="single" w:sz="4" w:space="0" w:color="auto"/>
              <w:bottom w:val="single" w:sz="4" w:space="0" w:color="auto"/>
              <w:right w:val="single" w:sz="4" w:space="0" w:color="auto"/>
            </w:tcBorders>
            <w:noWrap/>
            <w:hideMark/>
          </w:tcPr>
          <w:p w14:paraId="525CABE4" w14:textId="14FB7431"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483B2AB6" w14:textId="0DA52DC8"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25E54EFE"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C50630" w:rsidRPr="00C50630" w14:paraId="011FD45A" w14:textId="77777777" w:rsidTr="003134DE">
        <w:trPr>
          <w:cantSplit/>
        </w:trPr>
        <w:tc>
          <w:tcPr>
            <w:tcW w:w="886" w:type="pct"/>
            <w:tcBorders>
              <w:top w:val="single" w:sz="4" w:space="0" w:color="auto"/>
              <w:bottom w:val="single" w:sz="4" w:space="0" w:color="auto"/>
              <w:right w:val="single" w:sz="4" w:space="0" w:color="auto"/>
            </w:tcBorders>
            <w:shd w:val="clear" w:color="auto" w:fill="FAF9F8"/>
            <w:noWrap/>
            <w:hideMark/>
          </w:tcPr>
          <w:p w14:paraId="440A0277"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NSW</w:t>
            </w:r>
          </w:p>
        </w:tc>
        <w:tc>
          <w:tcPr>
            <w:tcW w:w="614"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03F8D62"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FC6D39" w:rsidRPr="00C50630" w14:paraId="3B34EBDC" w14:textId="77777777" w:rsidTr="003134DE">
        <w:trPr>
          <w:cantSplit/>
        </w:trPr>
        <w:tc>
          <w:tcPr>
            <w:tcW w:w="886" w:type="pct"/>
            <w:tcBorders>
              <w:top w:val="single" w:sz="4" w:space="0" w:color="auto"/>
              <w:bottom w:val="single" w:sz="4" w:space="0" w:color="auto"/>
              <w:right w:val="single" w:sz="4" w:space="0" w:color="auto"/>
            </w:tcBorders>
            <w:noWrap/>
            <w:hideMark/>
          </w:tcPr>
          <w:p w14:paraId="3D223BD0"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VIC</w:t>
            </w:r>
          </w:p>
        </w:tc>
        <w:tc>
          <w:tcPr>
            <w:tcW w:w="614" w:type="pct"/>
            <w:tcBorders>
              <w:top w:val="single" w:sz="4" w:space="0" w:color="auto"/>
              <w:left w:val="single" w:sz="4" w:space="0" w:color="auto"/>
              <w:bottom w:val="single" w:sz="4" w:space="0" w:color="auto"/>
              <w:right w:val="single" w:sz="4" w:space="0" w:color="auto"/>
            </w:tcBorders>
            <w:noWrap/>
            <w:hideMark/>
          </w:tcPr>
          <w:p w14:paraId="655D8077"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noWrap/>
            <w:hideMark/>
          </w:tcPr>
          <w:p w14:paraId="4F163BBB"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19CF27C2"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C50630" w:rsidRPr="00C50630" w14:paraId="34A542D6" w14:textId="77777777" w:rsidTr="003134DE">
        <w:trPr>
          <w:cantSplit/>
        </w:trPr>
        <w:tc>
          <w:tcPr>
            <w:tcW w:w="886" w:type="pct"/>
            <w:tcBorders>
              <w:top w:val="single" w:sz="4" w:space="0" w:color="auto"/>
              <w:bottom w:val="single" w:sz="4" w:space="0" w:color="auto"/>
              <w:right w:val="single" w:sz="4" w:space="0" w:color="auto"/>
            </w:tcBorders>
            <w:shd w:val="clear" w:color="auto" w:fill="FAF9F8"/>
            <w:noWrap/>
            <w:hideMark/>
          </w:tcPr>
          <w:p w14:paraId="78491B1A"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QLD</w:t>
            </w:r>
          </w:p>
        </w:tc>
        <w:tc>
          <w:tcPr>
            <w:tcW w:w="614"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338C9E64"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12</w:t>
            </w:r>
          </w:p>
        </w:tc>
      </w:tr>
      <w:tr w:rsidR="00FC6D39" w:rsidRPr="00C50630" w14:paraId="0CFE8738" w14:textId="77777777" w:rsidTr="003134DE">
        <w:trPr>
          <w:cantSplit/>
        </w:trPr>
        <w:tc>
          <w:tcPr>
            <w:tcW w:w="886" w:type="pct"/>
            <w:tcBorders>
              <w:top w:val="single" w:sz="4" w:space="0" w:color="auto"/>
              <w:bottom w:val="single" w:sz="4" w:space="0" w:color="auto"/>
              <w:right w:val="single" w:sz="4" w:space="0" w:color="auto"/>
            </w:tcBorders>
            <w:noWrap/>
            <w:hideMark/>
          </w:tcPr>
          <w:p w14:paraId="4301E3C8"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WA</w:t>
            </w:r>
          </w:p>
        </w:tc>
        <w:tc>
          <w:tcPr>
            <w:tcW w:w="614" w:type="pct"/>
            <w:tcBorders>
              <w:top w:val="single" w:sz="4" w:space="0" w:color="auto"/>
              <w:left w:val="single" w:sz="4" w:space="0" w:color="auto"/>
              <w:bottom w:val="single" w:sz="4" w:space="0" w:color="auto"/>
              <w:right w:val="single" w:sz="4" w:space="0" w:color="auto"/>
            </w:tcBorders>
            <w:noWrap/>
            <w:hideMark/>
          </w:tcPr>
          <w:p w14:paraId="3A8C59E8"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3561E27D"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3A02803D"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C50630" w:rsidRPr="00C50630" w14:paraId="570A6B8E" w14:textId="77777777" w:rsidTr="003134DE">
        <w:trPr>
          <w:cantSplit/>
        </w:trPr>
        <w:tc>
          <w:tcPr>
            <w:tcW w:w="886" w:type="pct"/>
            <w:tcBorders>
              <w:top w:val="single" w:sz="4" w:space="0" w:color="auto"/>
              <w:bottom w:val="single" w:sz="4" w:space="0" w:color="auto"/>
              <w:right w:val="single" w:sz="4" w:space="0" w:color="auto"/>
            </w:tcBorders>
            <w:shd w:val="clear" w:color="auto" w:fill="FAF9F8"/>
            <w:noWrap/>
            <w:hideMark/>
          </w:tcPr>
          <w:p w14:paraId="1B9627C4"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SA</w:t>
            </w:r>
          </w:p>
        </w:tc>
        <w:tc>
          <w:tcPr>
            <w:tcW w:w="614"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043A98F4"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FC6D39" w:rsidRPr="00C50630" w14:paraId="4497C1F9" w14:textId="77777777" w:rsidTr="003134DE">
        <w:trPr>
          <w:cantSplit/>
        </w:trPr>
        <w:tc>
          <w:tcPr>
            <w:tcW w:w="886" w:type="pct"/>
            <w:tcBorders>
              <w:top w:val="single" w:sz="4" w:space="0" w:color="auto"/>
              <w:bottom w:val="single" w:sz="4" w:space="0" w:color="auto"/>
              <w:right w:val="single" w:sz="4" w:space="0" w:color="auto"/>
            </w:tcBorders>
            <w:noWrap/>
            <w:hideMark/>
          </w:tcPr>
          <w:p w14:paraId="45CD1927"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TAS</w:t>
            </w:r>
          </w:p>
        </w:tc>
        <w:tc>
          <w:tcPr>
            <w:tcW w:w="614" w:type="pct"/>
            <w:tcBorders>
              <w:top w:val="single" w:sz="4" w:space="0" w:color="auto"/>
              <w:left w:val="single" w:sz="4" w:space="0" w:color="auto"/>
              <w:bottom w:val="single" w:sz="4" w:space="0" w:color="auto"/>
              <w:right w:val="single" w:sz="4" w:space="0" w:color="auto"/>
            </w:tcBorders>
            <w:noWrap/>
            <w:hideMark/>
          </w:tcPr>
          <w:p w14:paraId="684ABC97"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631DB6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4A9155DC"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C50630" w:rsidRPr="00C50630" w14:paraId="13025BEA" w14:textId="77777777" w:rsidTr="003134DE">
        <w:trPr>
          <w:cantSplit/>
        </w:trPr>
        <w:tc>
          <w:tcPr>
            <w:tcW w:w="886" w:type="pct"/>
            <w:tcBorders>
              <w:top w:val="single" w:sz="4" w:space="0" w:color="auto"/>
              <w:bottom w:val="single" w:sz="4" w:space="0" w:color="auto"/>
              <w:right w:val="single" w:sz="4" w:space="0" w:color="auto"/>
            </w:tcBorders>
            <w:shd w:val="clear" w:color="auto" w:fill="FAF9F8"/>
            <w:noWrap/>
            <w:hideMark/>
          </w:tcPr>
          <w:p w14:paraId="0CF93A43"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ACT</w:t>
            </w:r>
          </w:p>
        </w:tc>
        <w:tc>
          <w:tcPr>
            <w:tcW w:w="614"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C7D03A9"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FC6D39" w:rsidRPr="00C50630" w14:paraId="26A1A333" w14:textId="77777777" w:rsidTr="003134DE">
        <w:trPr>
          <w:cantSplit/>
        </w:trPr>
        <w:tc>
          <w:tcPr>
            <w:tcW w:w="886" w:type="pct"/>
            <w:tcBorders>
              <w:top w:val="single" w:sz="4" w:space="0" w:color="auto"/>
              <w:bottom w:val="single" w:sz="4" w:space="0" w:color="auto"/>
              <w:right w:val="single" w:sz="4" w:space="0" w:color="auto"/>
            </w:tcBorders>
            <w:noWrap/>
            <w:hideMark/>
          </w:tcPr>
          <w:p w14:paraId="5C8CDAAD" w14:textId="77777777" w:rsidR="00AF7CD8" w:rsidRPr="00C50630" w:rsidRDefault="00AF7CD8"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NT</w:t>
            </w:r>
          </w:p>
        </w:tc>
        <w:tc>
          <w:tcPr>
            <w:tcW w:w="614" w:type="pct"/>
            <w:tcBorders>
              <w:top w:val="single" w:sz="4" w:space="0" w:color="auto"/>
              <w:left w:val="single" w:sz="4" w:space="0" w:color="auto"/>
              <w:bottom w:val="single" w:sz="4" w:space="0" w:color="auto"/>
              <w:right w:val="single" w:sz="4" w:space="0" w:color="auto"/>
            </w:tcBorders>
            <w:noWrap/>
            <w:hideMark/>
          </w:tcPr>
          <w:p w14:paraId="22AE014E"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0874DABE"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789C7E2E"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C50630" w:rsidRPr="00C50630" w14:paraId="15E63C6A" w14:textId="77777777" w:rsidTr="003134DE">
        <w:trPr>
          <w:cantSplit/>
        </w:trPr>
        <w:tc>
          <w:tcPr>
            <w:tcW w:w="886" w:type="pct"/>
            <w:tcBorders>
              <w:top w:val="single" w:sz="4" w:space="0" w:color="auto"/>
              <w:bottom w:val="nil"/>
              <w:right w:val="single" w:sz="4" w:space="0" w:color="auto"/>
            </w:tcBorders>
            <w:shd w:val="clear" w:color="auto" w:fill="E4E9F3"/>
            <w:noWrap/>
            <w:hideMark/>
          </w:tcPr>
          <w:p w14:paraId="21FE9201" w14:textId="752B312C" w:rsidR="00AF7CD8" w:rsidRPr="00C50630" w:rsidRDefault="00007D26" w:rsidP="002A249B">
            <w:pPr>
              <w:spacing w:after="0" w:line="240" w:lineRule="auto"/>
              <w:rPr>
                <w:rFonts w:eastAsia="Times New Roman" w:cs="Arial"/>
                <w:b/>
                <w:color w:val="000000"/>
                <w:sz w:val="20"/>
                <w:szCs w:val="20"/>
                <w:lang w:eastAsia="en-AU"/>
              </w:rPr>
            </w:pPr>
            <w:r w:rsidRPr="004F4004">
              <w:rPr>
                <w:rFonts w:eastAsia="Times New Roman" w:cs="Calibri"/>
                <w:b/>
                <w:bCs/>
                <w:color w:val="000000"/>
                <w:lang w:val="fr" w:eastAsia="en-AU"/>
              </w:rPr>
              <w:t>Total national</w:t>
            </w:r>
          </w:p>
        </w:tc>
        <w:tc>
          <w:tcPr>
            <w:tcW w:w="614"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tcBorders>
            <w:shd w:val="clear" w:color="auto" w:fill="E4E9F3"/>
            <w:noWrap/>
            <w:hideMark/>
          </w:tcPr>
          <w:p w14:paraId="24A2D58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2DDB32D0" w14:textId="4F966D1D" w:rsidR="008E35C9" w:rsidRDefault="000D6E43" w:rsidP="00F52039">
      <w:pPr>
        <w:spacing w:before="240" w:after="240" w:line="240" w:lineRule="auto"/>
      </w:pPr>
      <w:r>
        <w:rPr>
          <w:lang w:val="fr-FR"/>
        </w:rPr>
        <w:t>Tableau 6 : PAC Attitudes des communautés – État d’avancement des actions par objectif en 2022-2023</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78"/>
        <w:gridCol w:w="1294"/>
        <w:gridCol w:w="1294"/>
        <w:gridCol w:w="1294"/>
        <w:gridCol w:w="1294"/>
        <w:gridCol w:w="1294"/>
        <w:gridCol w:w="1294"/>
      </w:tblGrid>
      <w:tr w:rsidR="003134DE" w:rsidRPr="00C50630" w14:paraId="4DE237A4" w14:textId="77777777" w:rsidTr="00504E88">
        <w:tc>
          <w:tcPr>
            <w:tcW w:w="800" w:type="pct"/>
            <w:tcBorders>
              <w:top w:val="nil"/>
              <w:bottom w:val="single" w:sz="4" w:space="0" w:color="auto"/>
              <w:right w:val="single" w:sz="4" w:space="0" w:color="FFFFFF" w:themeColor="background1"/>
            </w:tcBorders>
            <w:shd w:val="clear" w:color="auto" w:fill="6C1740"/>
            <w:noWrap/>
            <w:hideMark/>
          </w:tcPr>
          <w:p w14:paraId="1D46DBEB" w14:textId="703475D3" w:rsidR="003134DE" w:rsidRPr="00C50630" w:rsidRDefault="003134DE" w:rsidP="002A249B">
            <w:pPr>
              <w:spacing w:after="0" w:line="240" w:lineRule="auto"/>
              <w:rPr>
                <w:rFonts w:eastAsia="Times New Roman" w:cs="Arial"/>
                <w:b/>
                <w:color w:val="FFFFFF" w:themeColor="background1"/>
                <w:sz w:val="20"/>
                <w:szCs w:val="20"/>
                <w:lang w:eastAsia="en-AU"/>
              </w:rPr>
            </w:pPr>
            <w:bookmarkStart w:id="15" w:name="Title_06"/>
            <w:bookmarkEnd w:id="15"/>
            <w:r w:rsidRPr="00580A70">
              <w:rPr>
                <w:rFonts w:eastAsia="Times New Roman" w:cs="Calibri"/>
                <w:b/>
                <w:bCs/>
                <w:color w:val="FFFFFF" w:themeColor="background1"/>
                <w:lang w:val="fr" w:eastAsia="en-AU"/>
              </w:rPr>
              <w:t>Objectif</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7D2D76C7" w:rsidR="003134DE" w:rsidRPr="00C50630" w:rsidRDefault="003134DE" w:rsidP="00464AAF">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Finalisé</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352306E8" w:rsidR="003134DE" w:rsidRPr="00C50630" w:rsidRDefault="003134DE"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En bonne voie</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1BA86876" w:rsidR="003134DE" w:rsidRPr="00C50630" w:rsidRDefault="003134DE"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Quelques retards</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1D57D0A2" w:rsidR="003134DE" w:rsidRPr="00C50630" w:rsidRDefault="003134DE"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En pause</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0448DD21" w:rsidR="003134DE" w:rsidRPr="00C50630" w:rsidRDefault="003134DE"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Commencement à une date ultérieure</w:t>
            </w:r>
          </w:p>
        </w:tc>
        <w:tc>
          <w:tcPr>
            <w:tcW w:w="700" w:type="pct"/>
            <w:tcBorders>
              <w:top w:val="nil"/>
              <w:left w:val="single" w:sz="4" w:space="0" w:color="FFFFFF" w:themeColor="background1"/>
              <w:bottom w:val="single" w:sz="4" w:space="0" w:color="auto"/>
            </w:tcBorders>
            <w:shd w:val="clear" w:color="auto" w:fill="6C1740"/>
            <w:noWrap/>
            <w:hideMark/>
          </w:tcPr>
          <w:p w14:paraId="34F59F04" w14:textId="1B3033B9" w:rsidR="003134DE" w:rsidRPr="00C50630" w:rsidRDefault="003134DE" w:rsidP="002A249B">
            <w:pPr>
              <w:spacing w:after="0" w:line="240" w:lineRule="auto"/>
              <w:rPr>
                <w:rFonts w:eastAsia="Times New Roman" w:cs="Arial"/>
                <w:b/>
                <w:color w:val="FFFFFF" w:themeColor="background1"/>
                <w:sz w:val="20"/>
                <w:szCs w:val="20"/>
                <w:lang w:eastAsia="en-AU"/>
              </w:rPr>
            </w:pPr>
            <w:r w:rsidRPr="00A86D39">
              <w:rPr>
                <w:b/>
                <w:color w:val="FFFFFF" w:themeColor="background1"/>
                <w:sz w:val="20"/>
                <w:szCs w:val="20"/>
              </w:rPr>
              <w:t>Total</w:t>
            </w:r>
          </w:p>
        </w:tc>
      </w:tr>
      <w:tr w:rsidR="003134DE" w:rsidRPr="00C50630" w14:paraId="3B1F9CDC" w14:textId="77777777" w:rsidTr="00C50630">
        <w:tc>
          <w:tcPr>
            <w:tcW w:w="800" w:type="pct"/>
            <w:tcBorders>
              <w:top w:val="single" w:sz="4" w:space="0" w:color="auto"/>
            </w:tcBorders>
            <w:shd w:val="clear" w:color="auto" w:fill="auto"/>
            <w:noWrap/>
            <w:vAlign w:val="bottom"/>
            <w:hideMark/>
          </w:tcPr>
          <w:p w14:paraId="7A7D6A96" w14:textId="3490D289" w:rsidR="003134DE" w:rsidRPr="00C50630" w:rsidRDefault="003134DE" w:rsidP="002A249B">
            <w:pPr>
              <w:spacing w:after="0" w:line="240" w:lineRule="auto"/>
              <w:rPr>
                <w:rFonts w:eastAsia="Times New Roman" w:cs="Arial"/>
                <w:color w:val="000000"/>
                <w:sz w:val="20"/>
                <w:szCs w:val="20"/>
                <w:lang w:eastAsia="en-AU"/>
              </w:rPr>
            </w:pPr>
            <w:r w:rsidRPr="004F4004">
              <w:rPr>
                <w:rFonts w:eastAsia="Times New Roman" w:cs="Calibri"/>
                <w:color w:val="000000"/>
                <w:lang w:val="fr" w:eastAsia="en-AU"/>
              </w:rPr>
              <w:t>Objectif 1</w:t>
            </w:r>
          </w:p>
        </w:tc>
        <w:tc>
          <w:tcPr>
            <w:tcW w:w="700" w:type="pct"/>
            <w:tcBorders>
              <w:top w:val="single" w:sz="4" w:space="0" w:color="auto"/>
            </w:tcBorders>
            <w:shd w:val="clear" w:color="auto" w:fill="auto"/>
            <w:noWrap/>
            <w:vAlign w:val="bottom"/>
            <w:hideMark/>
          </w:tcPr>
          <w:p w14:paraId="386EFECB"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53186CB"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280CD371"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77777777" w:rsidR="003134DE" w:rsidRPr="00C50630" w:rsidRDefault="003134D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36C0188E"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27AC68C" w14:textId="77777777" w:rsidR="003134DE" w:rsidRPr="00C50630" w:rsidRDefault="003134D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3134DE" w:rsidRPr="00C50630" w14:paraId="5E690D40" w14:textId="77777777" w:rsidTr="00C50630">
        <w:tc>
          <w:tcPr>
            <w:tcW w:w="800" w:type="pct"/>
            <w:shd w:val="clear" w:color="auto" w:fill="FAF9F8"/>
            <w:noWrap/>
            <w:vAlign w:val="bottom"/>
            <w:hideMark/>
          </w:tcPr>
          <w:p w14:paraId="46D18003" w14:textId="48E2376C" w:rsidR="003134DE" w:rsidRPr="00C50630" w:rsidRDefault="003134DE" w:rsidP="002A249B">
            <w:pPr>
              <w:spacing w:after="0" w:line="240" w:lineRule="auto"/>
              <w:rPr>
                <w:rFonts w:eastAsia="Times New Roman" w:cs="Arial"/>
                <w:color w:val="000000"/>
                <w:sz w:val="20"/>
                <w:szCs w:val="20"/>
                <w:lang w:eastAsia="en-AU"/>
              </w:rPr>
            </w:pPr>
            <w:r w:rsidRPr="004F4004">
              <w:rPr>
                <w:rFonts w:eastAsia="Times New Roman" w:cs="Calibri"/>
                <w:color w:val="000000"/>
                <w:lang w:val="fr" w:eastAsia="en-AU"/>
              </w:rPr>
              <w:t>Objectif 2</w:t>
            </w:r>
          </w:p>
        </w:tc>
        <w:tc>
          <w:tcPr>
            <w:tcW w:w="700" w:type="pct"/>
            <w:shd w:val="clear" w:color="auto" w:fill="FAF9F8"/>
            <w:noWrap/>
            <w:vAlign w:val="bottom"/>
            <w:hideMark/>
          </w:tcPr>
          <w:p w14:paraId="6E28C6A2"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2D5922FF" w14:textId="4F45A39B"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4FA06B13" w14:textId="3DA2531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58389AF5"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0E9D87CB"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4C6F219B" w14:textId="77777777" w:rsidR="003134DE" w:rsidRPr="00C50630" w:rsidRDefault="003134D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18</w:t>
            </w:r>
          </w:p>
        </w:tc>
      </w:tr>
      <w:tr w:rsidR="003134DE" w:rsidRPr="00C50630" w14:paraId="18C80F20" w14:textId="77777777" w:rsidTr="00C50630">
        <w:tc>
          <w:tcPr>
            <w:tcW w:w="800" w:type="pct"/>
            <w:shd w:val="clear" w:color="auto" w:fill="auto"/>
            <w:noWrap/>
            <w:vAlign w:val="bottom"/>
            <w:hideMark/>
          </w:tcPr>
          <w:p w14:paraId="7F2E3733" w14:textId="28186C20" w:rsidR="003134DE" w:rsidRPr="00C50630" w:rsidRDefault="003134DE" w:rsidP="002A249B">
            <w:pPr>
              <w:spacing w:after="0" w:line="240" w:lineRule="auto"/>
              <w:rPr>
                <w:rFonts w:eastAsia="Times New Roman" w:cs="Arial"/>
                <w:color w:val="000000"/>
                <w:sz w:val="20"/>
                <w:szCs w:val="20"/>
                <w:lang w:eastAsia="en-AU"/>
              </w:rPr>
            </w:pPr>
            <w:r w:rsidRPr="004F4004">
              <w:rPr>
                <w:rFonts w:eastAsia="Times New Roman" w:cs="Calibri"/>
                <w:color w:val="000000"/>
                <w:lang w:val="fr" w:eastAsia="en-AU"/>
              </w:rPr>
              <w:t>Objectif 3</w:t>
            </w:r>
          </w:p>
        </w:tc>
        <w:tc>
          <w:tcPr>
            <w:tcW w:w="700" w:type="pct"/>
            <w:shd w:val="clear" w:color="auto" w:fill="auto"/>
            <w:noWrap/>
            <w:vAlign w:val="bottom"/>
            <w:hideMark/>
          </w:tcPr>
          <w:p w14:paraId="2B088F66" w14:textId="175A74C5"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auto"/>
            <w:noWrap/>
            <w:vAlign w:val="bottom"/>
            <w:hideMark/>
          </w:tcPr>
          <w:p w14:paraId="0271F6E1"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shd w:val="clear" w:color="auto" w:fill="auto"/>
            <w:noWrap/>
            <w:vAlign w:val="bottom"/>
            <w:hideMark/>
          </w:tcPr>
          <w:p w14:paraId="6918B967" w14:textId="043E7420"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auto"/>
            <w:noWrap/>
            <w:vAlign w:val="bottom"/>
            <w:hideMark/>
          </w:tcPr>
          <w:p w14:paraId="748D8FF1" w14:textId="77777777" w:rsidR="003134DE" w:rsidRPr="00C50630" w:rsidRDefault="003134D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5D7F421" w14:textId="77777777" w:rsidR="003134DE" w:rsidRPr="00C50630" w:rsidRDefault="003134D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8BD7F42" w14:textId="77777777" w:rsidR="003134DE" w:rsidRPr="00C50630" w:rsidRDefault="003134D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3134DE" w:rsidRPr="00C50630" w14:paraId="43038C41" w14:textId="77777777" w:rsidTr="00C50630">
        <w:tc>
          <w:tcPr>
            <w:tcW w:w="800" w:type="pct"/>
            <w:shd w:val="clear" w:color="auto" w:fill="FAF9F8"/>
            <w:noWrap/>
            <w:vAlign w:val="bottom"/>
            <w:hideMark/>
          </w:tcPr>
          <w:p w14:paraId="4DF8F3C0" w14:textId="25BD861A" w:rsidR="003134DE" w:rsidRPr="00C50630" w:rsidRDefault="003134DE" w:rsidP="002A249B">
            <w:pPr>
              <w:spacing w:after="0" w:line="240" w:lineRule="auto"/>
              <w:rPr>
                <w:rFonts w:eastAsia="Times New Roman" w:cs="Arial"/>
                <w:color w:val="000000"/>
                <w:sz w:val="20"/>
                <w:szCs w:val="20"/>
                <w:lang w:eastAsia="en-AU"/>
              </w:rPr>
            </w:pPr>
            <w:r w:rsidRPr="004F4004">
              <w:rPr>
                <w:rFonts w:eastAsia="Times New Roman" w:cs="Calibri"/>
                <w:color w:val="000000"/>
                <w:lang w:val="fr" w:eastAsia="en-AU"/>
              </w:rPr>
              <w:t>Objectif 4</w:t>
            </w:r>
          </w:p>
        </w:tc>
        <w:tc>
          <w:tcPr>
            <w:tcW w:w="700" w:type="pct"/>
            <w:shd w:val="clear" w:color="auto" w:fill="FAF9F8"/>
            <w:noWrap/>
            <w:vAlign w:val="bottom"/>
            <w:hideMark/>
          </w:tcPr>
          <w:p w14:paraId="62ABDE45"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767AEEE1"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15</w:t>
            </w:r>
          </w:p>
        </w:tc>
        <w:tc>
          <w:tcPr>
            <w:tcW w:w="700" w:type="pct"/>
            <w:shd w:val="clear" w:color="auto" w:fill="FAF9F8"/>
            <w:noWrap/>
            <w:vAlign w:val="bottom"/>
            <w:hideMark/>
          </w:tcPr>
          <w:p w14:paraId="652B2A91"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shd w:val="clear" w:color="auto" w:fill="FAF9F8"/>
            <w:noWrap/>
            <w:vAlign w:val="bottom"/>
            <w:hideMark/>
          </w:tcPr>
          <w:p w14:paraId="440CEE31"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3F1AAEC2" w14:textId="77777777" w:rsidR="003134DE" w:rsidRPr="00C50630" w:rsidRDefault="003134DE"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7DAF23F6" w14:textId="77777777" w:rsidR="003134DE" w:rsidRPr="00C50630" w:rsidRDefault="003134DE"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31</w:t>
            </w:r>
          </w:p>
        </w:tc>
      </w:tr>
      <w:tr w:rsidR="001B610F" w:rsidRPr="00C50630" w14:paraId="511AF1A6" w14:textId="77777777" w:rsidTr="00C50630">
        <w:tc>
          <w:tcPr>
            <w:tcW w:w="800" w:type="pct"/>
            <w:shd w:val="clear" w:color="auto" w:fill="E4E9F3"/>
            <w:noWrap/>
            <w:vAlign w:val="bottom"/>
            <w:hideMark/>
          </w:tcPr>
          <w:p w14:paraId="7A286510" w14:textId="6AECF4A6" w:rsidR="00AF7CD8" w:rsidRPr="00C50630" w:rsidRDefault="003134DE" w:rsidP="002A249B">
            <w:pPr>
              <w:spacing w:after="0" w:line="240" w:lineRule="auto"/>
              <w:rPr>
                <w:rFonts w:eastAsia="Times New Roman" w:cs="Arial"/>
                <w:b/>
                <w:color w:val="000000"/>
                <w:sz w:val="20"/>
                <w:szCs w:val="20"/>
                <w:lang w:eastAsia="en-AU"/>
              </w:rPr>
            </w:pPr>
            <w:r w:rsidRPr="004F4004">
              <w:rPr>
                <w:rFonts w:eastAsia="Times New Roman" w:cs="Calibri"/>
                <w:b/>
                <w:bCs/>
                <w:color w:val="000000"/>
                <w:lang w:val="fr" w:eastAsia="en-AU"/>
              </w:rPr>
              <w:lastRenderedPageBreak/>
              <w:t>En général</w:t>
            </w:r>
          </w:p>
        </w:tc>
        <w:tc>
          <w:tcPr>
            <w:tcW w:w="700" w:type="pct"/>
            <w:shd w:val="clear" w:color="auto" w:fill="E4E9F3"/>
            <w:noWrap/>
            <w:vAlign w:val="bottom"/>
            <w:hideMark/>
          </w:tcPr>
          <w:p w14:paraId="7ABA13A4" w14:textId="6AF998D5"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shd w:val="clear" w:color="auto" w:fill="E4E9F3"/>
            <w:noWrap/>
            <w:vAlign w:val="bottom"/>
            <w:hideMark/>
          </w:tcPr>
          <w:p w14:paraId="4F906C18" w14:textId="04691FD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shd w:val="clear" w:color="auto" w:fill="E4E9F3"/>
            <w:noWrap/>
            <w:vAlign w:val="bottom"/>
            <w:hideMark/>
          </w:tcPr>
          <w:p w14:paraId="728FB5C0" w14:textId="4FF7235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shd w:val="clear" w:color="auto" w:fill="E4E9F3"/>
            <w:noWrap/>
            <w:vAlign w:val="bottom"/>
            <w:hideMark/>
          </w:tcPr>
          <w:p w14:paraId="0E3C693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3E9CE3CE"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23DC2F9A"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68EBE025" w14:textId="77777777" w:rsidR="008E35C9" w:rsidRDefault="008E35C9">
      <w:r>
        <w:br w:type="page"/>
      </w:r>
    </w:p>
    <w:p w14:paraId="7E6FCA5D" w14:textId="70B7C97C" w:rsidR="00C62233" w:rsidRPr="00C62233" w:rsidRDefault="00A849D5" w:rsidP="00DA227A">
      <w:pPr>
        <w:pStyle w:val="Heading1"/>
      </w:pPr>
      <w:bookmarkStart w:id="16" w:name="_Toc153226827"/>
      <w:r>
        <w:rPr>
          <w:lang w:val="fr-FR"/>
        </w:rPr>
        <w:lastRenderedPageBreak/>
        <w:t>Plan d’actions ciblé Petite enfance</w:t>
      </w:r>
      <w:bookmarkEnd w:id="16"/>
    </w:p>
    <w:p w14:paraId="78711C3D" w14:textId="77777777" w:rsidR="00DA227A" w:rsidRPr="00DA227A" w:rsidRDefault="00DA227A" w:rsidP="00515A1C">
      <w:pPr>
        <w:pStyle w:val="Heading2"/>
        <w:pBdr>
          <w:top w:val="none" w:sz="0" w:space="0" w:color="auto"/>
        </w:pBdr>
      </w:pPr>
      <w:bookmarkStart w:id="17" w:name="_Toc153226828"/>
      <w:r w:rsidRPr="00DA227A">
        <w:t>Introduction</w:t>
      </w:r>
      <w:bookmarkEnd w:id="17"/>
    </w:p>
    <w:p w14:paraId="05194042" w14:textId="77777777" w:rsidR="00C04529" w:rsidRPr="0021219D" w:rsidRDefault="00C04529" w:rsidP="00C04529">
      <w:pPr>
        <w:spacing w:before="240" w:after="240" w:line="240" w:lineRule="auto"/>
        <w:rPr>
          <w:rFonts w:cs="Arial"/>
          <w:lang w:val="fr-FR"/>
        </w:rPr>
      </w:pPr>
      <w:r>
        <w:rPr>
          <w:lang w:val="fr-FR"/>
        </w:rPr>
        <w:t xml:space="preserve">Le PAC Petite enfance a été conçu pour favoriser les avancées dans les domaines de résultats de la stratégie suivants : santé et bien-être, éducation et apprentissage, foyers et communautés inclusifs, et soutien individuel et collectif. </w:t>
      </w:r>
    </w:p>
    <w:p w14:paraId="34C2E803" w14:textId="77777777" w:rsidR="00C04529" w:rsidRPr="0021219D" w:rsidRDefault="00C04529" w:rsidP="00C04529">
      <w:pPr>
        <w:spacing w:before="240" w:after="240" w:line="240" w:lineRule="auto"/>
        <w:rPr>
          <w:rFonts w:cs="Arial"/>
          <w:lang w:val="fr-FR"/>
        </w:rPr>
      </w:pPr>
      <w:r>
        <w:rPr>
          <w:lang w:val="fr-FR"/>
        </w:rPr>
        <w:t xml:space="preserve">Ces domaines de résultats visent respectivement à garantir que les personnes en situation de handicap : obtiennent les meilleurs résultats possibles en matière de santé et de bien-être tout au long de leur vie, réalisent pleinement leur potentiel grâce à l’éducation et à l’apprentissage, vivent dans des maisons et des communautés inclusives, accessibles et bien conçues, et aient accès à différents types de soutien leur permettant de vivre en totale indépendance et de participer à la vie de leur communauté. </w:t>
      </w:r>
    </w:p>
    <w:p w14:paraId="344B923C" w14:textId="77777777" w:rsidR="00C04529" w:rsidRPr="0021219D" w:rsidRDefault="00C04529" w:rsidP="00C04529">
      <w:pPr>
        <w:spacing w:before="240" w:after="240" w:line="240" w:lineRule="auto"/>
        <w:rPr>
          <w:rFonts w:cs="Arial"/>
          <w:lang w:val="fr-FR"/>
        </w:rPr>
      </w:pPr>
      <w:r>
        <w:rPr>
          <w:lang w:val="fr-FR"/>
        </w:rPr>
        <w:t xml:space="preserve">Dans le cadre du PAC Petite enfance, 74 actions ont été menées par le gouvernement fédéral et ceux des États et Territoires au cours de la période 2022-2023. </w:t>
      </w:r>
    </w:p>
    <w:p w14:paraId="67821980" w14:textId="5235C4CA" w:rsidR="00C04529" w:rsidRDefault="00C04529" w:rsidP="00C04529">
      <w:pPr>
        <w:spacing w:before="240" w:after="240" w:line="240" w:lineRule="auto"/>
      </w:pPr>
      <w:r>
        <w:rPr>
          <w:lang w:val="fr-FR"/>
        </w:rPr>
        <w:t>Il s’agit notamment d’actions visant à développer des ressources, à mettre en place des groupes d’entraide, à soutenir les parents et les aidants, et à promouvoir des pratiques inclusives dans les écoles maternelles et les structures d’éducation et d’accueil de la petite enfance.</w:t>
      </w:r>
    </w:p>
    <w:p w14:paraId="25AA41AC" w14:textId="600E5B7A" w:rsidR="00C62233" w:rsidRPr="00C04529" w:rsidRDefault="00C04529" w:rsidP="00F52039">
      <w:pPr>
        <w:pStyle w:val="Heading2"/>
      </w:pPr>
      <w:bookmarkStart w:id="18" w:name="_Toc153226829"/>
      <w:r w:rsidRPr="00C04529">
        <w:rPr>
          <w:lang w:val="fr-FR"/>
        </w:rPr>
        <w:t>Objectifs :</w:t>
      </w:r>
      <w:bookmarkEnd w:id="18"/>
    </w:p>
    <w:p w14:paraId="0FA62BDE" w14:textId="4D9E4749" w:rsidR="00C62233" w:rsidRDefault="00C04529" w:rsidP="00F52039">
      <w:pPr>
        <w:pStyle w:val="ListParagraph"/>
        <w:numPr>
          <w:ilvl w:val="0"/>
          <w:numId w:val="41"/>
        </w:numPr>
        <w:spacing w:before="240" w:after="240" w:line="240" w:lineRule="auto"/>
        <w:contextualSpacing w:val="0"/>
      </w:pPr>
      <w:r>
        <w:rPr>
          <w:lang w:val="fr-FR"/>
        </w:rPr>
        <w:t xml:space="preserve">Permettre l’identification précoce du handicap ou des problèmes de développement, définir des parcours d’assistance plus clairs et donner accès à un soutien adapté. </w:t>
      </w:r>
      <w:r w:rsidR="00C62233">
        <w:t xml:space="preserve"> </w:t>
      </w:r>
    </w:p>
    <w:p w14:paraId="74EDA8F4" w14:textId="3335CA6B" w:rsidR="00C62233" w:rsidRDefault="00C04529" w:rsidP="00F52039">
      <w:pPr>
        <w:pStyle w:val="ListParagraph"/>
        <w:numPr>
          <w:ilvl w:val="0"/>
          <w:numId w:val="41"/>
        </w:numPr>
        <w:spacing w:before="240" w:after="240" w:line="240" w:lineRule="auto"/>
        <w:contextualSpacing w:val="0"/>
      </w:pPr>
      <w:r>
        <w:rPr>
          <w:lang w:val="fr-FR"/>
        </w:rPr>
        <w:t xml:space="preserve">Renforcer les capacités et les moyens des principaux services et systèmes pour aider les parents et les aidants à faire des choix informés concernant leur enfant. </w:t>
      </w:r>
      <w:r w:rsidR="00C62233">
        <w:t xml:space="preserve"> </w:t>
      </w:r>
    </w:p>
    <w:p w14:paraId="5C779984" w14:textId="69559A90" w:rsidR="00C62233" w:rsidRDefault="00C04529" w:rsidP="00F52039">
      <w:pPr>
        <w:pStyle w:val="ListParagraph"/>
        <w:numPr>
          <w:ilvl w:val="0"/>
          <w:numId w:val="41"/>
        </w:numPr>
        <w:spacing w:before="240" w:after="240" w:line="240" w:lineRule="auto"/>
        <w:contextualSpacing w:val="0"/>
      </w:pPr>
      <w:r>
        <w:rPr>
          <w:lang w:val="fr-FR"/>
        </w:rPr>
        <w:t>Encourager un plus fort sentiment d’inclusion et fournir aux parents, aux aidants et aux enfants des possibilités de créer des réseaux d’entraide, notamment pour les parents et les aidants aborigènes, insulaires du détroit de Torres et issus de communautés culturellement et linguistiquement diverses.</w:t>
      </w:r>
    </w:p>
    <w:p w14:paraId="5D34BF7B" w14:textId="77777777" w:rsidR="00C62233" w:rsidRDefault="00C62233">
      <w:r>
        <w:br w:type="page"/>
      </w:r>
    </w:p>
    <w:p w14:paraId="4BA2C9CB" w14:textId="0DFDF9F4" w:rsidR="00C62233" w:rsidRPr="0066071F" w:rsidRDefault="0021579C" w:rsidP="0066071F">
      <w:pPr>
        <w:rPr>
          <w:b/>
          <w:bCs/>
          <w:color w:val="6C1740"/>
          <w:sz w:val="94"/>
          <w:szCs w:val="94"/>
        </w:rPr>
      </w:pPr>
      <w:r w:rsidRPr="0021579C">
        <w:rPr>
          <w:b/>
          <w:bCs/>
          <w:color w:val="6C1740"/>
          <w:sz w:val="94"/>
          <w:szCs w:val="94"/>
        </w:rPr>
        <w:lastRenderedPageBreak/>
        <w:t xml:space="preserve">PAC Petite </w:t>
      </w:r>
      <w:proofErr w:type="spellStart"/>
      <w:r w:rsidRPr="0021579C">
        <w:rPr>
          <w:b/>
          <w:bCs/>
          <w:color w:val="6C1740"/>
          <w:sz w:val="94"/>
          <w:szCs w:val="94"/>
        </w:rPr>
        <w:t>enfance</w:t>
      </w:r>
      <w:proofErr w:type="spellEnd"/>
    </w:p>
    <w:p w14:paraId="6F4842E9" w14:textId="052206CB" w:rsidR="00C62233" w:rsidRDefault="0021579C" w:rsidP="0008481A">
      <w:pPr>
        <w:spacing w:before="240" w:after="240" w:line="240" w:lineRule="auto"/>
      </w:pPr>
      <w:r>
        <w:rPr>
          <w:lang w:val="fr-FR"/>
        </w:rPr>
        <w:t>Tableau 7 : PAC Petite enfance – État d’avancement des actions par gouvernement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637"/>
        <w:gridCol w:w="1135"/>
        <w:gridCol w:w="1294"/>
        <w:gridCol w:w="1294"/>
        <w:gridCol w:w="1294"/>
        <w:gridCol w:w="1294"/>
        <w:gridCol w:w="1294"/>
      </w:tblGrid>
      <w:tr w:rsidR="004A67AD" w:rsidRPr="00A0186B" w14:paraId="0F859A2B" w14:textId="77777777" w:rsidTr="00A933CF">
        <w:trPr>
          <w:cantSplit/>
        </w:trPr>
        <w:tc>
          <w:tcPr>
            <w:tcW w:w="886"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2E056F2F" w:rsidR="004A67AD" w:rsidRPr="00A0186B" w:rsidRDefault="004A67AD" w:rsidP="002A249B">
            <w:pPr>
              <w:spacing w:after="0" w:line="240" w:lineRule="auto"/>
              <w:rPr>
                <w:rFonts w:eastAsia="Times New Roman" w:cs="Arial"/>
                <w:b/>
                <w:color w:val="FFFFFF" w:themeColor="background1"/>
                <w:sz w:val="20"/>
                <w:szCs w:val="20"/>
                <w:lang w:eastAsia="en-AU"/>
              </w:rPr>
            </w:pPr>
            <w:bookmarkStart w:id="19" w:name="Title_07"/>
            <w:bookmarkEnd w:id="19"/>
            <w:r w:rsidRPr="00A86D39">
              <w:rPr>
                <w:rFonts w:eastAsia="Times New Roman" w:cs="Calibri"/>
                <w:b/>
                <w:bCs/>
                <w:color w:val="FFFFFF" w:themeColor="background1"/>
                <w:sz w:val="20"/>
                <w:szCs w:val="20"/>
                <w:lang w:val="fr" w:eastAsia="en-AU"/>
              </w:rPr>
              <w:t>Gouvernement</w:t>
            </w:r>
          </w:p>
        </w:tc>
        <w:tc>
          <w:tcPr>
            <w:tcW w:w="6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59C6D135" w:rsidR="004A67AD" w:rsidRPr="00A0186B" w:rsidRDefault="004A67AD" w:rsidP="00464AAF">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Finalisé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3D5AD48E" w:rsidR="004A67AD" w:rsidRPr="00A0186B" w:rsidRDefault="004A67AD"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En bonne voie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6B5519C3" w:rsidR="004A67AD" w:rsidRPr="00A0186B" w:rsidRDefault="004A67AD"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Quelques retards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7D09FA36" w:rsidR="004A67AD" w:rsidRPr="00A0186B" w:rsidRDefault="004A67AD"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En pause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203FF626" w:rsidR="004A67AD" w:rsidRPr="00A0186B" w:rsidRDefault="004A67AD"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Commencement à une date ultérieure</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43B10644" w:rsidR="004A67AD" w:rsidRPr="00A0186B" w:rsidRDefault="004A67AD" w:rsidP="002A249B">
            <w:pPr>
              <w:spacing w:after="0" w:line="240" w:lineRule="auto"/>
              <w:rPr>
                <w:rFonts w:eastAsia="Times New Roman" w:cs="Arial"/>
                <w:b/>
                <w:color w:val="FFFFFF" w:themeColor="background1"/>
                <w:sz w:val="20"/>
                <w:szCs w:val="20"/>
                <w:lang w:eastAsia="en-AU"/>
              </w:rPr>
            </w:pPr>
            <w:r w:rsidRPr="00A86D39">
              <w:rPr>
                <w:b/>
                <w:color w:val="FFFFFF" w:themeColor="background1"/>
                <w:sz w:val="20"/>
                <w:szCs w:val="20"/>
              </w:rPr>
              <w:t>Total</w:t>
            </w:r>
          </w:p>
        </w:tc>
      </w:tr>
      <w:tr w:rsidR="00A933CF" w:rsidRPr="00A0186B" w14:paraId="7BBDA31B" w14:textId="77777777" w:rsidTr="00A933CF">
        <w:trPr>
          <w:cantSplit/>
        </w:trPr>
        <w:tc>
          <w:tcPr>
            <w:tcW w:w="886" w:type="pct"/>
            <w:tcBorders>
              <w:top w:val="single" w:sz="4" w:space="0" w:color="auto"/>
            </w:tcBorders>
            <w:shd w:val="clear" w:color="auto" w:fill="auto"/>
            <w:noWrap/>
            <w:hideMark/>
          </w:tcPr>
          <w:p w14:paraId="13781574" w14:textId="0D852053" w:rsidR="00A933CF" w:rsidRPr="00A0186B" w:rsidRDefault="00A933CF"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Australian Government</w:t>
            </w:r>
          </w:p>
        </w:tc>
        <w:tc>
          <w:tcPr>
            <w:tcW w:w="614" w:type="pct"/>
            <w:tcBorders>
              <w:top w:val="single" w:sz="4" w:space="0" w:color="auto"/>
            </w:tcBorders>
            <w:shd w:val="clear" w:color="auto" w:fill="auto"/>
            <w:noWrap/>
            <w:vAlign w:val="bottom"/>
            <w:hideMark/>
          </w:tcPr>
          <w:p w14:paraId="00DBAE9A" w14:textId="28E7050E"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06C60AE9" w14:textId="36503EAE"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769D52A0" w14:textId="3F81571A"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696D2F77"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CC2E450"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A933CF" w:rsidRPr="00A0186B" w14:paraId="3C414D09" w14:textId="77777777" w:rsidTr="00A933CF">
        <w:trPr>
          <w:cantSplit/>
        </w:trPr>
        <w:tc>
          <w:tcPr>
            <w:tcW w:w="886" w:type="pct"/>
            <w:shd w:val="clear" w:color="auto" w:fill="FAF9F8"/>
            <w:noWrap/>
            <w:hideMark/>
          </w:tcPr>
          <w:p w14:paraId="35273F0A" w14:textId="778D0767" w:rsidR="00A933CF" w:rsidRPr="00A0186B" w:rsidRDefault="00A933CF"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NSW</w:t>
            </w:r>
          </w:p>
        </w:tc>
        <w:tc>
          <w:tcPr>
            <w:tcW w:w="614" w:type="pct"/>
            <w:shd w:val="clear" w:color="auto" w:fill="FAF9F8"/>
            <w:noWrap/>
            <w:vAlign w:val="bottom"/>
            <w:hideMark/>
          </w:tcPr>
          <w:p w14:paraId="3DAA42C4"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47D034C4"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19851BB2"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28442FF"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70B077A"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2AC12B"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A933CF" w:rsidRPr="00A0186B" w14:paraId="4CF8F4ED" w14:textId="77777777" w:rsidTr="00A933CF">
        <w:trPr>
          <w:cantSplit/>
        </w:trPr>
        <w:tc>
          <w:tcPr>
            <w:tcW w:w="886" w:type="pct"/>
            <w:shd w:val="clear" w:color="auto" w:fill="auto"/>
            <w:noWrap/>
            <w:hideMark/>
          </w:tcPr>
          <w:p w14:paraId="303537E0" w14:textId="61909AAA" w:rsidR="00A933CF" w:rsidRPr="00A0186B" w:rsidRDefault="00A933CF"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VIC</w:t>
            </w:r>
          </w:p>
        </w:tc>
        <w:tc>
          <w:tcPr>
            <w:tcW w:w="614" w:type="pct"/>
            <w:shd w:val="clear" w:color="auto" w:fill="auto"/>
            <w:noWrap/>
            <w:vAlign w:val="bottom"/>
            <w:hideMark/>
          </w:tcPr>
          <w:p w14:paraId="04AD4B8B"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737CBB2"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28E27FC"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2A0AA7E"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9633E"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B21063B"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w:t>
            </w:r>
          </w:p>
        </w:tc>
      </w:tr>
      <w:tr w:rsidR="00A933CF" w:rsidRPr="00A0186B" w14:paraId="73C88263" w14:textId="77777777" w:rsidTr="00A933CF">
        <w:trPr>
          <w:cantSplit/>
        </w:trPr>
        <w:tc>
          <w:tcPr>
            <w:tcW w:w="886" w:type="pct"/>
            <w:shd w:val="clear" w:color="auto" w:fill="FAF9F8"/>
            <w:noWrap/>
            <w:hideMark/>
          </w:tcPr>
          <w:p w14:paraId="05D90CBB" w14:textId="6E7F6381" w:rsidR="00A933CF" w:rsidRPr="00A0186B" w:rsidRDefault="00A933CF"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QLD</w:t>
            </w:r>
          </w:p>
        </w:tc>
        <w:tc>
          <w:tcPr>
            <w:tcW w:w="614" w:type="pct"/>
            <w:shd w:val="clear" w:color="auto" w:fill="FAF9F8"/>
            <w:noWrap/>
            <w:vAlign w:val="bottom"/>
            <w:hideMark/>
          </w:tcPr>
          <w:p w14:paraId="72CA133C"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D50D291"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30AAE290"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6C278A5"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9B0C9D"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03F9F22"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9</w:t>
            </w:r>
          </w:p>
        </w:tc>
      </w:tr>
      <w:tr w:rsidR="00A933CF" w:rsidRPr="00A0186B" w14:paraId="3C10E678" w14:textId="77777777" w:rsidTr="00A933CF">
        <w:trPr>
          <w:cantSplit/>
        </w:trPr>
        <w:tc>
          <w:tcPr>
            <w:tcW w:w="886" w:type="pct"/>
            <w:shd w:val="clear" w:color="auto" w:fill="auto"/>
            <w:noWrap/>
            <w:hideMark/>
          </w:tcPr>
          <w:p w14:paraId="6E3F0227" w14:textId="6C7F85D1" w:rsidR="00A933CF" w:rsidRPr="00A0186B" w:rsidRDefault="00A933CF"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WA</w:t>
            </w:r>
          </w:p>
        </w:tc>
        <w:tc>
          <w:tcPr>
            <w:tcW w:w="614" w:type="pct"/>
            <w:shd w:val="clear" w:color="auto" w:fill="auto"/>
            <w:noWrap/>
            <w:vAlign w:val="bottom"/>
            <w:hideMark/>
          </w:tcPr>
          <w:p w14:paraId="02428B7B"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DEDA428"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auto"/>
            <w:noWrap/>
            <w:vAlign w:val="bottom"/>
            <w:hideMark/>
          </w:tcPr>
          <w:p w14:paraId="30BF6E66"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AFAFDB2"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9E369CF"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45F035D"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A933CF" w:rsidRPr="00A0186B" w14:paraId="1E835043" w14:textId="77777777" w:rsidTr="00A933CF">
        <w:trPr>
          <w:cantSplit/>
        </w:trPr>
        <w:tc>
          <w:tcPr>
            <w:tcW w:w="886" w:type="pct"/>
            <w:shd w:val="clear" w:color="auto" w:fill="FAF9F8"/>
            <w:noWrap/>
            <w:hideMark/>
          </w:tcPr>
          <w:p w14:paraId="6F6661B5" w14:textId="1EF5972C" w:rsidR="00A933CF" w:rsidRPr="00A0186B" w:rsidRDefault="00A933CF"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SA</w:t>
            </w:r>
          </w:p>
        </w:tc>
        <w:tc>
          <w:tcPr>
            <w:tcW w:w="614" w:type="pct"/>
            <w:shd w:val="clear" w:color="auto" w:fill="FAF9F8"/>
            <w:noWrap/>
            <w:vAlign w:val="bottom"/>
            <w:hideMark/>
          </w:tcPr>
          <w:p w14:paraId="45BF4DF8"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571F0E9D"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vAlign w:val="bottom"/>
            <w:hideMark/>
          </w:tcPr>
          <w:p w14:paraId="5D808FF9"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82035B9"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76B9D41E"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520B81E7"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A933CF" w:rsidRPr="00A0186B" w14:paraId="0A629A38" w14:textId="77777777" w:rsidTr="00A933CF">
        <w:trPr>
          <w:cantSplit/>
        </w:trPr>
        <w:tc>
          <w:tcPr>
            <w:tcW w:w="886" w:type="pct"/>
            <w:shd w:val="clear" w:color="auto" w:fill="auto"/>
            <w:noWrap/>
            <w:hideMark/>
          </w:tcPr>
          <w:p w14:paraId="2EAAEFE9" w14:textId="17158898" w:rsidR="00A933CF" w:rsidRPr="00A0186B" w:rsidRDefault="00A933CF"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TAS</w:t>
            </w:r>
          </w:p>
        </w:tc>
        <w:tc>
          <w:tcPr>
            <w:tcW w:w="614" w:type="pct"/>
            <w:shd w:val="clear" w:color="auto" w:fill="auto"/>
            <w:noWrap/>
            <w:vAlign w:val="bottom"/>
            <w:hideMark/>
          </w:tcPr>
          <w:p w14:paraId="6EC281C0"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36F8A739"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7C3414F0"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75143638"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370E613"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D3737C0"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A933CF" w:rsidRPr="00A0186B" w14:paraId="13287316" w14:textId="77777777" w:rsidTr="00A933CF">
        <w:trPr>
          <w:cantSplit/>
        </w:trPr>
        <w:tc>
          <w:tcPr>
            <w:tcW w:w="886" w:type="pct"/>
            <w:shd w:val="clear" w:color="auto" w:fill="FAF9F8"/>
            <w:noWrap/>
            <w:hideMark/>
          </w:tcPr>
          <w:p w14:paraId="03C3052E" w14:textId="38BB953C" w:rsidR="00A933CF" w:rsidRPr="00A0186B" w:rsidRDefault="00A933CF"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ACT</w:t>
            </w:r>
          </w:p>
        </w:tc>
        <w:tc>
          <w:tcPr>
            <w:tcW w:w="614" w:type="pct"/>
            <w:shd w:val="clear" w:color="auto" w:fill="FAF9F8"/>
            <w:noWrap/>
            <w:vAlign w:val="bottom"/>
            <w:hideMark/>
          </w:tcPr>
          <w:p w14:paraId="6BAA56FA"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w:t>
            </w:r>
          </w:p>
        </w:tc>
        <w:tc>
          <w:tcPr>
            <w:tcW w:w="700" w:type="pct"/>
            <w:shd w:val="clear" w:color="auto" w:fill="FAF9F8"/>
            <w:noWrap/>
            <w:vAlign w:val="bottom"/>
            <w:hideMark/>
          </w:tcPr>
          <w:p w14:paraId="00D7A78A"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w:t>
            </w:r>
          </w:p>
        </w:tc>
        <w:tc>
          <w:tcPr>
            <w:tcW w:w="700" w:type="pct"/>
            <w:shd w:val="clear" w:color="auto" w:fill="FAF9F8"/>
            <w:noWrap/>
            <w:vAlign w:val="bottom"/>
            <w:hideMark/>
          </w:tcPr>
          <w:p w14:paraId="6C431034"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63D18823"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786085A5"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29F41077"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A933CF" w:rsidRPr="00A0186B" w14:paraId="3B706D58" w14:textId="77777777" w:rsidTr="00A933CF">
        <w:trPr>
          <w:cantSplit/>
        </w:trPr>
        <w:tc>
          <w:tcPr>
            <w:tcW w:w="886" w:type="pct"/>
            <w:shd w:val="clear" w:color="auto" w:fill="auto"/>
            <w:noWrap/>
            <w:hideMark/>
          </w:tcPr>
          <w:p w14:paraId="11D3BBE8" w14:textId="5FE33DF1" w:rsidR="00A933CF" w:rsidRPr="00A0186B" w:rsidRDefault="00A933CF" w:rsidP="002A249B">
            <w:pPr>
              <w:spacing w:after="0" w:line="240" w:lineRule="auto"/>
              <w:rPr>
                <w:rFonts w:eastAsia="Times New Roman" w:cs="Arial"/>
                <w:color w:val="000000"/>
                <w:sz w:val="20"/>
                <w:szCs w:val="20"/>
                <w:lang w:eastAsia="en-AU"/>
              </w:rPr>
            </w:pPr>
            <w:r w:rsidRPr="00C50630">
              <w:rPr>
                <w:rFonts w:eastAsia="Times New Roman" w:cs="Arial"/>
                <w:color w:val="000000"/>
                <w:sz w:val="20"/>
                <w:szCs w:val="20"/>
                <w:lang w:eastAsia="en-AU"/>
              </w:rPr>
              <w:t>NT</w:t>
            </w:r>
          </w:p>
        </w:tc>
        <w:tc>
          <w:tcPr>
            <w:tcW w:w="614" w:type="pct"/>
            <w:shd w:val="clear" w:color="auto" w:fill="auto"/>
            <w:noWrap/>
            <w:vAlign w:val="bottom"/>
            <w:hideMark/>
          </w:tcPr>
          <w:p w14:paraId="02DC6D81"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5D61A682"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13</w:t>
            </w:r>
          </w:p>
        </w:tc>
        <w:tc>
          <w:tcPr>
            <w:tcW w:w="700" w:type="pct"/>
            <w:shd w:val="clear" w:color="auto" w:fill="auto"/>
            <w:noWrap/>
            <w:vAlign w:val="bottom"/>
            <w:hideMark/>
          </w:tcPr>
          <w:p w14:paraId="063DAF5C"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77D16A5"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64DA7096" w14:textId="77777777" w:rsidR="00A933CF" w:rsidRPr="00A0186B" w:rsidRDefault="00A933CF"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B1E109F" w14:textId="77777777" w:rsidR="00A933CF" w:rsidRPr="00A0186B" w:rsidRDefault="00A933CF"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A933CF" w:rsidRPr="00A0186B" w14:paraId="638EE825" w14:textId="77777777" w:rsidTr="00A933CF">
        <w:trPr>
          <w:cantSplit/>
        </w:trPr>
        <w:tc>
          <w:tcPr>
            <w:tcW w:w="886" w:type="pct"/>
            <w:shd w:val="clear" w:color="auto" w:fill="E4E9F3"/>
            <w:noWrap/>
            <w:hideMark/>
          </w:tcPr>
          <w:p w14:paraId="631F8AAE" w14:textId="6DD94584" w:rsidR="00A933CF" w:rsidRPr="00A0186B" w:rsidRDefault="00007D26" w:rsidP="002A249B">
            <w:pPr>
              <w:spacing w:after="0" w:line="240" w:lineRule="auto"/>
              <w:rPr>
                <w:rFonts w:eastAsia="Times New Roman" w:cs="Arial"/>
                <w:b/>
                <w:color w:val="000000"/>
                <w:sz w:val="20"/>
                <w:szCs w:val="20"/>
                <w:lang w:eastAsia="en-AU"/>
              </w:rPr>
            </w:pPr>
            <w:r w:rsidRPr="004F4004">
              <w:rPr>
                <w:rFonts w:eastAsia="Times New Roman" w:cs="Calibri"/>
                <w:b/>
                <w:bCs/>
                <w:color w:val="000000"/>
                <w:lang w:val="fr" w:eastAsia="en-AU"/>
              </w:rPr>
              <w:t>Total national</w:t>
            </w:r>
          </w:p>
        </w:tc>
        <w:tc>
          <w:tcPr>
            <w:tcW w:w="614" w:type="pct"/>
            <w:shd w:val="clear" w:color="auto" w:fill="E4E9F3"/>
            <w:noWrap/>
            <w:vAlign w:val="bottom"/>
            <w:hideMark/>
          </w:tcPr>
          <w:p w14:paraId="4C181A83" w14:textId="581FE8EF" w:rsidR="00A933CF" w:rsidRPr="00A0186B" w:rsidRDefault="00A933CF"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53BE039B" w14:textId="5FF75BA2" w:rsidR="00A933CF" w:rsidRPr="00A0186B" w:rsidRDefault="00A933CF" w:rsidP="003107A5">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3B9D405A" w14:textId="2F8331DD" w:rsidR="00A933CF" w:rsidRPr="00A0186B" w:rsidRDefault="00A933CF"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1ABA9DE1" w14:textId="77777777" w:rsidR="00A933CF" w:rsidRPr="00A0186B" w:rsidRDefault="00A933CF"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04478AC5" w14:textId="77777777" w:rsidR="00A933CF" w:rsidRPr="00A0186B" w:rsidRDefault="00A933CF"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700" w:type="pct"/>
            <w:shd w:val="clear" w:color="auto" w:fill="E4E9F3"/>
            <w:noWrap/>
            <w:vAlign w:val="bottom"/>
            <w:hideMark/>
          </w:tcPr>
          <w:p w14:paraId="47A36CBA" w14:textId="77777777" w:rsidR="00A933CF" w:rsidRPr="00A0186B" w:rsidRDefault="00A933CF"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1D6CC0D5" w14:textId="1CC23DA5" w:rsidR="00C62233" w:rsidRDefault="0021579C" w:rsidP="0008481A">
      <w:pPr>
        <w:spacing w:before="240" w:after="240" w:line="240" w:lineRule="auto"/>
      </w:pPr>
      <w:r>
        <w:rPr>
          <w:lang w:val="fr-FR"/>
        </w:rPr>
        <w:t>Tableau 8 : PAC Petite enfance – État d’avancement des actions par objectif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80"/>
        <w:gridCol w:w="1294"/>
        <w:gridCol w:w="1294"/>
        <w:gridCol w:w="1294"/>
        <w:gridCol w:w="1294"/>
        <w:gridCol w:w="1294"/>
        <w:gridCol w:w="1292"/>
      </w:tblGrid>
      <w:tr w:rsidR="00A933CF" w:rsidRPr="00A0186B" w14:paraId="48214A0A" w14:textId="77777777" w:rsidTr="00504E88">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AC75637" w14:textId="5F6472C5" w:rsidR="00A933CF" w:rsidRPr="00A0186B" w:rsidRDefault="00A933CF" w:rsidP="00504E88">
            <w:pPr>
              <w:spacing w:after="0" w:line="240" w:lineRule="auto"/>
              <w:rPr>
                <w:rFonts w:eastAsia="Times New Roman" w:cs="Arial"/>
                <w:b/>
                <w:bCs/>
                <w:color w:val="FFFFFF" w:themeColor="background1"/>
                <w:sz w:val="20"/>
                <w:szCs w:val="20"/>
                <w:lang w:eastAsia="en-AU"/>
              </w:rPr>
            </w:pPr>
            <w:bookmarkStart w:id="20" w:name="Title_08"/>
            <w:bookmarkEnd w:id="20"/>
            <w:r w:rsidRPr="00580A70">
              <w:rPr>
                <w:rFonts w:eastAsia="Times New Roman" w:cs="Calibri"/>
                <w:b/>
                <w:bCs/>
                <w:color w:val="FFFFFF" w:themeColor="background1"/>
                <w:lang w:val="fr" w:eastAsia="en-AU"/>
              </w:rPr>
              <w:t>Objectif</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127336BC" w:rsidR="00A933CF" w:rsidRPr="00A0186B" w:rsidRDefault="00A933CF" w:rsidP="00504E88">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Finalisé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62454602" w:rsidR="00A933CF" w:rsidRPr="00A0186B" w:rsidRDefault="00A933CF" w:rsidP="00504E88">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En bonne voie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6EE65390" w:rsidR="00A933CF" w:rsidRPr="00A0186B" w:rsidRDefault="00A933CF" w:rsidP="00504E88">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Quelques retards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20E6A9CF" w:rsidR="00A933CF" w:rsidRPr="00A0186B" w:rsidRDefault="00A933CF" w:rsidP="00504E88">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En pause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32123B29" w:rsidR="00A933CF" w:rsidRPr="00A0186B" w:rsidRDefault="00A933CF" w:rsidP="00504E88">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Commencement à une date ultérieure</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4679C256" w14:textId="0E746D88" w:rsidR="00A933CF" w:rsidRPr="00A0186B" w:rsidRDefault="00A933CF" w:rsidP="00504E88">
            <w:pPr>
              <w:spacing w:after="0" w:line="240" w:lineRule="auto"/>
              <w:rPr>
                <w:rFonts w:eastAsia="Times New Roman" w:cs="Arial"/>
                <w:b/>
                <w:color w:val="FFFFFF" w:themeColor="background1"/>
                <w:sz w:val="20"/>
                <w:szCs w:val="20"/>
                <w:lang w:eastAsia="en-AU"/>
              </w:rPr>
            </w:pPr>
            <w:r w:rsidRPr="00A86D39">
              <w:rPr>
                <w:b/>
                <w:color w:val="FFFFFF" w:themeColor="background1"/>
                <w:sz w:val="20"/>
                <w:szCs w:val="20"/>
              </w:rPr>
              <w:t>Total</w:t>
            </w:r>
          </w:p>
        </w:tc>
      </w:tr>
      <w:tr w:rsidR="00A933CF" w:rsidRPr="00A0186B" w14:paraId="1D2512DA" w14:textId="77777777" w:rsidTr="00785761">
        <w:trPr>
          <w:cantSplit/>
        </w:trPr>
        <w:tc>
          <w:tcPr>
            <w:tcW w:w="801" w:type="pct"/>
            <w:tcBorders>
              <w:top w:val="single" w:sz="4" w:space="0" w:color="auto"/>
            </w:tcBorders>
            <w:shd w:val="clear" w:color="auto" w:fill="auto"/>
            <w:noWrap/>
            <w:vAlign w:val="bottom"/>
            <w:hideMark/>
          </w:tcPr>
          <w:p w14:paraId="40223195" w14:textId="63348353" w:rsidR="00A933CF" w:rsidRPr="00A0186B" w:rsidRDefault="00A933CF" w:rsidP="00785761">
            <w:pPr>
              <w:spacing w:after="0" w:line="240" w:lineRule="auto"/>
              <w:rPr>
                <w:rFonts w:eastAsia="Times New Roman" w:cs="Arial"/>
                <w:sz w:val="20"/>
                <w:szCs w:val="20"/>
                <w:lang w:eastAsia="en-AU"/>
              </w:rPr>
            </w:pPr>
            <w:r w:rsidRPr="004F4004">
              <w:rPr>
                <w:rFonts w:eastAsia="Times New Roman" w:cs="Calibri"/>
                <w:color w:val="000000"/>
                <w:lang w:val="fr" w:eastAsia="en-AU"/>
              </w:rPr>
              <w:t>Objectif 1</w:t>
            </w:r>
          </w:p>
        </w:tc>
        <w:tc>
          <w:tcPr>
            <w:tcW w:w="700" w:type="pct"/>
            <w:tcBorders>
              <w:top w:val="single" w:sz="4" w:space="0" w:color="auto"/>
            </w:tcBorders>
            <w:shd w:val="clear" w:color="auto" w:fill="auto"/>
            <w:noWrap/>
            <w:vAlign w:val="bottom"/>
            <w:hideMark/>
          </w:tcPr>
          <w:p w14:paraId="7AD4F3B2" w14:textId="11F37C9F"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tcBorders>
              <w:top w:val="single" w:sz="4" w:space="0" w:color="auto"/>
            </w:tcBorders>
            <w:shd w:val="clear" w:color="auto" w:fill="auto"/>
            <w:noWrap/>
            <w:vAlign w:val="bottom"/>
            <w:hideMark/>
          </w:tcPr>
          <w:p w14:paraId="5695FA4F" w14:textId="44C0DE71"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52B09246" w14:textId="608C6371"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315A7B7E"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F83CA44" w14:textId="7B4FD156"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1DF362E1" w14:textId="77F90520" w:rsidR="00A933CF" w:rsidRPr="00A0186B" w:rsidRDefault="00A933CF"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31</w:t>
            </w:r>
          </w:p>
        </w:tc>
      </w:tr>
      <w:tr w:rsidR="00A933CF" w:rsidRPr="00A0186B" w14:paraId="49E3D338" w14:textId="77777777" w:rsidTr="00785761">
        <w:trPr>
          <w:cantSplit/>
        </w:trPr>
        <w:tc>
          <w:tcPr>
            <w:tcW w:w="801" w:type="pct"/>
            <w:shd w:val="clear" w:color="auto" w:fill="FAF9F8"/>
            <w:noWrap/>
            <w:vAlign w:val="bottom"/>
            <w:hideMark/>
          </w:tcPr>
          <w:p w14:paraId="3251091E" w14:textId="1EED0B1D" w:rsidR="00A933CF" w:rsidRPr="00A0186B" w:rsidRDefault="00A933CF" w:rsidP="00785761">
            <w:pPr>
              <w:spacing w:after="0" w:line="240" w:lineRule="auto"/>
              <w:rPr>
                <w:rFonts w:eastAsia="Times New Roman" w:cs="Arial"/>
                <w:sz w:val="20"/>
                <w:szCs w:val="20"/>
                <w:lang w:eastAsia="en-AU"/>
              </w:rPr>
            </w:pPr>
            <w:r w:rsidRPr="004F4004">
              <w:rPr>
                <w:rFonts w:eastAsia="Times New Roman" w:cs="Calibri"/>
                <w:color w:val="000000"/>
                <w:lang w:val="fr" w:eastAsia="en-AU"/>
              </w:rPr>
              <w:t>Objectif 2</w:t>
            </w:r>
          </w:p>
        </w:tc>
        <w:tc>
          <w:tcPr>
            <w:tcW w:w="700" w:type="pct"/>
            <w:shd w:val="clear" w:color="auto" w:fill="FAF9F8"/>
            <w:noWrap/>
            <w:vAlign w:val="bottom"/>
            <w:hideMark/>
          </w:tcPr>
          <w:p w14:paraId="69D78828" w14:textId="59AAF1F8"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vAlign w:val="bottom"/>
            <w:hideMark/>
          </w:tcPr>
          <w:p w14:paraId="0C8F5295" w14:textId="527C17CC"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shd w:val="clear" w:color="auto" w:fill="FAF9F8"/>
            <w:noWrap/>
            <w:vAlign w:val="bottom"/>
            <w:hideMark/>
          </w:tcPr>
          <w:p w14:paraId="715FCEC1" w14:textId="7783EFF4"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038BBDE6" w14:textId="6322CF0C"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300D6BB" w14:textId="17AADA43"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FAF9F8"/>
            <w:noWrap/>
            <w:vAlign w:val="bottom"/>
            <w:hideMark/>
          </w:tcPr>
          <w:p w14:paraId="723A83EB" w14:textId="30185C29" w:rsidR="00A933CF" w:rsidRPr="00A0186B" w:rsidRDefault="00A933CF"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29</w:t>
            </w:r>
          </w:p>
        </w:tc>
      </w:tr>
      <w:tr w:rsidR="00A933CF" w:rsidRPr="00A0186B" w14:paraId="6C460B42" w14:textId="77777777" w:rsidTr="00785761">
        <w:trPr>
          <w:cantSplit/>
        </w:trPr>
        <w:tc>
          <w:tcPr>
            <w:tcW w:w="801" w:type="pct"/>
            <w:shd w:val="clear" w:color="auto" w:fill="auto"/>
            <w:noWrap/>
            <w:vAlign w:val="bottom"/>
            <w:hideMark/>
          </w:tcPr>
          <w:p w14:paraId="442AE722" w14:textId="78CCE688" w:rsidR="00A933CF" w:rsidRPr="00A0186B" w:rsidRDefault="00A933CF" w:rsidP="00785761">
            <w:pPr>
              <w:spacing w:after="0" w:line="240" w:lineRule="auto"/>
              <w:rPr>
                <w:rFonts w:eastAsia="Times New Roman" w:cs="Arial"/>
                <w:sz w:val="20"/>
                <w:szCs w:val="20"/>
                <w:lang w:eastAsia="en-AU"/>
              </w:rPr>
            </w:pPr>
            <w:r w:rsidRPr="004F4004">
              <w:rPr>
                <w:rFonts w:eastAsia="Times New Roman" w:cs="Calibri"/>
                <w:color w:val="000000"/>
                <w:lang w:val="fr" w:eastAsia="en-AU"/>
              </w:rPr>
              <w:t>Objectif 3</w:t>
            </w:r>
          </w:p>
        </w:tc>
        <w:tc>
          <w:tcPr>
            <w:tcW w:w="700" w:type="pct"/>
            <w:shd w:val="clear" w:color="auto" w:fill="auto"/>
            <w:noWrap/>
            <w:vAlign w:val="bottom"/>
            <w:hideMark/>
          </w:tcPr>
          <w:p w14:paraId="3CF1CA62" w14:textId="238DB9F7"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22EDF2EF" w14:textId="737F3883"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auto"/>
            <w:noWrap/>
            <w:vAlign w:val="bottom"/>
            <w:hideMark/>
          </w:tcPr>
          <w:p w14:paraId="1D8D92CB" w14:textId="31A24D02"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5B4532A9" w14:textId="1F4DE0F0"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57116" w14:textId="6B0485DB" w:rsidR="00A933CF" w:rsidRPr="00A0186B" w:rsidRDefault="00A933CF"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auto"/>
            <w:noWrap/>
            <w:vAlign w:val="bottom"/>
            <w:hideMark/>
          </w:tcPr>
          <w:p w14:paraId="33C01DDA" w14:textId="5A7F1F0A" w:rsidR="00A933CF" w:rsidRPr="00A0186B" w:rsidRDefault="00A933CF"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785761" w:rsidRPr="00A0186B" w14:paraId="6283A8D4" w14:textId="77777777" w:rsidTr="00785761">
        <w:trPr>
          <w:cantSplit/>
        </w:trPr>
        <w:tc>
          <w:tcPr>
            <w:tcW w:w="801" w:type="pct"/>
            <w:shd w:val="clear" w:color="auto" w:fill="E4E9F3"/>
            <w:noWrap/>
            <w:vAlign w:val="bottom"/>
            <w:hideMark/>
          </w:tcPr>
          <w:p w14:paraId="2CFF44A9" w14:textId="687C8269" w:rsidR="00785761" w:rsidRPr="00A0186B" w:rsidRDefault="00A933CF" w:rsidP="00785761">
            <w:pPr>
              <w:spacing w:after="0" w:line="240" w:lineRule="auto"/>
              <w:rPr>
                <w:rFonts w:eastAsia="Times New Roman" w:cs="Arial"/>
                <w:b/>
                <w:sz w:val="20"/>
                <w:szCs w:val="20"/>
                <w:lang w:eastAsia="en-AU"/>
              </w:rPr>
            </w:pPr>
            <w:r w:rsidRPr="004F4004">
              <w:rPr>
                <w:rFonts w:eastAsia="Times New Roman" w:cs="Calibri"/>
                <w:b/>
                <w:bCs/>
                <w:color w:val="000000"/>
                <w:lang w:val="fr" w:eastAsia="en-AU"/>
              </w:rPr>
              <w:t>En général</w:t>
            </w:r>
          </w:p>
        </w:tc>
        <w:tc>
          <w:tcPr>
            <w:tcW w:w="700" w:type="pct"/>
            <w:shd w:val="clear" w:color="auto" w:fill="E4E9F3"/>
            <w:noWrap/>
            <w:vAlign w:val="bottom"/>
            <w:hideMark/>
          </w:tcPr>
          <w:p w14:paraId="57F9D28C" w14:textId="1D680FA7"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260F25D2" w14:textId="2CF00D3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2E2A9E6A" w14:textId="2364A35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340C1A08" w14:textId="580BF4CD"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4F4F705C" w14:textId="754CE822"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699" w:type="pct"/>
            <w:shd w:val="clear" w:color="auto" w:fill="E4E9F3"/>
            <w:noWrap/>
            <w:vAlign w:val="bottom"/>
            <w:hideMark/>
          </w:tcPr>
          <w:p w14:paraId="35964FE4" w14:textId="1690748C"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2648F049" w14:textId="7E9623CF" w:rsidR="00C62233" w:rsidRDefault="00C62233">
      <w:r>
        <w:br w:type="page"/>
      </w:r>
    </w:p>
    <w:p w14:paraId="62DD751A" w14:textId="6B03ED22" w:rsidR="00C62233" w:rsidRPr="00C62233" w:rsidRDefault="00B96816" w:rsidP="0094489E">
      <w:pPr>
        <w:pStyle w:val="Heading1"/>
      </w:pPr>
      <w:bookmarkStart w:id="21" w:name="_Toc153226830"/>
      <w:r>
        <w:rPr>
          <w:lang w:val="fr-FR"/>
        </w:rPr>
        <w:lastRenderedPageBreak/>
        <w:t>Plan d’action ciblé Sécurité</w:t>
      </w:r>
      <w:bookmarkEnd w:id="21"/>
    </w:p>
    <w:p w14:paraId="583BD182" w14:textId="77777777" w:rsidR="00DA227A" w:rsidRPr="00DA227A" w:rsidRDefault="00DA227A" w:rsidP="00515A1C">
      <w:pPr>
        <w:pStyle w:val="Heading2"/>
        <w:pBdr>
          <w:top w:val="none" w:sz="0" w:space="0" w:color="auto"/>
        </w:pBdr>
      </w:pPr>
      <w:bookmarkStart w:id="22" w:name="_Toc153226831"/>
      <w:r w:rsidRPr="00DA227A">
        <w:t>Introduction</w:t>
      </w:r>
      <w:bookmarkEnd w:id="22"/>
    </w:p>
    <w:p w14:paraId="4FE14B73" w14:textId="77777777" w:rsidR="00B13F2D" w:rsidRPr="00FF30B1" w:rsidRDefault="00B13F2D" w:rsidP="00B13F2D">
      <w:pPr>
        <w:spacing w:before="240" w:after="240" w:line="240" w:lineRule="auto"/>
        <w:rPr>
          <w:rFonts w:cs="Arial"/>
          <w:lang w:val="fr-FR"/>
        </w:rPr>
      </w:pPr>
      <w:r>
        <w:rPr>
          <w:lang w:val="fr-FR"/>
        </w:rPr>
        <w:t xml:space="preserve">Le PAC Sécurité a été conçu pour encourager les progrès dans le domaine de résultats de la Stratégie en lien avec la sécurité, les droits et la justice. </w:t>
      </w:r>
    </w:p>
    <w:p w14:paraId="11186720" w14:textId="77777777" w:rsidR="00B13F2D" w:rsidRPr="0021219D" w:rsidRDefault="00B13F2D" w:rsidP="00B13F2D">
      <w:pPr>
        <w:spacing w:before="240" w:after="240" w:line="240" w:lineRule="auto"/>
        <w:rPr>
          <w:rFonts w:cs="Arial"/>
          <w:lang w:val="fr-FR"/>
        </w:rPr>
      </w:pPr>
      <w:r>
        <w:rPr>
          <w:lang w:val="fr-FR"/>
        </w:rPr>
        <w:t xml:space="preserve">Ce domaine de résultats vise à garantir que les droits des personnes en situation de handicap sont promus, respectés et protégés, et que ces personnes se sentent en sécurité et bénéficient de l’égalité devant la loi. </w:t>
      </w:r>
    </w:p>
    <w:p w14:paraId="70390320" w14:textId="77777777" w:rsidR="00B13F2D" w:rsidRPr="00FF30B1" w:rsidRDefault="00B13F2D" w:rsidP="00B13F2D">
      <w:pPr>
        <w:spacing w:before="240" w:after="240" w:line="240" w:lineRule="auto"/>
        <w:rPr>
          <w:rFonts w:cs="Arial"/>
          <w:lang w:val="fr-FR"/>
        </w:rPr>
      </w:pPr>
      <w:r>
        <w:rPr>
          <w:lang w:val="fr-FR"/>
        </w:rPr>
        <w:t xml:space="preserve">Dans le cadre du PAC Sécurité, 117 actions ont été menées par le gouvernement fédéral et ceux des États et Territoires en 2022-2023. </w:t>
      </w:r>
    </w:p>
    <w:p w14:paraId="49D372A0" w14:textId="5639CDEC" w:rsidR="00B13F2D" w:rsidRDefault="00B13F2D" w:rsidP="00B13F2D">
      <w:pPr>
        <w:spacing w:before="240" w:after="240" w:line="240" w:lineRule="auto"/>
      </w:pPr>
      <w:r>
        <w:rPr>
          <w:lang w:val="fr-FR"/>
        </w:rPr>
        <w:t>Il s’agit notamment d’actions permettant d’identifier les personnes en situation de handicap risquant de subir des préjudices, d’examiner comment mieux harmoniser la législation et les politiques nationales, et d’améliorer les services et les ressources d’assistance aux personnes à risque.</w:t>
      </w:r>
    </w:p>
    <w:p w14:paraId="1ABC1D7A" w14:textId="5D002AE8" w:rsidR="00C62233" w:rsidRPr="00B13F2D" w:rsidRDefault="00B13F2D" w:rsidP="00B71B33">
      <w:pPr>
        <w:pStyle w:val="Heading2"/>
      </w:pPr>
      <w:bookmarkStart w:id="23" w:name="_Toc153226832"/>
      <w:r w:rsidRPr="00B13F2D">
        <w:rPr>
          <w:lang w:val="fr-FR"/>
        </w:rPr>
        <w:t>Objectifs</w:t>
      </w:r>
      <w:bookmarkEnd w:id="23"/>
    </w:p>
    <w:p w14:paraId="3DC39654" w14:textId="13FA5A42" w:rsidR="00C62233" w:rsidRDefault="00B13F2D" w:rsidP="00B71B33">
      <w:pPr>
        <w:pStyle w:val="ListParagraph"/>
        <w:numPr>
          <w:ilvl w:val="0"/>
          <w:numId w:val="43"/>
        </w:numPr>
        <w:spacing w:after="120" w:line="240" w:lineRule="auto"/>
      </w:pPr>
      <w:r>
        <w:rPr>
          <w:lang w:val="fr-FR"/>
        </w:rPr>
        <w:t>Renforcer la capacité à identifier et traiter les facteurs de risque et de protection qui font qu’une personne en situation de handicap subit ou risque de subir un préjudice.</w:t>
      </w:r>
      <w:r w:rsidR="00C62233">
        <w:t xml:space="preserve"> </w:t>
      </w:r>
    </w:p>
    <w:p w14:paraId="136AF986" w14:textId="04C9D178" w:rsidR="00C62233" w:rsidRDefault="00B13F2D" w:rsidP="00B71B33">
      <w:pPr>
        <w:pStyle w:val="ListParagraph"/>
        <w:numPr>
          <w:ilvl w:val="0"/>
          <w:numId w:val="43"/>
        </w:numPr>
        <w:spacing w:after="120" w:line="240" w:lineRule="auto"/>
      </w:pPr>
      <w:r>
        <w:rPr>
          <w:lang w:val="fr-FR"/>
        </w:rPr>
        <w:t>Veiller à ce que les services généraux et spécialisés dans le domaine du handicap offrent des protections appropriées et proportionnées aux personnes en situation de handicap qui subissent ou risquent de subir des préjudices.</w:t>
      </w:r>
      <w:r w:rsidR="00C62233">
        <w:t xml:space="preserve"> </w:t>
      </w:r>
    </w:p>
    <w:p w14:paraId="09F33777" w14:textId="2C2D2EAE" w:rsidR="00C62233" w:rsidRDefault="00B13F2D" w:rsidP="00B71B33">
      <w:pPr>
        <w:pStyle w:val="ListParagraph"/>
        <w:numPr>
          <w:ilvl w:val="0"/>
          <w:numId w:val="43"/>
        </w:numPr>
        <w:spacing w:after="120" w:line="240" w:lineRule="auto"/>
      </w:pPr>
      <w:r>
        <w:rPr>
          <w:lang w:val="fr-FR"/>
        </w:rPr>
        <w:t xml:space="preserve">Renforcer la conception de tous les systèmes de services gouvernementaux et des mesures de soutien qu’ils fournissent aux personnes en situation de handicap exposées à des risques de préjudice. </w:t>
      </w:r>
      <w:r w:rsidR="00C62233">
        <w:t xml:space="preserve"> </w:t>
      </w:r>
    </w:p>
    <w:p w14:paraId="52A38308" w14:textId="6B718D31" w:rsidR="00C62233" w:rsidRDefault="00B13F2D" w:rsidP="00B71B33">
      <w:pPr>
        <w:pStyle w:val="ListParagraph"/>
        <w:numPr>
          <w:ilvl w:val="0"/>
          <w:numId w:val="43"/>
        </w:numPr>
        <w:spacing w:after="120" w:line="240" w:lineRule="auto"/>
      </w:pPr>
      <w:r>
        <w:rPr>
          <w:lang w:val="fr-FR"/>
        </w:rPr>
        <w:t>Réduire et éliminer le recours aux pratiques restrictives dans tous les systèmes de services gouvernementaux.</w:t>
      </w:r>
      <w:r w:rsidR="00C62233">
        <w:t xml:space="preserve"> </w:t>
      </w:r>
    </w:p>
    <w:p w14:paraId="65E6A996" w14:textId="0C24E36D" w:rsidR="00C62233" w:rsidRDefault="00B13F2D" w:rsidP="00B71B33">
      <w:pPr>
        <w:pStyle w:val="ListParagraph"/>
        <w:numPr>
          <w:ilvl w:val="0"/>
          <w:numId w:val="43"/>
        </w:numPr>
        <w:spacing w:after="120" w:line="240" w:lineRule="auto"/>
      </w:pPr>
      <w:r>
        <w:rPr>
          <w:lang w:val="fr-FR"/>
        </w:rPr>
        <w:t>Renforcer les capacités individuelles et les protections naturelles efficaces (c’est-à-dire les soutiens et protections informels tels que les liens avec la famille et la communauté) des personnes en situation de handicap.</w:t>
      </w:r>
    </w:p>
    <w:p w14:paraId="6F491625" w14:textId="77777777" w:rsidR="00C62233" w:rsidRDefault="00C62233">
      <w:r>
        <w:br w:type="page"/>
      </w:r>
    </w:p>
    <w:p w14:paraId="61E37569" w14:textId="01D7EFC6" w:rsidR="00C62233" w:rsidRPr="0066071F" w:rsidRDefault="00425D83" w:rsidP="0066071F">
      <w:pPr>
        <w:rPr>
          <w:b/>
          <w:bCs/>
          <w:color w:val="6C1740"/>
          <w:sz w:val="94"/>
          <w:szCs w:val="94"/>
        </w:rPr>
      </w:pPr>
      <w:r w:rsidRPr="00425D83">
        <w:rPr>
          <w:b/>
          <w:bCs/>
          <w:color w:val="6C1740"/>
          <w:sz w:val="94"/>
          <w:szCs w:val="94"/>
        </w:rPr>
        <w:lastRenderedPageBreak/>
        <w:t xml:space="preserve">PAC </w:t>
      </w:r>
      <w:proofErr w:type="spellStart"/>
      <w:r w:rsidRPr="00425D83">
        <w:rPr>
          <w:b/>
          <w:bCs/>
          <w:color w:val="6C1740"/>
          <w:sz w:val="94"/>
          <w:szCs w:val="94"/>
        </w:rPr>
        <w:t>Sécurité</w:t>
      </w:r>
      <w:proofErr w:type="spellEnd"/>
    </w:p>
    <w:p w14:paraId="4AF4A1D1" w14:textId="181ECB2D" w:rsidR="00C62233" w:rsidRDefault="0098332A" w:rsidP="00697A46">
      <w:pPr>
        <w:spacing w:before="240" w:after="240" w:line="240" w:lineRule="auto"/>
      </w:pPr>
      <w:r>
        <w:rPr>
          <w:lang w:val="fr-FR"/>
        </w:rPr>
        <w:t>Tableau 9 : PAC Sécurité – État d’avancement des actions par gouvernement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637"/>
        <w:gridCol w:w="1135"/>
        <w:gridCol w:w="1294"/>
        <w:gridCol w:w="1294"/>
        <w:gridCol w:w="1294"/>
        <w:gridCol w:w="1294"/>
        <w:gridCol w:w="1294"/>
      </w:tblGrid>
      <w:tr w:rsidR="004A67AD" w:rsidRPr="00A0186B" w14:paraId="4A6BA6AA" w14:textId="77777777" w:rsidTr="00C243F4">
        <w:trPr>
          <w:cantSplit/>
        </w:trPr>
        <w:tc>
          <w:tcPr>
            <w:tcW w:w="886"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6D369B95" w:rsidR="004A67AD" w:rsidRPr="00A0186B" w:rsidRDefault="004A67AD" w:rsidP="002A249B">
            <w:pPr>
              <w:spacing w:after="0" w:line="240" w:lineRule="auto"/>
              <w:rPr>
                <w:rFonts w:eastAsia="Times New Roman" w:cs="Arial"/>
                <w:b/>
                <w:bCs/>
                <w:color w:val="FFFFFF" w:themeColor="background1"/>
                <w:sz w:val="20"/>
                <w:szCs w:val="20"/>
                <w:lang w:eastAsia="en-AU"/>
              </w:rPr>
            </w:pPr>
            <w:bookmarkStart w:id="24" w:name="Title_09"/>
            <w:bookmarkEnd w:id="24"/>
            <w:r w:rsidRPr="00A86D39">
              <w:rPr>
                <w:rFonts w:eastAsia="Times New Roman" w:cs="Calibri"/>
                <w:b/>
                <w:bCs/>
                <w:color w:val="FFFFFF" w:themeColor="background1"/>
                <w:sz w:val="20"/>
                <w:szCs w:val="20"/>
                <w:lang w:val="fr" w:eastAsia="en-AU"/>
              </w:rPr>
              <w:t>Gouvernement</w:t>
            </w:r>
          </w:p>
        </w:tc>
        <w:tc>
          <w:tcPr>
            <w:tcW w:w="6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6796A994" w:rsidR="004A67AD" w:rsidRPr="00A0186B" w:rsidRDefault="004A67AD" w:rsidP="00464AAF">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Finalisé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512825C8" w:rsidR="004A67AD" w:rsidRPr="00A0186B" w:rsidRDefault="004A67AD" w:rsidP="002A249B">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En bonne voie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4C9EC613" w:rsidR="004A67AD" w:rsidRPr="00A0186B" w:rsidRDefault="004A67AD" w:rsidP="002A249B">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Quelques retards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5F8AC5E9" w:rsidR="004A67AD" w:rsidRPr="00A0186B" w:rsidRDefault="004A67AD" w:rsidP="002A249B">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En pause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050B7DD2" w:rsidR="004A67AD" w:rsidRPr="00A0186B" w:rsidRDefault="004A67AD" w:rsidP="002A249B">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Commencement à une date ultérieure</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3CE5F4E0" w:rsidR="004A67AD" w:rsidRPr="00A0186B" w:rsidRDefault="004A67AD" w:rsidP="002A249B">
            <w:pPr>
              <w:spacing w:after="0" w:line="240" w:lineRule="auto"/>
              <w:rPr>
                <w:rFonts w:eastAsia="Times New Roman" w:cs="Arial"/>
                <w:b/>
                <w:color w:val="FFFFFF" w:themeColor="background1"/>
                <w:sz w:val="20"/>
                <w:szCs w:val="20"/>
                <w:lang w:eastAsia="en-AU"/>
              </w:rPr>
            </w:pPr>
            <w:r w:rsidRPr="00A86D39">
              <w:rPr>
                <w:b/>
                <w:color w:val="FFFFFF" w:themeColor="background1"/>
                <w:sz w:val="20"/>
                <w:szCs w:val="20"/>
              </w:rPr>
              <w:t>Total</w:t>
            </w:r>
          </w:p>
        </w:tc>
      </w:tr>
      <w:tr w:rsidR="006A2FF7" w:rsidRPr="00A0186B" w14:paraId="1A6B4889" w14:textId="77777777" w:rsidTr="00C243F4">
        <w:trPr>
          <w:cantSplit/>
        </w:trPr>
        <w:tc>
          <w:tcPr>
            <w:tcW w:w="886" w:type="pct"/>
            <w:tcBorders>
              <w:top w:val="single" w:sz="4" w:space="0" w:color="auto"/>
            </w:tcBorders>
            <w:noWrap/>
            <w:hideMark/>
          </w:tcPr>
          <w:p w14:paraId="1EE59503" w14:textId="46E4F769"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Australian Government</w:t>
            </w:r>
          </w:p>
        </w:tc>
        <w:tc>
          <w:tcPr>
            <w:tcW w:w="614" w:type="pct"/>
            <w:tcBorders>
              <w:top w:val="single" w:sz="4" w:space="0" w:color="auto"/>
            </w:tcBorders>
            <w:noWrap/>
            <w:hideMark/>
          </w:tcPr>
          <w:p w14:paraId="6892605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noWrap/>
            <w:hideMark/>
          </w:tcPr>
          <w:p w14:paraId="5287CC8A"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noWrap/>
            <w:hideMark/>
          </w:tcPr>
          <w:p w14:paraId="3EBEB48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tcBorders>
              <w:top w:val="single" w:sz="4" w:space="0" w:color="auto"/>
            </w:tcBorders>
            <w:noWrap/>
            <w:hideMark/>
          </w:tcPr>
          <w:p w14:paraId="35209C8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noWrap/>
            <w:hideMark/>
          </w:tcPr>
          <w:p w14:paraId="3F228A3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noWrap/>
            <w:hideMark/>
          </w:tcPr>
          <w:p w14:paraId="2B1D3447"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19</w:t>
            </w:r>
          </w:p>
        </w:tc>
      </w:tr>
      <w:tr w:rsidR="006A2FF7" w:rsidRPr="00A0186B" w14:paraId="41FE6ECC" w14:textId="77777777" w:rsidTr="00C243F4">
        <w:trPr>
          <w:cantSplit/>
        </w:trPr>
        <w:tc>
          <w:tcPr>
            <w:tcW w:w="886" w:type="pct"/>
            <w:shd w:val="clear" w:color="auto" w:fill="FAF9F8"/>
            <w:noWrap/>
            <w:hideMark/>
          </w:tcPr>
          <w:p w14:paraId="20CA60DA"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NSW</w:t>
            </w:r>
          </w:p>
        </w:tc>
        <w:tc>
          <w:tcPr>
            <w:tcW w:w="614" w:type="pct"/>
            <w:shd w:val="clear" w:color="auto" w:fill="FAF9F8"/>
            <w:noWrap/>
            <w:hideMark/>
          </w:tcPr>
          <w:p w14:paraId="0EF23DB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E35BFD5"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6F0D5D5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6EC2C252"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40A5BD6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315FC467"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18</w:t>
            </w:r>
          </w:p>
        </w:tc>
      </w:tr>
      <w:tr w:rsidR="000F751D" w:rsidRPr="00A0186B" w14:paraId="54AFFBF3" w14:textId="77777777" w:rsidTr="00C243F4">
        <w:trPr>
          <w:cantSplit/>
        </w:trPr>
        <w:tc>
          <w:tcPr>
            <w:tcW w:w="886" w:type="pct"/>
            <w:noWrap/>
            <w:hideMark/>
          </w:tcPr>
          <w:p w14:paraId="58ED579B"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VIC</w:t>
            </w:r>
          </w:p>
        </w:tc>
        <w:tc>
          <w:tcPr>
            <w:tcW w:w="614" w:type="pct"/>
            <w:noWrap/>
            <w:hideMark/>
          </w:tcPr>
          <w:p w14:paraId="2446CACC"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4ADEC6C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noWrap/>
            <w:hideMark/>
          </w:tcPr>
          <w:p w14:paraId="5F7BC15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9B5F22A"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441805E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68A673A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6A2FF7" w:rsidRPr="00A0186B" w14:paraId="04301E7D" w14:textId="77777777" w:rsidTr="00C243F4">
        <w:trPr>
          <w:cantSplit/>
        </w:trPr>
        <w:tc>
          <w:tcPr>
            <w:tcW w:w="886" w:type="pct"/>
            <w:shd w:val="clear" w:color="auto" w:fill="FAF9F8"/>
            <w:noWrap/>
            <w:hideMark/>
          </w:tcPr>
          <w:p w14:paraId="7E618625"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QLD</w:t>
            </w:r>
          </w:p>
        </w:tc>
        <w:tc>
          <w:tcPr>
            <w:tcW w:w="614" w:type="pct"/>
            <w:shd w:val="clear" w:color="auto" w:fill="FAF9F8"/>
            <w:noWrap/>
            <w:hideMark/>
          </w:tcPr>
          <w:p w14:paraId="7E6436B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659425A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hideMark/>
          </w:tcPr>
          <w:p w14:paraId="7F757EC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598CEBC9"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E3E5C0F"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95E5D5B"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13</w:t>
            </w:r>
          </w:p>
        </w:tc>
      </w:tr>
      <w:tr w:rsidR="000F751D" w:rsidRPr="00A0186B" w14:paraId="6376A06A" w14:textId="77777777" w:rsidTr="00C243F4">
        <w:trPr>
          <w:cantSplit/>
        </w:trPr>
        <w:tc>
          <w:tcPr>
            <w:tcW w:w="886" w:type="pct"/>
            <w:noWrap/>
            <w:hideMark/>
          </w:tcPr>
          <w:p w14:paraId="450E5E40"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WA</w:t>
            </w:r>
          </w:p>
        </w:tc>
        <w:tc>
          <w:tcPr>
            <w:tcW w:w="614" w:type="pct"/>
            <w:noWrap/>
            <w:hideMark/>
          </w:tcPr>
          <w:p w14:paraId="5342A9F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noWrap/>
            <w:hideMark/>
          </w:tcPr>
          <w:p w14:paraId="3F7F7E7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19226562"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57981A25"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012FEA7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4295B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6A2FF7" w:rsidRPr="00A0186B" w14:paraId="33572A73" w14:textId="77777777" w:rsidTr="00C243F4">
        <w:trPr>
          <w:cantSplit/>
        </w:trPr>
        <w:tc>
          <w:tcPr>
            <w:tcW w:w="886" w:type="pct"/>
            <w:shd w:val="clear" w:color="auto" w:fill="FAF9F8"/>
            <w:noWrap/>
            <w:hideMark/>
          </w:tcPr>
          <w:p w14:paraId="58F4EF6A"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SA</w:t>
            </w:r>
          </w:p>
        </w:tc>
        <w:tc>
          <w:tcPr>
            <w:tcW w:w="614" w:type="pct"/>
            <w:shd w:val="clear" w:color="auto" w:fill="FAF9F8"/>
            <w:noWrap/>
            <w:hideMark/>
          </w:tcPr>
          <w:p w14:paraId="4791A30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392918F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78B097F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29C3F5AB"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hideMark/>
          </w:tcPr>
          <w:p w14:paraId="5DB4677A"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6CF2A2A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0F751D" w:rsidRPr="00A0186B" w14:paraId="79FB5A6D" w14:textId="77777777" w:rsidTr="00C243F4">
        <w:trPr>
          <w:cantSplit/>
        </w:trPr>
        <w:tc>
          <w:tcPr>
            <w:tcW w:w="886" w:type="pct"/>
            <w:noWrap/>
            <w:hideMark/>
          </w:tcPr>
          <w:p w14:paraId="32045DC3"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TAS</w:t>
            </w:r>
          </w:p>
        </w:tc>
        <w:tc>
          <w:tcPr>
            <w:tcW w:w="614" w:type="pct"/>
            <w:noWrap/>
            <w:hideMark/>
          </w:tcPr>
          <w:p w14:paraId="6C8DCF7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175CE8F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6262126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676844D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24F28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277D38A"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7</w:t>
            </w:r>
          </w:p>
        </w:tc>
      </w:tr>
      <w:tr w:rsidR="006A2FF7" w:rsidRPr="00A0186B" w14:paraId="08D656B7" w14:textId="77777777" w:rsidTr="00C243F4">
        <w:trPr>
          <w:cantSplit/>
        </w:trPr>
        <w:tc>
          <w:tcPr>
            <w:tcW w:w="886" w:type="pct"/>
            <w:shd w:val="clear" w:color="auto" w:fill="FAF9F8"/>
            <w:noWrap/>
            <w:hideMark/>
          </w:tcPr>
          <w:p w14:paraId="3AC90D32"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ACT</w:t>
            </w:r>
          </w:p>
        </w:tc>
        <w:tc>
          <w:tcPr>
            <w:tcW w:w="614" w:type="pct"/>
            <w:shd w:val="clear" w:color="auto" w:fill="FAF9F8"/>
            <w:noWrap/>
            <w:hideMark/>
          </w:tcPr>
          <w:p w14:paraId="4E0C0BE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3F31ADD4"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6FE6831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9400AD4"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28EC626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F88A95F"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0F751D" w:rsidRPr="00A0186B" w14:paraId="374EAD0F" w14:textId="77777777" w:rsidTr="00C243F4">
        <w:trPr>
          <w:cantSplit/>
        </w:trPr>
        <w:tc>
          <w:tcPr>
            <w:tcW w:w="886" w:type="pct"/>
            <w:noWrap/>
            <w:hideMark/>
          </w:tcPr>
          <w:p w14:paraId="21C95C9C" w14:textId="77777777" w:rsidR="002A249B" w:rsidRPr="00A0186B" w:rsidRDefault="002A249B" w:rsidP="002A249B">
            <w:pPr>
              <w:spacing w:after="0" w:line="240" w:lineRule="auto"/>
              <w:rPr>
                <w:rFonts w:eastAsia="Times New Roman" w:cs="Arial"/>
                <w:sz w:val="20"/>
                <w:szCs w:val="20"/>
                <w:lang w:eastAsia="en-AU"/>
              </w:rPr>
            </w:pPr>
            <w:r w:rsidRPr="00A0186B">
              <w:rPr>
                <w:rFonts w:eastAsia="Times New Roman" w:cs="Arial"/>
                <w:sz w:val="20"/>
                <w:szCs w:val="20"/>
                <w:lang w:eastAsia="en-AU"/>
              </w:rPr>
              <w:t>NT</w:t>
            </w:r>
          </w:p>
        </w:tc>
        <w:tc>
          <w:tcPr>
            <w:tcW w:w="614" w:type="pct"/>
            <w:noWrap/>
            <w:hideMark/>
          </w:tcPr>
          <w:p w14:paraId="44F2940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2924C135"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0214D5B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7458721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001D288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9A7D977"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6A2FF7" w:rsidRPr="00A0186B" w14:paraId="685DB864" w14:textId="77777777" w:rsidTr="00C243F4">
        <w:trPr>
          <w:cantSplit/>
        </w:trPr>
        <w:tc>
          <w:tcPr>
            <w:tcW w:w="886" w:type="pct"/>
            <w:shd w:val="clear" w:color="auto" w:fill="E4E9F3"/>
            <w:noWrap/>
            <w:hideMark/>
          </w:tcPr>
          <w:p w14:paraId="6051DFDB" w14:textId="42B69BB0" w:rsidR="002A249B" w:rsidRPr="00A0186B" w:rsidRDefault="001C3DE7" w:rsidP="002A249B">
            <w:pPr>
              <w:spacing w:after="0" w:line="240" w:lineRule="auto"/>
              <w:rPr>
                <w:rFonts w:eastAsia="Times New Roman" w:cs="Arial"/>
                <w:b/>
                <w:sz w:val="20"/>
                <w:szCs w:val="20"/>
                <w:lang w:eastAsia="en-AU"/>
              </w:rPr>
            </w:pPr>
            <w:r w:rsidRPr="004F4004">
              <w:rPr>
                <w:rFonts w:eastAsia="Times New Roman" w:cs="Calibri"/>
                <w:b/>
                <w:bCs/>
                <w:color w:val="000000"/>
                <w:lang w:val="fr" w:eastAsia="en-AU"/>
              </w:rPr>
              <w:t>Total national</w:t>
            </w:r>
          </w:p>
        </w:tc>
        <w:tc>
          <w:tcPr>
            <w:tcW w:w="614" w:type="pct"/>
            <w:shd w:val="clear" w:color="auto" w:fill="E4E9F3"/>
            <w:noWrap/>
            <w:hideMark/>
          </w:tcPr>
          <w:p w14:paraId="4005B25E"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hideMark/>
          </w:tcPr>
          <w:p w14:paraId="3598A9E0"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hideMark/>
          </w:tcPr>
          <w:p w14:paraId="3CB9B52A"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hideMark/>
          </w:tcPr>
          <w:p w14:paraId="3B67EE57"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hideMark/>
          </w:tcPr>
          <w:p w14:paraId="1D2F5088"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hideMark/>
          </w:tcPr>
          <w:p w14:paraId="3B312B7A"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7DB54C4E" w14:textId="104AD40A" w:rsidR="00C62233" w:rsidRDefault="0098332A" w:rsidP="009A28E1">
      <w:pPr>
        <w:spacing w:before="240" w:after="240" w:line="240" w:lineRule="auto"/>
      </w:pPr>
      <w:r>
        <w:rPr>
          <w:lang w:val="fr-FR"/>
        </w:rPr>
        <w:t>Tableau 10 : PAC Sécurité – État d’avancement des actions par objectif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78"/>
        <w:gridCol w:w="1294"/>
        <w:gridCol w:w="1294"/>
        <w:gridCol w:w="1294"/>
        <w:gridCol w:w="1294"/>
        <w:gridCol w:w="1294"/>
        <w:gridCol w:w="1294"/>
      </w:tblGrid>
      <w:tr w:rsidR="004A67AD" w:rsidRPr="00A0186B" w14:paraId="1A442218" w14:textId="77777777" w:rsidTr="00504E88">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7947CC4A" w14:textId="26855C0D" w:rsidR="004A67AD" w:rsidRPr="00A0186B" w:rsidRDefault="004A67AD" w:rsidP="002A249B">
            <w:pPr>
              <w:spacing w:after="0" w:line="240" w:lineRule="auto"/>
              <w:rPr>
                <w:rFonts w:eastAsia="Times New Roman" w:cs="Arial"/>
                <w:b/>
                <w:bCs/>
                <w:color w:val="FFFFFF" w:themeColor="background1"/>
                <w:sz w:val="20"/>
                <w:szCs w:val="20"/>
                <w:lang w:eastAsia="en-AU"/>
              </w:rPr>
            </w:pPr>
            <w:bookmarkStart w:id="25" w:name="Title_10"/>
            <w:bookmarkEnd w:id="25"/>
            <w:r w:rsidRPr="00580A70">
              <w:rPr>
                <w:rFonts w:eastAsia="Times New Roman" w:cs="Calibri"/>
                <w:b/>
                <w:bCs/>
                <w:color w:val="FFFFFF" w:themeColor="background1"/>
                <w:lang w:val="fr" w:eastAsia="en-AU"/>
              </w:rPr>
              <w:t>Objectif</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5E30B112" w:rsidR="004A67AD" w:rsidRPr="00A0186B" w:rsidRDefault="004A67AD" w:rsidP="00464AAF">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Finalisé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355A0570" w:rsidR="004A67AD" w:rsidRPr="00A0186B" w:rsidRDefault="004A67AD" w:rsidP="002A249B">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En bonne voie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6B36A2EB" w:rsidR="004A67AD" w:rsidRPr="00A0186B" w:rsidRDefault="004A67AD" w:rsidP="002A249B">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Quelques retards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00B29B3B" w:rsidR="004A67AD" w:rsidRPr="00A0186B" w:rsidRDefault="004A67AD" w:rsidP="002A249B">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En pause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32F5A823" w:rsidR="004A67AD" w:rsidRPr="00A0186B" w:rsidRDefault="004A67AD" w:rsidP="002A249B">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Commencement à une date ultérieure</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67A0AE1B" w14:textId="56398FC2" w:rsidR="004A67AD" w:rsidRPr="00A0186B" w:rsidRDefault="004A67AD" w:rsidP="002A249B">
            <w:pPr>
              <w:spacing w:after="0" w:line="240" w:lineRule="auto"/>
              <w:rPr>
                <w:rFonts w:eastAsia="Times New Roman" w:cs="Arial"/>
                <w:b/>
                <w:color w:val="FFFFFF" w:themeColor="background1"/>
                <w:sz w:val="20"/>
                <w:szCs w:val="20"/>
                <w:lang w:eastAsia="en-AU"/>
              </w:rPr>
            </w:pPr>
            <w:r w:rsidRPr="00A86D39">
              <w:rPr>
                <w:b/>
                <w:color w:val="FFFFFF" w:themeColor="background1"/>
                <w:sz w:val="20"/>
                <w:szCs w:val="20"/>
              </w:rPr>
              <w:t>Total</w:t>
            </w:r>
          </w:p>
        </w:tc>
      </w:tr>
      <w:tr w:rsidR="004A67AD" w:rsidRPr="00A0186B" w14:paraId="50224A4E" w14:textId="77777777" w:rsidTr="00A0186B">
        <w:trPr>
          <w:cantSplit/>
        </w:trPr>
        <w:tc>
          <w:tcPr>
            <w:tcW w:w="800" w:type="pct"/>
            <w:tcBorders>
              <w:top w:val="single" w:sz="4" w:space="0" w:color="auto"/>
            </w:tcBorders>
            <w:shd w:val="clear" w:color="auto" w:fill="auto"/>
            <w:noWrap/>
            <w:vAlign w:val="bottom"/>
            <w:hideMark/>
          </w:tcPr>
          <w:p w14:paraId="42DCB5DB" w14:textId="78606A02" w:rsidR="004A67AD" w:rsidRPr="00A0186B" w:rsidRDefault="004A67AD" w:rsidP="002A249B">
            <w:pPr>
              <w:spacing w:after="0" w:line="240" w:lineRule="auto"/>
              <w:rPr>
                <w:rFonts w:eastAsia="Times New Roman" w:cs="Arial"/>
                <w:sz w:val="20"/>
                <w:szCs w:val="20"/>
                <w:lang w:eastAsia="en-AU"/>
              </w:rPr>
            </w:pPr>
            <w:r w:rsidRPr="004F4004">
              <w:rPr>
                <w:rFonts w:eastAsia="Times New Roman" w:cs="Calibri"/>
                <w:color w:val="000000"/>
                <w:lang w:val="fr" w:eastAsia="en-AU"/>
              </w:rPr>
              <w:t>Objectif 1</w:t>
            </w:r>
          </w:p>
        </w:tc>
        <w:tc>
          <w:tcPr>
            <w:tcW w:w="700" w:type="pct"/>
            <w:tcBorders>
              <w:top w:val="single" w:sz="4" w:space="0" w:color="auto"/>
            </w:tcBorders>
            <w:shd w:val="clear" w:color="auto" w:fill="auto"/>
            <w:noWrap/>
            <w:vAlign w:val="bottom"/>
            <w:hideMark/>
          </w:tcPr>
          <w:p w14:paraId="283962CF"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3C906748"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0AD704F5"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12728BE"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652C37D" w14:textId="77777777" w:rsidR="004A67AD" w:rsidRPr="00A0186B" w:rsidRDefault="004A67A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17</w:t>
            </w:r>
          </w:p>
        </w:tc>
      </w:tr>
      <w:tr w:rsidR="004A67AD" w:rsidRPr="00A0186B" w14:paraId="24E43643" w14:textId="77777777" w:rsidTr="00A0186B">
        <w:trPr>
          <w:cantSplit/>
        </w:trPr>
        <w:tc>
          <w:tcPr>
            <w:tcW w:w="800" w:type="pct"/>
            <w:shd w:val="clear" w:color="auto" w:fill="FAF9F8"/>
            <w:noWrap/>
            <w:vAlign w:val="bottom"/>
            <w:hideMark/>
          </w:tcPr>
          <w:p w14:paraId="4E897F82" w14:textId="3022B38F" w:rsidR="004A67AD" w:rsidRPr="00A0186B" w:rsidRDefault="004A67AD" w:rsidP="002A249B">
            <w:pPr>
              <w:spacing w:after="0" w:line="240" w:lineRule="auto"/>
              <w:rPr>
                <w:rFonts w:eastAsia="Times New Roman" w:cs="Arial"/>
                <w:sz w:val="20"/>
                <w:szCs w:val="20"/>
                <w:lang w:eastAsia="en-AU"/>
              </w:rPr>
            </w:pPr>
            <w:r w:rsidRPr="004F4004">
              <w:rPr>
                <w:rFonts w:eastAsia="Times New Roman" w:cs="Calibri"/>
                <w:color w:val="000000"/>
                <w:lang w:val="fr" w:eastAsia="en-AU"/>
              </w:rPr>
              <w:t>Objectif 2</w:t>
            </w:r>
          </w:p>
        </w:tc>
        <w:tc>
          <w:tcPr>
            <w:tcW w:w="700" w:type="pct"/>
            <w:shd w:val="clear" w:color="auto" w:fill="FAF9F8"/>
            <w:noWrap/>
            <w:vAlign w:val="bottom"/>
            <w:hideMark/>
          </w:tcPr>
          <w:p w14:paraId="0BED6AA8"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2E216D00"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FAF9F8"/>
            <w:noWrap/>
            <w:vAlign w:val="bottom"/>
            <w:hideMark/>
          </w:tcPr>
          <w:p w14:paraId="535F54CB"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0B44C7A4"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68AB9486"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96DD07E" w14:textId="77777777" w:rsidR="004A67AD" w:rsidRPr="00A0186B" w:rsidRDefault="004A67A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25</w:t>
            </w:r>
          </w:p>
        </w:tc>
      </w:tr>
      <w:tr w:rsidR="004A67AD" w:rsidRPr="00A0186B" w14:paraId="752C962F" w14:textId="77777777" w:rsidTr="00A0186B">
        <w:trPr>
          <w:cantSplit/>
        </w:trPr>
        <w:tc>
          <w:tcPr>
            <w:tcW w:w="800" w:type="pct"/>
            <w:shd w:val="clear" w:color="auto" w:fill="auto"/>
            <w:noWrap/>
            <w:vAlign w:val="bottom"/>
            <w:hideMark/>
          </w:tcPr>
          <w:p w14:paraId="62025C90" w14:textId="7EC8C404" w:rsidR="004A67AD" w:rsidRPr="00A0186B" w:rsidRDefault="004A67AD" w:rsidP="002A249B">
            <w:pPr>
              <w:spacing w:after="0" w:line="240" w:lineRule="auto"/>
              <w:rPr>
                <w:rFonts w:eastAsia="Times New Roman" w:cs="Arial"/>
                <w:sz w:val="20"/>
                <w:szCs w:val="20"/>
                <w:lang w:eastAsia="en-AU"/>
              </w:rPr>
            </w:pPr>
            <w:r w:rsidRPr="004F4004">
              <w:rPr>
                <w:rFonts w:eastAsia="Times New Roman" w:cs="Calibri"/>
                <w:color w:val="000000"/>
                <w:lang w:val="fr" w:eastAsia="en-AU"/>
              </w:rPr>
              <w:t>Objectif 3</w:t>
            </w:r>
          </w:p>
        </w:tc>
        <w:tc>
          <w:tcPr>
            <w:tcW w:w="700" w:type="pct"/>
            <w:shd w:val="clear" w:color="auto" w:fill="auto"/>
            <w:noWrap/>
            <w:vAlign w:val="bottom"/>
            <w:hideMark/>
          </w:tcPr>
          <w:p w14:paraId="0FA5F14F"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12</w:t>
            </w:r>
          </w:p>
        </w:tc>
        <w:tc>
          <w:tcPr>
            <w:tcW w:w="700" w:type="pct"/>
            <w:shd w:val="clear" w:color="auto" w:fill="auto"/>
            <w:noWrap/>
            <w:vAlign w:val="bottom"/>
            <w:hideMark/>
          </w:tcPr>
          <w:p w14:paraId="6C2713E0"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23</w:t>
            </w:r>
          </w:p>
        </w:tc>
        <w:tc>
          <w:tcPr>
            <w:tcW w:w="700" w:type="pct"/>
            <w:shd w:val="clear" w:color="auto" w:fill="auto"/>
            <w:noWrap/>
            <w:vAlign w:val="bottom"/>
            <w:hideMark/>
          </w:tcPr>
          <w:p w14:paraId="323270B6"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auto"/>
            <w:noWrap/>
            <w:vAlign w:val="bottom"/>
            <w:hideMark/>
          </w:tcPr>
          <w:p w14:paraId="541AC52A"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20ACE4D" w14:textId="77777777" w:rsidR="004A67AD" w:rsidRPr="00A0186B" w:rsidRDefault="004A67AD"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139924FC" w14:textId="77777777" w:rsidR="004A67AD" w:rsidRPr="00A0186B" w:rsidRDefault="004A67AD"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48</w:t>
            </w:r>
          </w:p>
        </w:tc>
      </w:tr>
      <w:tr w:rsidR="00BE3F25" w:rsidRPr="00A0186B" w14:paraId="6C97C360" w14:textId="77777777" w:rsidTr="00A0186B">
        <w:trPr>
          <w:cantSplit/>
        </w:trPr>
        <w:tc>
          <w:tcPr>
            <w:tcW w:w="800" w:type="pct"/>
            <w:shd w:val="clear" w:color="auto" w:fill="FAF9F8"/>
            <w:noWrap/>
            <w:vAlign w:val="bottom"/>
            <w:hideMark/>
          </w:tcPr>
          <w:p w14:paraId="4A8A8395" w14:textId="15015BDE" w:rsidR="002A249B" w:rsidRPr="00A0186B" w:rsidRDefault="004A67AD" w:rsidP="002A249B">
            <w:pPr>
              <w:spacing w:after="0" w:line="240" w:lineRule="auto"/>
              <w:rPr>
                <w:rFonts w:eastAsia="Times New Roman" w:cs="Arial"/>
                <w:sz w:val="20"/>
                <w:szCs w:val="20"/>
                <w:lang w:eastAsia="en-AU"/>
              </w:rPr>
            </w:pPr>
            <w:r w:rsidRPr="004F4004">
              <w:rPr>
                <w:rFonts w:eastAsia="Times New Roman" w:cs="Calibri"/>
                <w:color w:val="000000"/>
                <w:lang w:val="fr" w:eastAsia="en-AU"/>
              </w:rPr>
              <w:t>Objectif</w:t>
            </w:r>
            <w:r w:rsidR="002A249B" w:rsidRPr="00A0186B">
              <w:rPr>
                <w:rFonts w:eastAsia="Times New Roman" w:cs="Arial"/>
                <w:sz w:val="20"/>
                <w:szCs w:val="20"/>
                <w:lang w:eastAsia="en-AU"/>
              </w:rPr>
              <w:t xml:space="preserve"> 4</w:t>
            </w:r>
          </w:p>
        </w:tc>
        <w:tc>
          <w:tcPr>
            <w:tcW w:w="700" w:type="pct"/>
            <w:shd w:val="clear" w:color="auto" w:fill="FAF9F8"/>
            <w:noWrap/>
            <w:vAlign w:val="bottom"/>
            <w:hideMark/>
          </w:tcPr>
          <w:p w14:paraId="3EE6C45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360830C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7344FC7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shd w:val="clear" w:color="auto" w:fill="FAF9F8"/>
            <w:noWrap/>
            <w:vAlign w:val="bottom"/>
            <w:hideMark/>
          </w:tcPr>
          <w:p w14:paraId="389652D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79F42A3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704575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21</w:t>
            </w:r>
          </w:p>
        </w:tc>
      </w:tr>
      <w:tr w:rsidR="00BE3F25" w:rsidRPr="00A0186B" w14:paraId="53A6D06E" w14:textId="77777777" w:rsidTr="00A0186B">
        <w:trPr>
          <w:cantSplit/>
        </w:trPr>
        <w:tc>
          <w:tcPr>
            <w:tcW w:w="800" w:type="pct"/>
            <w:shd w:val="clear" w:color="auto" w:fill="auto"/>
            <w:noWrap/>
            <w:vAlign w:val="bottom"/>
            <w:hideMark/>
          </w:tcPr>
          <w:p w14:paraId="152F361C" w14:textId="315E2217" w:rsidR="002A249B" w:rsidRPr="00A0186B" w:rsidRDefault="004A67AD" w:rsidP="002A249B">
            <w:pPr>
              <w:spacing w:after="0" w:line="240" w:lineRule="auto"/>
              <w:rPr>
                <w:rFonts w:eastAsia="Times New Roman" w:cs="Arial"/>
                <w:sz w:val="20"/>
                <w:szCs w:val="20"/>
                <w:lang w:eastAsia="en-AU"/>
              </w:rPr>
            </w:pPr>
            <w:r w:rsidRPr="004F4004">
              <w:rPr>
                <w:rFonts w:eastAsia="Times New Roman" w:cs="Calibri"/>
                <w:color w:val="000000"/>
                <w:lang w:val="fr" w:eastAsia="en-AU"/>
              </w:rPr>
              <w:t>Objectif</w:t>
            </w:r>
            <w:r w:rsidR="002A249B" w:rsidRPr="00A0186B">
              <w:rPr>
                <w:rFonts w:eastAsia="Times New Roman" w:cs="Arial"/>
                <w:sz w:val="20"/>
                <w:szCs w:val="20"/>
                <w:lang w:eastAsia="en-AU"/>
              </w:rPr>
              <w:t xml:space="preserve"> 5</w:t>
            </w:r>
          </w:p>
        </w:tc>
        <w:tc>
          <w:tcPr>
            <w:tcW w:w="700" w:type="pct"/>
            <w:shd w:val="clear" w:color="auto" w:fill="auto"/>
            <w:noWrap/>
            <w:vAlign w:val="bottom"/>
            <w:hideMark/>
          </w:tcPr>
          <w:p w14:paraId="4F3B89F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3A27BE1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1B5370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00CCEE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6693E3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E84B1D3"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BE3F25" w:rsidRPr="00A0186B" w14:paraId="10585727" w14:textId="77777777" w:rsidTr="00A0186B">
        <w:trPr>
          <w:cantSplit/>
        </w:trPr>
        <w:tc>
          <w:tcPr>
            <w:tcW w:w="800" w:type="pct"/>
            <w:shd w:val="clear" w:color="auto" w:fill="E4E9F3"/>
            <w:noWrap/>
            <w:vAlign w:val="bottom"/>
            <w:hideMark/>
          </w:tcPr>
          <w:p w14:paraId="4196F190" w14:textId="1020B025" w:rsidR="002A249B" w:rsidRPr="00A0186B" w:rsidRDefault="004A67AD" w:rsidP="002A249B">
            <w:pPr>
              <w:spacing w:after="0" w:line="240" w:lineRule="auto"/>
              <w:rPr>
                <w:rFonts w:eastAsia="Times New Roman" w:cs="Arial"/>
                <w:b/>
                <w:sz w:val="20"/>
                <w:szCs w:val="20"/>
                <w:lang w:eastAsia="en-AU"/>
              </w:rPr>
            </w:pPr>
            <w:r w:rsidRPr="004F4004">
              <w:rPr>
                <w:rFonts w:eastAsia="Times New Roman" w:cs="Calibri"/>
                <w:b/>
                <w:bCs/>
                <w:color w:val="000000"/>
                <w:lang w:val="fr" w:eastAsia="en-AU"/>
              </w:rPr>
              <w:t>En général</w:t>
            </w:r>
          </w:p>
        </w:tc>
        <w:tc>
          <w:tcPr>
            <w:tcW w:w="700" w:type="pct"/>
            <w:shd w:val="clear" w:color="auto" w:fill="E4E9F3"/>
            <w:noWrap/>
            <w:vAlign w:val="bottom"/>
            <w:hideMark/>
          </w:tcPr>
          <w:p w14:paraId="56BE06D7"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vAlign w:val="bottom"/>
            <w:hideMark/>
          </w:tcPr>
          <w:p w14:paraId="531944AA"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vAlign w:val="bottom"/>
            <w:hideMark/>
          </w:tcPr>
          <w:p w14:paraId="0B6C1071"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vAlign w:val="bottom"/>
            <w:hideMark/>
          </w:tcPr>
          <w:p w14:paraId="4BBF7AFE"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vAlign w:val="bottom"/>
            <w:hideMark/>
          </w:tcPr>
          <w:p w14:paraId="0BDE481B"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vAlign w:val="bottom"/>
            <w:hideMark/>
          </w:tcPr>
          <w:p w14:paraId="6980E183"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6EE09519" w14:textId="77777777" w:rsidR="00C62233" w:rsidRDefault="00C62233">
      <w:r>
        <w:br w:type="page"/>
      </w:r>
    </w:p>
    <w:p w14:paraId="29DF166D" w14:textId="4D3233E4" w:rsidR="00C62233" w:rsidRPr="00943ECD" w:rsidRDefault="00553E97" w:rsidP="00DA227A">
      <w:pPr>
        <w:pStyle w:val="Heading1"/>
        <w:rPr>
          <w:sz w:val="92"/>
          <w:szCs w:val="92"/>
        </w:rPr>
      </w:pPr>
      <w:bookmarkStart w:id="26" w:name="_Toc153226833"/>
      <w:r w:rsidRPr="00943ECD">
        <w:rPr>
          <w:sz w:val="92"/>
          <w:szCs w:val="92"/>
          <w:lang w:val="fr-FR"/>
        </w:rPr>
        <w:lastRenderedPageBreak/>
        <w:t>Plan d’actions ciblé Gestion des situations d’urgence</w:t>
      </w:r>
      <w:bookmarkEnd w:id="26"/>
    </w:p>
    <w:p w14:paraId="41C85088" w14:textId="77777777" w:rsidR="00C62233" w:rsidRPr="00DA227A" w:rsidRDefault="00C62233" w:rsidP="00515A1C">
      <w:pPr>
        <w:pStyle w:val="Heading2"/>
        <w:pBdr>
          <w:top w:val="none" w:sz="0" w:space="0" w:color="auto"/>
        </w:pBdr>
      </w:pPr>
      <w:bookmarkStart w:id="27" w:name="_Toc153226834"/>
      <w:r w:rsidRPr="00DA227A">
        <w:t>Introduction</w:t>
      </w:r>
      <w:bookmarkEnd w:id="27"/>
      <w:r w:rsidRPr="00DA227A">
        <w:t xml:space="preserve"> </w:t>
      </w:r>
    </w:p>
    <w:p w14:paraId="7BBC95DA" w14:textId="77777777" w:rsidR="00553E97" w:rsidRPr="00FF30B1" w:rsidRDefault="00553E97" w:rsidP="00553E97">
      <w:pPr>
        <w:spacing w:before="240" w:after="240" w:line="240" w:lineRule="auto"/>
        <w:rPr>
          <w:rFonts w:cs="Arial"/>
          <w:lang w:val="fr-FR"/>
        </w:rPr>
      </w:pPr>
      <w:r>
        <w:rPr>
          <w:lang w:val="fr-FR"/>
        </w:rPr>
        <w:t xml:space="preserve">Le PAC Gestion des situations d’urgence a été conçu pour favoriser les avancées dans le domaine de résultats de la Stratégie de la santé et du bien-être. </w:t>
      </w:r>
    </w:p>
    <w:p w14:paraId="0CCDBD31" w14:textId="77777777" w:rsidR="00553E97" w:rsidRPr="00FF30B1" w:rsidRDefault="00553E97" w:rsidP="00553E97">
      <w:pPr>
        <w:spacing w:before="240" w:after="240" w:line="240" w:lineRule="auto"/>
        <w:rPr>
          <w:rFonts w:cs="Arial"/>
          <w:lang w:val="fr-FR"/>
        </w:rPr>
      </w:pPr>
      <w:r>
        <w:rPr>
          <w:lang w:val="fr-FR"/>
        </w:rPr>
        <w:t xml:space="preserve">Ce domaine de résultats vise à garantir que les personnes en situation de handicap obtiennent les meilleurs résultats possibles en matière de santé et de bien-être tout au long de leur vie. </w:t>
      </w:r>
    </w:p>
    <w:p w14:paraId="4BDFB0FB" w14:textId="77777777" w:rsidR="00553E97" w:rsidRPr="00FF30B1" w:rsidRDefault="00553E97" w:rsidP="00553E97">
      <w:pPr>
        <w:spacing w:before="240" w:after="240" w:line="240" w:lineRule="auto"/>
        <w:rPr>
          <w:rFonts w:cs="Arial"/>
          <w:lang w:val="fr-FR"/>
        </w:rPr>
      </w:pPr>
      <w:r>
        <w:rPr>
          <w:lang w:val="fr-FR"/>
        </w:rPr>
        <w:t xml:space="preserve">Dans le cadre du PAC Gestion des situations d’urgence, 47 actions ont été menées par le gouvernement fédéral et ceux des États et Territoires au cours de la période 2022-2023. </w:t>
      </w:r>
    </w:p>
    <w:p w14:paraId="5F9BEC14" w14:textId="5F955F27" w:rsidR="00553E97" w:rsidRDefault="00553E97" w:rsidP="00553E97">
      <w:pPr>
        <w:spacing w:before="240" w:after="240" w:line="240" w:lineRule="auto"/>
      </w:pPr>
      <w:r>
        <w:rPr>
          <w:lang w:val="fr-FR"/>
        </w:rPr>
        <w:t>Il s’agit notamment d’actions visant à recueillir activement les commentaires et opinions des personnes en situation de handicap et du secteur du handicap, à revoir et améliorer les préparatifs et plans d’intervention d’urgence afin de mieux y inclure les personnes en situation de handicap, et à améliorer la communication des informations pendant les situations d’urgence.</w:t>
      </w:r>
    </w:p>
    <w:p w14:paraId="0B4539E0" w14:textId="1EC1E219" w:rsidR="00C62233" w:rsidRPr="00553E97" w:rsidRDefault="00553E97" w:rsidP="009B5AB0">
      <w:pPr>
        <w:pStyle w:val="Heading2"/>
      </w:pPr>
      <w:bookmarkStart w:id="28" w:name="_Toc153226835"/>
      <w:r w:rsidRPr="00553E97">
        <w:rPr>
          <w:lang w:val="fr-FR"/>
        </w:rPr>
        <w:t>Objectifs</w:t>
      </w:r>
      <w:bookmarkEnd w:id="28"/>
    </w:p>
    <w:p w14:paraId="79CA01A4" w14:textId="211E9884" w:rsidR="00C62233" w:rsidRDefault="00553E97" w:rsidP="009B5AB0">
      <w:pPr>
        <w:pStyle w:val="ListParagraph"/>
        <w:numPr>
          <w:ilvl w:val="0"/>
          <w:numId w:val="45"/>
        </w:numPr>
        <w:spacing w:before="120" w:after="120" w:line="240" w:lineRule="auto"/>
        <w:contextualSpacing w:val="0"/>
      </w:pPr>
      <w:r>
        <w:rPr>
          <w:lang w:val="fr-FR"/>
        </w:rPr>
        <w:t xml:space="preserve">Veiller à ce que les processus de planification des catastrophes et des situations d’urgence permettant d’évaluer les risques de catastrophe et d’élaborer et adapter les plans de gestion des catastrophes et des situations d’urgence incluent les personnes en situation de handicap. </w:t>
      </w:r>
      <w:r w:rsidR="00C62233">
        <w:t xml:space="preserve"> </w:t>
      </w:r>
    </w:p>
    <w:p w14:paraId="55ADE46B" w14:textId="7445D3AD" w:rsidR="00C62233" w:rsidRDefault="00553E97" w:rsidP="009B5AB0">
      <w:pPr>
        <w:pStyle w:val="ListParagraph"/>
        <w:numPr>
          <w:ilvl w:val="0"/>
          <w:numId w:val="45"/>
        </w:numPr>
        <w:spacing w:before="120" w:after="120" w:line="240" w:lineRule="auto"/>
        <w:contextualSpacing w:val="0"/>
      </w:pPr>
      <w:r>
        <w:rPr>
          <w:lang w:val="fr-FR"/>
        </w:rPr>
        <w:t>Veiller à ce que des processus inclusifs de gestion des catastrophes et des situations d’urgence, de préparation et de planification de la reprise après sinistre garantissent la santé et le bien-être des personnes en situation de handicap avant, pendant et après les situations d’urgence.</w:t>
      </w:r>
    </w:p>
    <w:p w14:paraId="0D242A81" w14:textId="77777777" w:rsidR="00C62233" w:rsidRDefault="00C62233">
      <w:r>
        <w:br w:type="page"/>
      </w:r>
    </w:p>
    <w:p w14:paraId="3F7F5B46" w14:textId="7D9D81DB" w:rsidR="00C62233" w:rsidRPr="00D03923" w:rsidRDefault="006A2536" w:rsidP="0066071F">
      <w:pPr>
        <w:rPr>
          <w:b/>
          <w:bCs/>
          <w:color w:val="6C1740"/>
          <w:sz w:val="92"/>
          <w:szCs w:val="92"/>
        </w:rPr>
      </w:pPr>
      <w:r w:rsidRPr="00D03923">
        <w:rPr>
          <w:b/>
          <w:bCs/>
          <w:color w:val="6C1740"/>
          <w:sz w:val="92"/>
          <w:szCs w:val="92"/>
        </w:rPr>
        <w:lastRenderedPageBreak/>
        <w:t xml:space="preserve">PAC </w:t>
      </w:r>
      <w:proofErr w:type="spellStart"/>
      <w:r w:rsidRPr="00D03923">
        <w:rPr>
          <w:b/>
          <w:bCs/>
          <w:color w:val="6C1740"/>
          <w:sz w:val="92"/>
          <w:szCs w:val="92"/>
        </w:rPr>
        <w:t>Gestion</w:t>
      </w:r>
      <w:proofErr w:type="spellEnd"/>
      <w:r w:rsidRPr="00D03923">
        <w:rPr>
          <w:b/>
          <w:bCs/>
          <w:color w:val="6C1740"/>
          <w:sz w:val="92"/>
          <w:szCs w:val="92"/>
        </w:rPr>
        <w:t xml:space="preserve"> des situations</w:t>
      </w:r>
      <w:r w:rsidR="00D03923" w:rsidRPr="00D03923">
        <w:rPr>
          <w:b/>
          <w:bCs/>
          <w:color w:val="6C1740"/>
          <w:sz w:val="92"/>
          <w:szCs w:val="92"/>
        </w:rPr>
        <w:t xml:space="preserve"> </w:t>
      </w:r>
      <w:proofErr w:type="spellStart"/>
      <w:r w:rsidRPr="00D03923">
        <w:rPr>
          <w:b/>
          <w:bCs/>
          <w:color w:val="6C1740"/>
          <w:sz w:val="92"/>
          <w:szCs w:val="92"/>
        </w:rPr>
        <w:t>d’urgence</w:t>
      </w:r>
      <w:proofErr w:type="spellEnd"/>
    </w:p>
    <w:p w14:paraId="2EBAA179" w14:textId="1D168814" w:rsidR="00B12B54" w:rsidRDefault="00C243F4" w:rsidP="009B5AB0">
      <w:pPr>
        <w:spacing w:before="240" w:after="240" w:line="240" w:lineRule="auto"/>
      </w:pPr>
      <w:r>
        <w:rPr>
          <w:lang w:val="fr-FR"/>
        </w:rPr>
        <w:t>Tableau 11 : PAC Gestion des situations d’urgence – État d’avancement des actions par gouvernement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637"/>
        <w:gridCol w:w="1135"/>
        <w:gridCol w:w="1294"/>
        <w:gridCol w:w="1294"/>
        <w:gridCol w:w="1294"/>
        <w:gridCol w:w="1294"/>
        <w:gridCol w:w="1294"/>
      </w:tblGrid>
      <w:tr w:rsidR="00C243F4" w:rsidRPr="0008159F" w14:paraId="1C137626" w14:textId="77777777" w:rsidTr="00C243F4">
        <w:tc>
          <w:tcPr>
            <w:tcW w:w="886"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4B7B6D9D" w:rsidR="00C243F4" w:rsidRPr="0008159F" w:rsidRDefault="00C243F4"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Gouvernement</w:t>
            </w:r>
          </w:p>
        </w:tc>
        <w:tc>
          <w:tcPr>
            <w:tcW w:w="6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156B4803" w:rsidR="00C243F4" w:rsidRPr="0008159F" w:rsidRDefault="00C243F4" w:rsidP="00464AAF">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Finalisé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23C7F61F" w:rsidR="00C243F4" w:rsidRPr="0008159F" w:rsidRDefault="00C243F4"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En bonne voie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479431C7" w:rsidR="00C243F4" w:rsidRPr="0008159F" w:rsidRDefault="00C243F4"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Quelques retards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7B008F3E" w:rsidR="00C243F4" w:rsidRPr="0008159F" w:rsidRDefault="00C243F4"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En pause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6E946213" w:rsidR="00C243F4" w:rsidRPr="0008159F" w:rsidRDefault="00C243F4" w:rsidP="002A249B">
            <w:pPr>
              <w:spacing w:after="0" w:line="240" w:lineRule="auto"/>
              <w:rPr>
                <w:rFonts w:eastAsia="Times New Roman" w:cs="Arial"/>
                <w:b/>
                <w:color w:val="FFFFFF" w:themeColor="background1"/>
                <w:sz w:val="20"/>
                <w:szCs w:val="20"/>
                <w:lang w:eastAsia="en-AU"/>
              </w:rPr>
            </w:pPr>
            <w:r w:rsidRPr="00A86D39">
              <w:rPr>
                <w:rFonts w:eastAsia="Times New Roman" w:cs="Calibri"/>
                <w:b/>
                <w:bCs/>
                <w:color w:val="FFFFFF" w:themeColor="background1"/>
                <w:sz w:val="20"/>
                <w:szCs w:val="20"/>
                <w:lang w:val="fr" w:eastAsia="en-AU"/>
              </w:rPr>
              <w:t>Commencement à une date ultérieure</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44AD5DF5" w:rsidR="00C243F4" w:rsidRPr="0008159F" w:rsidRDefault="00C243F4" w:rsidP="002A249B">
            <w:pPr>
              <w:spacing w:after="0" w:line="240" w:lineRule="auto"/>
              <w:rPr>
                <w:rFonts w:eastAsia="Times New Roman" w:cs="Arial"/>
                <w:b/>
                <w:color w:val="FFFFFF" w:themeColor="background1"/>
                <w:sz w:val="20"/>
                <w:szCs w:val="20"/>
                <w:lang w:eastAsia="en-AU"/>
              </w:rPr>
            </w:pPr>
            <w:r w:rsidRPr="00A86D39">
              <w:rPr>
                <w:b/>
                <w:color w:val="FFFFFF" w:themeColor="background1"/>
                <w:sz w:val="20"/>
                <w:szCs w:val="20"/>
              </w:rPr>
              <w:t>Total</w:t>
            </w:r>
          </w:p>
        </w:tc>
      </w:tr>
      <w:tr w:rsidR="0008159F" w:rsidRPr="0008159F" w14:paraId="0DCF74B0" w14:textId="77777777" w:rsidTr="00C243F4">
        <w:tc>
          <w:tcPr>
            <w:tcW w:w="886" w:type="pct"/>
            <w:tcBorders>
              <w:top w:val="single" w:sz="4" w:space="0" w:color="auto"/>
            </w:tcBorders>
            <w:shd w:val="clear" w:color="auto" w:fill="auto"/>
            <w:noWrap/>
            <w:vAlign w:val="bottom"/>
            <w:hideMark/>
          </w:tcPr>
          <w:p w14:paraId="31A858C9" w14:textId="6F716252"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Australian Government</w:t>
            </w:r>
          </w:p>
        </w:tc>
        <w:tc>
          <w:tcPr>
            <w:tcW w:w="614" w:type="pct"/>
            <w:tcBorders>
              <w:top w:val="single" w:sz="4" w:space="0" w:color="auto"/>
            </w:tcBorders>
            <w:shd w:val="clear" w:color="auto" w:fill="auto"/>
            <w:noWrap/>
            <w:vAlign w:val="bottom"/>
            <w:hideMark/>
          </w:tcPr>
          <w:p w14:paraId="2262EDB7"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48463F06"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49ECB633"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2020D0"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12</w:t>
            </w:r>
          </w:p>
        </w:tc>
      </w:tr>
      <w:tr w:rsidR="0008159F" w:rsidRPr="0008159F" w14:paraId="0C3BA2D8" w14:textId="77777777" w:rsidTr="00C243F4">
        <w:tc>
          <w:tcPr>
            <w:tcW w:w="886" w:type="pct"/>
            <w:shd w:val="clear" w:color="auto" w:fill="FAF9F8"/>
            <w:noWrap/>
            <w:vAlign w:val="bottom"/>
            <w:hideMark/>
          </w:tcPr>
          <w:p w14:paraId="6ABC2B46"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NSW</w:t>
            </w:r>
          </w:p>
        </w:tc>
        <w:tc>
          <w:tcPr>
            <w:tcW w:w="614" w:type="pct"/>
            <w:shd w:val="clear" w:color="auto" w:fill="FAF9F8"/>
            <w:noWrap/>
            <w:vAlign w:val="bottom"/>
            <w:hideMark/>
          </w:tcPr>
          <w:p w14:paraId="4FD50421"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3A0C4ED0"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05385FD4"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5EC0E875"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29A2C34C"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2AF893"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08159F" w:rsidRPr="0008159F" w14:paraId="013760D8" w14:textId="77777777" w:rsidTr="00C243F4">
        <w:tc>
          <w:tcPr>
            <w:tcW w:w="886" w:type="pct"/>
            <w:shd w:val="clear" w:color="auto" w:fill="auto"/>
            <w:noWrap/>
            <w:vAlign w:val="bottom"/>
            <w:hideMark/>
          </w:tcPr>
          <w:p w14:paraId="66E2EE6A"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VIC</w:t>
            </w:r>
          </w:p>
        </w:tc>
        <w:tc>
          <w:tcPr>
            <w:tcW w:w="614" w:type="pct"/>
            <w:shd w:val="clear" w:color="auto" w:fill="auto"/>
            <w:noWrap/>
            <w:vAlign w:val="bottom"/>
            <w:hideMark/>
          </w:tcPr>
          <w:p w14:paraId="2AE15052"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20D31E47"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5E3D3E04"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E811071"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860BBF4"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217780C"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08159F" w:rsidRPr="0008159F" w14:paraId="3CF3A435" w14:textId="77777777" w:rsidTr="00C243F4">
        <w:tc>
          <w:tcPr>
            <w:tcW w:w="886" w:type="pct"/>
            <w:shd w:val="clear" w:color="auto" w:fill="FAF9F8"/>
            <w:noWrap/>
            <w:vAlign w:val="bottom"/>
            <w:hideMark/>
          </w:tcPr>
          <w:p w14:paraId="448AE5BB"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QLD</w:t>
            </w:r>
          </w:p>
        </w:tc>
        <w:tc>
          <w:tcPr>
            <w:tcW w:w="614" w:type="pct"/>
            <w:shd w:val="clear" w:color="auto" w:fill="FAF9F8"/>
            <w:noWrap/>
            <w:vAlign w:val="bottom"/>
            <w:hideMark/>
          </w:tcPr>
          <w:p w14:paraId="1F9C17AB"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244CD2B"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FAF9F8"/>
            <w:noWrap/>
            <w:vAlign w:val="bottom"/>
            <w:hideMark/>
          </w:tcPr>
          <w:p w14:paraId="647FC07D"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4085B65"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FA6FF52"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9DA728"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3</w:t>
            </w:r>
          </w:p>
        </w:tc>
      </w:tr>
      <w:tr w:rsidR="0008159F" w:rsidRPr="0008159F" w14:paraId="50ACD9E3" w14:textId="77777777" w:rsidTr="00C243F4">
        <w:tc>
          <w:tcPr>
            <w:tcW w:w="886" w:type="pct"/>
            <w:shd w:val="clear" w:color="auto" w:fill="auto"/>
            <w:noWrap/>
            <w:vAlign w:val="bottom"/>
            <w:hideMark/>
          </w:tcPr>
          <w:p w14:paraId="69EF4F95"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WA</w:t>
            </w:r>
          </w:p>
        </w:tc>
        <w:tc>
          <w:tcPr>
            <w:tcW w:w="614" w:type="pct"/>
            <w:shd w:val="clear" w:color="auto" w:fill="auto"/>
            <w:noWrap/>
            <w:vAlign w:val="bottom"/>
            <w:hideMark/>
          </w:tcPr>
          <w:p w14:paraId="1CCCE82A"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7BF34F59"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4037FD19"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3EF573FC"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96F6475"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16DDB81"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5</w:t>
            </w:r>
          </w:p>
        </w:tc>
      </w:tr>
      <w:tr w:rsidR="0008159F" w:rsidRPr="0008159F" w14:paraId="3BAA5C76" w14:textId="77777777" w:rsidTr="00C243F4">
        <w:tc>
          <w:tcPr>
            <w:tcW w:w="886" w:type="pct"/>
            <w:shd w:val="clear" w:color="auto" w:fill="FAF9F8"/>
            <w:noWrap/>
            <w:vAlign w:val="bottom"/>
            <w:hideMark/>
          </w:tcPr>
          <w:p w14:paraId="122FAFA3"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SA</w:t>
            </w:r>
          </w:p>
        </w:tc>
        <w:tc>
          <w:tcPr>
            <w:tcW w:w="614" w:type="pct"/>
            <w:shd w:val="clear" w:color="auto" w:fill="FAF9F8"/>
            <w:noWrap/>
            <w:vAlign w:val="bottom"/>
            <w:hideMark/>
          </w:tcPr>
          <w:p w14:paraId="4A71AF58"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0660A67A"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8</w:t>
            </w:r>
          </w:p>
        </w:tc>
        <w:tc>
          <w:tcPr>
            <w:tcW w:w="700" w:type="pct"/>
            <w:shd w:val="clear" w:color="auto" w:fill="FAF9F8"/>
            <w:noWrap/>
            <w:vAlign w:val="bottom"/>
            <w:hideMark/>
          </w:tcPr>
          <w:p w14:paraId="44DF5230"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660DA4C"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0CA36DCE"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74B8234B"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9</w:t>
            </w:r>
          </w:p>
        </w:tc>
      </w:tr>
      <w:tr w:rsidR="0008159F" w:rsidRPr="0008159F" w14:paraId="577B1584" w14:textId="77777777" w:rsidTr="00C243F4">
        <w:tc>
          <w:tcPr>
            <w:tcW w:w="886" w:type="pct"/>
            <w:shd w:val="clear" w:color="auto" w:fill="auto"/>
            <w:noWrap/>
            <w:vAlign w:val="bottom"/>
            <w:hideMark/>
          </w:tcPr>
          <w:p w14:paraId="11A9EE57"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TAS</w:t>
            </w:r>
          </w:p>
        </w:tc>
        <w:tc>
          <w:tcPr>
            <w:tcW w:w="614" w:type="pct"/>
            <w:shd w:val="clear" w:color="auto" w:fill="auto"/>
            <w:noWrap/>
            <w:vAlign w:val="bottom"/>
            <w:hideMark/>
          </w:tcPr>
          <w:p w14:paraId="3F29406B"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2C992748"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0A84C9E7"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342671B"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457A3586"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C6430CA"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08159F" w:rsidRPr="0008159F" w14:paraId="04318AD1" w14:textId="77777777" w:rsidTr="00C243F4">
        <w:tc>
          <w:tcPr>
            <w:tcW w:w="886" w:type="pct"/>
            <w:shd w:val="clear" w:color="auto" w:fill="FAF9F8"/>
            <w:noWrap/>
            <w:vAlign w:val="bottom"/>
            <w:hideMark/>
          </w:tcPr>
          <w:p w14:paraId="27F54484"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ACT</w:t>
            </w:r>
          </w:p>
        </w:tc>
        <w:tc>
          <w:tcPr>
            <w:tcW w:w="614" w:type="pct"/>
            <w:shd w:val="clear" w:color="auto" w:fill="FAF9F8"/>
            <w:noWrap/>
            <w:vAlign w:val="bottom"/>
            <w:hideMark/>
          </w:tcPr>
          <w:p w14:paraId="07525472"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7C7E60BE"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752563B"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CC2DCFD"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AA4C1A8"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DA62B83"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2</w:t>
            </w:r>
          </w:p>
        </w:tc>
      </w:tr>
      <w:tr w:rsidR="0008159F" w:rsidRPr="0008159F" w14:paraId="04C8CBED" w14:textId="77777777" w:rsidTr="00C243F4">
        <w:tc>
          <w:tcPr>
            <w:tcW w:w="886" w:type="pct"/>
            <w:shd w:val="clear" w:color="auto" w:fill="auto"/>
            <w:noWrap/>
            <w:vAlign w:val="bottom"/>
            <w:hideMark/>
          </w:tcPr>
          <w:p w14:paraId="7BA71BB6" w14:textId="77777777" w:rsidR="002A249B" w:rsidRPr="0008159F" w:rsidRDefault="002A249B" w:rsidP="002A249B">
            <w:pPr>
              <w:spacing w:after="0" w:line="240" w:lineRule="auto"/>
              <w:rPr>
                <w:rFonts w:eastAsia="Times New Roman" w:cs="Arial"/>
                <w:sz w:val="20"/>
                <w:szCs w:val="20"/>
                <w:lang w:eastAsia="en-AU"/>
              </w:rPr>
            </w:pPr>
            <w:r w:rsidRPr="0008159F">
              <w:rPr>
                <w:rFonts w:eastAsia="Times New Roman" w:cs="Arial"/>
                <w:sz w:val="20"/>
                <w:szCs w:val="20"/>
                <w:lang w:eastAsia="en-AU"/>
              </w:rPr>
              <w:t>NT</w:t>
            </w:r>
          </w:p>
        </w:tc>
        <w:tc>
          <w:tcPr>
            <w:tcW w:w="614" w:type="pct"/>
            <w:shd w:val="clear" w:color="auto" w:fill="auto"/>
            <w:noWrap/>
            <w:vAlign w:val="bottom"/>
            <w:hideMark/>
          </w:tcPr>
          <w:p w14:paraId="54DF0044"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0A1A00F4"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22A358B9"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8F8101"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54EE5C" w14:textId="77777777" w:rsidR="002A249B" w:rsidRPr="0008159F" w:rsidRDefault="002A249B"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84927F3" w14:textId="77777777" w:rsidR="002A249B" w:rsidRPr="0008159F" w:rsidRDefault="002A249B"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08159F" w:rsidRPr="0008159F" w14:paraId="3E058CF7" w14:textId="77777777" w:rsidTr="00C243F4">
        <w:tc>
          <w:tcPr>
            <w:tcW w:w="886" w:type="pct"/>
            <w:shd w:val="clear" w:color="auto" w:fill="E4E9F3"/>
            <w:noWrap/>
            <w:vAlign w:val="bottom"/>
            <w:hideMark/>
          </w:tcPr>
          <w:p w14:paraId="2643E38B" w14:textId="00108234" w:rsidR="002A249B" w:rsidRPr="0008159F" w:rsidRDefault="00717108" w:rsidP="002A249B">
            <w:pPr>
              <w:spacing w:after="0" w:line="240" w:lineRule="auto"/>
              <w:rPr>
                <w:rFonts w:eastAsia="Times New Roman" w:cs="Arial"/>
                <w:b/>
                <w:sz w:val="20"/>
                <w:szCs w:val="20"/>
                <w:lang w:eastAsia="en-AU"/>
              </w:rPr>
            </w:pPr>
            <w:r w:rsidRPr="004F4004">
              <w:rPr>
                <w:rFonts w:eastAsia="Times New Roman" w:cs="Calibri"/>
                <w:b/>
                <w:bCs/>
                <w:color w:val="000000"/>
                <w:lang w:val="fr" w:eastAsia="en-AU"/>
              </w:rPr>
              <w:t>Total national</w:t>
            </w:r>
          </w:p>
        </w:tc>
        <w:tc>
          <w:tcPr>
            <w:tcW w:w="614" w:type="pct"/>
            <w:shd w:val="clear" w:color="auto" w:fill="E4E9F3"/>
            <w:noWrap/>
            <w:vAlign w:val="bottom"/>
            <w:hideMark/>
          </w:tcPr>
          <w:p w14:paraId="157D17ED"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10</w:t>
            </w:r>
          </w:p>
        </w:tc>
        <w:tc>
          <w:tcPr>
            <w:tcW w:w="700" w:type="pct"/>
            <w:shd w:val="clear" w:color="auto" w:fill="E4E9F3"/>
            <w:noWrap/>
            <w:vAlign w:val="bottom"/>
            <w:hideMark/>
          </w:tcPr>
          <w:p w14:paraId="7B0B9D0F"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34</w:t>
            </w:r>
          </w:p>
        </w:tc>
        <w:tc>
          <w:tcPr>
            <w:tcW w:w="700" w:type="pct"/>
            <w:shd w:val="clear" w:color="auto" w:fill="E4E9F3"/>
            <w:noWrap/>
            <w:vAlign w:val="bottom"/>
            <w:hideMark/>
          </w:tcPr>
          <w:p w14:paraId="079550F9"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w:t>
            </w:r>
          </w:p>
        </w:tc>
        <w:tc>
          <w:tcPr>
            <w:tcW w:w="700" w:type="pct"/>
            <w:shd w:val="clear" w:color="auto" w:fill="E4E9F3"/>
            <w:noWrap/>
            <w:vAlign w:val="bottom"/>
            <w:hideMark/>
          </w:tcPr>
          <w:p w14:paraId="06501223"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48D48C9A"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2A249B" w:rsidRPr="0008159F" w:rsidRDefault="002A249B"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47</w:t>
            </w:r>
          </w:p>
        </w:tc>
      </w:tr>
    </w:tbl>
    <w:p w14:paraId="43278F31" w14:textId="51D4129A" w:rsidR="00B12B54" w:rsidRDefault="00C243F4" w:rsidP="00482017">
      <w:pPr>
        <w:spacing w:before="240" w:after="240" w:line="240" w:lineRule="auto"/>
      </w:pPr>
      <w:r>
        <w:rPr>
          <w:lang w:val="fr-FR"/>
        </w:rPr>
        <w:t>Tableau 12 : PAC Gestion des situations d’urgence – État d’avancement des actions par objectif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80"/>
        <w:gridCol w:w="1294"/>
        <w:gridCol w:w="1294"/>
        <w:gridCol w:w="1294"/>
        <w:gridCol w:w="1294"/>
        <w:gridCol w:w="1294"/>
        <w:gridCol w:w="1292"/>
      </w:tblGrid>
      <w:tr w:rsidR="00C243F4" w:rsidRPr="00A0186B" w14:paraId="122B5EAA" w14:textId="77777777" w:rsidTr="00504E88">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7E0552C" w14:textId="44B929AF" w:rsidR="00C243F4" w:rsidRPr="00A0186B" w:rsidRDefault="00C243F4" w:rsidP="00CA6879">
            <w:pPr>
              <w:spacing w:after="0" w:line="240" w:lineRule="auto"/>
              <w:rPr>
                <w:rFonts w:eastAsia="Times New Roman" w:cs="Arial"/>
                <w:b/>
                <w:bCs/>
                <w:color w:val="FFFFFF" w:themeColor="background1"/>
                <w:sz w:val="20"/>
                <w:szCs w:val="20"/>
                <w:lang w:eastAsia="en-AU"/>
              </w:rPr>
            </w:pPr>
            <w:r w:rsidRPr="00580A70">
              <w:rPr>
                <w:rFonts w:eastAsia="Times New Roman" w:cs="Calibri"/>
                <w:b/>
                <w:bCs/>
                <w:color w:val="FFFFFF" w:themeColor="background1"/>
                <w:lang w:val="fr" w:eastAsia="en-AU"/>
              </w:rPr>
              <w:t>Objectif</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2247032B" w:rsidR="00C243F4" w:rsidRPr="00A0186B" w:rsidRDefault="00C243F4" w:rsidP="00CA6879">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Finalisé</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60EAC9AB" w:rsidR="00C243F4" w:rsidRPr="00A0186B" w:rsidRDefault="00C243F4" w:rsidP="00CA6879">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En bonne voie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1711B02F" w:rsidR="00C243F4" w:rsidRPr="00A0186B" w:rsidRDefault="00C243F4" w:rsidP="00CA6879">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Quelques retards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5D7A3031" w:rsidR="00C243F4" w:rsidRPr="00A0186B" w:rsidRDefault="00C243F4" w:rsidP="00CA6879">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En pause</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5DD5A315" w:rsidR="00C243F4" w:rsidRPr="00A0186B" w:rsidRDefault="00C243F4" w:rsidP="00CA6879">
            <w:pPr>
              <w:spacing w:after="0" w:line="240" w:lineRule="auto"/>
              <w:rPr>
                <w:rFonts w:eastAsia="Times New Roman" w:cs="Arial"/>
                <w:b/>
                <w:bCs/>
                <w:color w:val="FFFFFF" w:themeColor="background1"/>
                <w:sz w:val="20"/>
                <w:szCs w:val="20"/>
                <w:lang w:eastAsia="en-AU"/>
              </w:rPr>
            </w:pPr>
            <w:r w:rsidRPr="00A86D39">
              <w:rPr>
                <w:rFonts w:eastAsia="Times New Roman" w:cs="Calibri"/>
                <w:b/>
                <w:bCs/>
                <w:color w:val="FFFFFF" w:themeColor="background1"/>
                <w:sz w:val="20"/>
                <w:szCs w:val="20"/>
                <w:lang w:val="fr" w:eastAsia="en-AU"/>
              </w:rPr>
              <w:t>Commencement à une date ultérieure</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CB40B89" w14:textId="536F04AB" w:rsidR="00C243F4" w:rsidRPr="00A0186B" w:rsidRDefault="00C243F4" w:rsidP="00CA6879">
            <w:pPr>
              <w:spacing w:after="0" w:line="240" w:lineRule="auto"/>
              <w:rPr>
                <w:rFonts w:eastAsia="Times New Roman" w:cs="Arial"/>
                <w:b/>
                <w:color w:val="FFFFFF" w:themeColor="background1"/>
                <w:sz w:val="20"/>
                <w:szCs w:val="20"/>
                <w:lang w:eastAsia="en-AU"/>
              </w:rPr>
            </w:pPr>
            <w:r w:rsidRPr="00A86D39">
              <w:rPr>
                <w:b/>
                <w:color w:val="FFFFFF" w:themeColor="background1"/>
                <w:sz w:val="20"/>
                <w:szCs w:val="20"/>
              </w:rPr>
              <w:t>Total</w:t>
            </w:r>
          </w:p>
        </w:tc>
      </w:tr>
      <w:tr w:rsidR="00C243F4" w:rsidRPr="00A0186B" w14:paraId="75A5AFA8" w14:textId="77777777" w:rsidTr="00CA6879">
        <w:trPr>
          <w:cantSplit/>
        </w:trPr>
        <w:tc>
          <w:tcPr>
            <w:tcW w:w="801" w:type="pct"/>
            <w:tcBorders>
              <w:top w:val="single" w:sz="4" w:space="0" w:color="auto"/>
            </w:tcBorders>
            <w:shd w:val="clear" w:color="auto" w:fill="auto"/>
            <w:noWrap/>
            <w:vAlign w:val="bottom"/>
            <w:hideMark/>
          </w:tcPr>
          <w:p w14:paraId="24DB55B5" w14:textId="061CDCCB" w:rsidR="00C243F4" w:rsidRPr="00A0186B" w:rsidRDefault="00C243F4" w:rsidP="00CA6879">
            <w:pPr>
              <w:spacing w:after="0" w:line="240" w:lineRule="auto"/>
              <w:rPr>
                <w:rFonts w:eastAsia="Times New Roman" w:cs="Arial"/>
                <w:sz w:val="20"/>
                <w:szCs w:val="20"/>
                <w:lang w:eastAsia="en-AU"/>
              </w:rPr>
            </w:pPr>
            <w:r w:rsidRPr="004F4004">
              <w:rPr>
                <w:rFonts w:eastAsia="Times New Roman" w:cs="Calibri"/>
                <w:color w:val="000000"/>
                <w:lang w:val="fr" w:eastAsia="en-AU"/>
              </w:rPr>
              <w:t>Objectif 1</w:t>
            </w:r>
          </w:p>
        </w:tc>
        <w:tc>
          <w:tcPr>
            <w:tcW w:w="700" w:type="pct"/>
            <w:tcBorders>
              <w:top w:val="single" w:sz="4" w:space="0" w:color="auto"/>
            </w:tcBorders>
            <w:shd w:val="clear" w:color="auto" w:fill="auto"/>
            <w:noWrap/>
            <w:vAlign w:val="bottom"/>
            <w:hideMark/>
          </w:tcPr>
          <w:p w14:paraId="0D73D234" w14:textId="6EDFD57D" w:rsidR="00C243F4" w:rsidRPr="00A0186B" w:rsidRDefault="00C243F4"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6</w:t>
            </w:r>
          </w:p>
        </w:tc>
        <w:tc>
          <w:tcPr>
            <w:tcW w:w="700" w:type="pct"/>
            <w:tcBorders>
              <w:top w:val="single" w:sz="4" w:space="0" w:color="auto"/>
            </w:tcBorders>
            <w:shd w:val="clear" w:color="auto" w:fill="auto"/>
            <w:noWrap/>
            <w:vAlign w:val="bottom"/>
            <w:hideMark/>
          </w:tcPr>
          <w:p w14:paraId="2F53D960" w14:textId="62501D18" w:rsidR="00C243F4" w:rsidRPr="00A0186B" w:rsidRDefault="00C243F4"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EC71277" w14:textId="5C70F670" w:rsidR="00C243F4" w:rsidRPr="00A0186B" w:rsidRDefault="00C243F4"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5EAD734F" w:rsidR="00C243F4" w:rsidRPr="00A0186B" w:rsidRDefault="00C243F4"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17EB377" w14:textId="51019BC4" w:rsidR="00C243F4" w:rsidRPr="00A0186B" w:rsidRDefault="00C243F4"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C243F4" w:rsidRPr="00A0186B" w:rsidRDefault="00C243F4"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24</w:t>
            </w:r>
          </w:p>
        </w:tc>
      </w:tr>
      <w:tr w:rsidR="00C243F4" w:rsidRPr="00A0186B" w14:paraId="0462DD16" w14:textId="77777777" w:rsidTr="00CA6879">
        <w:trPr>
          <w:cantSplit/>
        </w:trPr>
        <w:tc>
          <w:tcPr>
            <w:tcW w:w="801" w:type="pct"/>
            <w:shd w:val="clear" w:color="auto" w:fill="FAF9F8"/>
            <w:noWrap/>
            <w:vAlign w:val="bottom"/>
            <w:hideMark/>
          </w:tcPr>
          <w:p w14:paraId="7050C660" w14:textId="209C2DCD" w:rsidR="00C243F4" w:rsidRPr="00A0186B" w:rsidRDefault="00C243F4" w:rsidP="00CA6879">
            <w:pPr>
              <w:spacing w:after="0" w:line="240" w:lineRule="auto"/>
              <w:rPr>
                <w:rFonts w:eastAsia="Times New Roman" w:cs="Arial"/>
                <w:sz w:val="20"/>
                <w:szCs w:val="20"/>
                <w:lang w:eastAsia="en-AU"/>
              </w:rPr>
            </w:pPr>
            <w:r w:rsidRPr="004F4004">
              <w:rPr>
                <w:rFonts w:eastAsia="Times New Roman" w:cs="Calibri"/>
                <w:color w:val="000000"/>
                <w:lang w:val="fr" w:eastAsia="en-AU"/>
              </w:rPr>
              <w:t>Objectif 2</w:t>
            </w:r>
          </w:p>
        </w:tc>
        <w:tc>
          <w:tcPr>
            <w:tcW w:w="700" w:type="pct"/>
            <w:shd w:val="clear" w:color="auto" w:fill="FAF9F8"/>
            <w:noWrap/>
            <w:vAlign w:val="bottom"/>
            <w:hideMark/>
          </w:tcPr>
          <w:p w14:paraId="65D744F0" w14:textId="67E7B14E" w:rsidR="00C243F4" w:rsidRPr="00A0186B" w:rsidRDefault="00C243F4"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4</w:t>
            </w:r>
          </w:p>
        </w:tc>
        <w:tc>
          <w:tcPr>
            <w:tcW w:w="700" w:type="pct"/>
            <w:shd w:val="clear" w:color="auto" w:fill="FAF9F8"/>
            <w:noWrap/>
            <w:vAlign w:val="bottom"/>
            <w:hideMark/>
          </w:tcPr>
          <w:p w14:paraId="0E7C92F7" w14:textId="4E40AF45" w:rsidR="00C243F4" w:rsidRPr="00A0186B" w:rsidRDefault="00C243F4"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shd w:val="clear" w:color="auto" w:fill="FAF9F8"/>
            <w:noWrap/>
            <w:vAlign w:val="bottom"/>
            <w:hideMark/>
          </w:tcPr>
          <w:p w14:paraId="5C1ED729" w14:textId="28C95529" w:rsidR="00C243F4" w:rsidRPr="00A0186B" w:rsidRDefault="00C243F4"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2</w:t>
            </w:r>
          </w:p>
        </w:tc>
        <w:tc>
          <w:tcPr>
            <w:tcW w:w="700" w:type="pct"/>
            <w:shd w:val="clear" w:color="auto" w:fill="FAF9F8"/>
            <w:noWrap/>
            <w:vAlign w:val="bottom"/>
            <w:hideMark/>
          </w:tcPr>
          <w:p w14:paraId="26311A09" w14:textId="531FF471" w:rsidR="00C243F4" w:rsidRPr="00A0186B" w:rsidRDefault="00C243F4"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shd w:val="clear" w:color="auto" w:fill="FAF9F8"/>
            <w:noWrap/>
            <w:vAlign w:val="bottom"/>
            <w:hideMark/>
          </w:tcPr>
          <w:p w14:paraId="44C09274" w14:textId="466FC992" w:rsidR="00C243F4" w:rsidRPr="00A0186B" w:rsidRDefault="00C243F4"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shd w:val="clear" w:color="auto" w:fill="FAF9F8"/>
            <w:noWrap/>
            <w:vAlign w:val="bottom"/>
            <w:hideMark/>
          </w:tcPr>
          <w:p w14:paraId="2ABF350C" w14:textId="6B892149" w:rsidR="00C243F4" w:rsidRPr="00A0186B" w:rsidRDefault="00C243F4"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23</w:t>
            </w:r>
          </w:p>
        </w:tc>
      </w:tr>
      <w:tr w:rsidR="00CA6879" w:rsidRPr="00A0186B" w14:paraId="6BE967BA" w14:textId="77777777" w:rsidTr="00CA6879">
        <w:trPr>
          <w:cantSplit/>
        </w:trPr>
        <w:tc>
          <w:tcPr>
            <w:tcW w:w="801" w:type="pct"/>
            <w:shd w:val="clear" w:color="auto" w:fill="E4E9F3"/>
            <w:noWrap/>
            <w:vAlign w:val="bottom"/>
            <w:hideMark/>
          </w:tcPr>
          <w:p w14:paraId="6F51DEF0" w14:textId="1DF8BCFB" w:rsidR="00CA6879" w:rsidRPr="00A0186B" w:rsidRDefault="00C243F4" w:rsidP="00CA6879">
            <w:pPr>
              <w:spacing w:after="0" w:line="240" w:lineRule="auto"/>
              <w:rPr>
                <w:rFonts w:eastAsia="Times New Roman" w:cs="Arial"/>
                <w:b/>
                <w:sz w:val="20"/>
                <w:szCs w:val="20"/>
                <w:lang w:eastAsia="en-AU"/>
              </w:rPr>
            </w:pPr>
            <w:r w:rsidRPr="004F4004">
              <w:rPr>
                <w:rFonts w:eastAsia="Times New Roman" w:cs="Calibri"/>
                <w:b/>
                <w:bCs/>
                <w:color w:val="000000"/>
                <w:lang w:val="fr" w:eastAsia="en-AU"/>
              </w:rPr>
              <w:t>En général</w:t>
            </w:r>
          </w:p>
        </w:tc>
        <w:tc>
          <w:tcPr>
            <w:tcW w:w="700" w:type="pct"/>
            <w:shd w:val="clear" w:color="auto" w:fill="E4E9F3"/>
            <w:noWrap/>
            <w:vAlign w:val="bottom"/>
            <w:hideMark/>
          </w:tcPr>
          <w:p w14:paraId="32E29AEB" w14:textId="4A12B482"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10</w:t>
            </w:r>
          </w:p>
        </w:tc>
        <w:tc>
          <w:tcPr>
            <w:tcW w:w="700" w:type="pct"/>
            <w:shd w:val="clear" w:color="auto" w:fill="E4E9F3"/>
            <w:noWrap/>
            <w:vAlign w:val="bottom"/>
            <w:hideMark/>
          </w:tcPr>
          <w:p w14:paraId="3A5DFB6B" w14:textId="0589B827"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34</w:t>
            </w:r>
          </w:p>
        </w:tc>
        <w:tc>
          <w:tcPr>
            <w:tcW w:w="700" w:type="pct"/>
            <w:shd w:val="clear" w:color="auto" w:fill="E4E9F3"/>
            <w:noWrap/>
            <w:vAlign w:val="bottom"/>
            <w:hideMark/>
          </w:tcPr>
          <w:p w14:paraId="42830DBD" w14:textId="01BF489F"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w:t>
            </w:r>
          </w:p>
        </w:tc>
        <w:tc>
          <w:tcPr>
            <w:tcW w:w="700" w:type="pct"/>
            <w:shd w:val="clear" w:color="auto" w:fill="E4E9F3"/>
            <w:noWrap/>
            <w:vAlign w:val="bottom"/>
            <w:hideMark/>
          </w:tcPr>
          <w:p w14:paraId="38B2EBA5" w14:textId="35040E95"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700" w:type="pct"/>
            <w:shd w:val="clear" w:color="auto" w:fill="E4E9F3"/>
            <w:noWrap/>
            <w:vAlign w:val="bottom"/>
            <w:hideMark/>
          </w:tcPr>
          <w:p w14:paraId="4306E691" w14:textId="3EEA6140"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47</w:t>
            </w:r>
          </w:p>
        </w:tc>
      </w:tr>
    </w:tbl>
    <w:p w14:paraId="48ADB28E" w14:textId="0AE1FA6A" w:rsidR="00B12B54" w:rsidRDefault="00B12B54">
      <w:r>
        <w:br w:type="page"/>
      </w:r>
    </w:p>
    <w:p w14:paraId="15D53C43" w14:textId="09DB0FAE" w:rsidR="00C62233" w:rsidRDefault="000D5363" w:rsidP="003F7BC7">
      <w:pPr>
        <w:pStyle w:val="Heading1"/>
      </w:pPr>
      <w:bookmarkStart w:id="29" w:name="_Toc153226836"/>
      <w:r>
        <w:rPr>
          <w:lang w:val="fr-FR"/>
        </w:rPr>
        <w:lastRenderedPageBreak/>
        <w:t>Actions mises en pratique</w:t>
      </w:r>
      <w:bookmarkEnd w:id="29"/>
    </w:p>
    <w:p w14:paraId="52CFA79C" w14:textId="6FC740AB" w:rsidR="001F78E6" w:rsidRDefault="000D5363" w:rsidP="004322DB">
      <w:pPr>
        <w:spacing w:before="240" w:after="240"/>
      </w:pPr>
      <w:r>
        <w:rPr>
          <w:lang w:val="fr-FR"/>
        </w:rPr>
        <w:t>Tous les gouvernements ont œuvré à l’avancée des actions des PAC au cours de la période visée.</w:t>
      </w:r>
      <w:r w:rsidR="001F78E6">
        <w:t xml:space="preserve"> </w:t>
      </w:r>
    </w:p>
    <w:p w14:paraId="1E2A9BA9" w14:textId="2AE68236" w:rsidR="00D1030A" w:rsidRDefault="000D5363" w:rsidP="004322DB">
      <w:pPr>
        <w:spacing w:before="240" w:after="240"/>
        <w:rPr>
          <w:rFonts w:cs="Arial"/>
          <w:sz w:val="20"/>
          <w:szCs w:val="20"/>
        </w:rPr>
      </w:pPr>
      <w:r>
        <w:rPr>
          <w:lang w:val="fr-FR"/>
        </w:rPr>
        <w:t>La section suivante fournit des exemples, pour chaque PAC et chaque gouvernement, d’activités terminées et décrit la manière dont ces actions contribuent à améliorer les résultats pour les personnes en situation de handicap.</w:t>
      </w:r>
    </w:p>
    <w:p w14:paraId="66B0D314" w14:textId="364F4688" w:rsidR="00D1030A" w:rsidRDefault="00D1030A">
      <w:pPr>
        <w:rPr>
          <w:rFonts w:cs="Arial"/>
          <w:sz w:val="20"/>
          <w:szCs w:val="20"/>
        </w:rPr>
      </w:pPr>
      <w:r>
        <w:rPr>
          <w:rFonts w:cs="Arial"/>
          <w:sz w:val="20"/>
          <w:szCs w:val="20"/>
        </w:rPr>
        <w:br w:type="page"/>
      </w:r>
    </w:p>
    <w:p w14:paraId="64ADD195" w14:textId="4CADE2BA" w:rsidR="00D1030A" w:rsidRPr="001B596C" w:rsidRDefault="00467F3C" w:rsidP="00515A1C">
      <w:pPr>
        <w:pStyle w:val="Heading2"/>
      </w:pPr>
      <w:bookmarkStart w:id="30" w:name="_Toc153226837"/>
      <w:r>
        <w:rPr>
          <w:lang w:val="fr-FR"/>
        </w:rPr>
        <w:lastRenderedPageBreak/>
        <w:t>Emploi de personnes en situation de handicap dans le secteur public de l’État du Queensland</w:t>
      </w:r>
      <w:bookmarkEnd w:id="30"/>
      <w:r w:rsidR="00D1030A">
        <w:t xml:space="preserve"> </w:t>
      </w:r>
    </w:p>
    <w:p w14:paraId="4376A98E" w14:textId="59FAA406" w:rsidR="002A08E0" w:rsidRPr="00A831D6" w:rsidRDefault="009F3F61" w:rsidP="008B2382">
      <w:pPr>
        <w:spacing w:before="240" w:after="240" w:line="240" w:lineRule="auto"/>
        <w:rPr>
          <w:rFonts w:cs="Arial"/>
          <w:b/>
        </w:rPr>
      </w:pPr>
      <w:r>
        <w:rPr>
          <w:b/>
          <w:lang w:val="fr-FR"/>
        </w:rPr>
        <w:t xml:space="preserve">Territoire : </w:t>
      </w:r>
      <w:r>
        <w:rPr>
          <w:lang w:val="fr-FR"/>
        </w:rPr>
        <w:t>Queensland</w:t>
      </w:r>
    </w:p>
    <w:p w14:paraId="09F327B1" w14:textId="4A192D44" w:rsidR="00D1030A" w:rsidRPr="00A831D6" w:rsidRDefault="009F3F61" w:rsidP="008B2382">
      <w:pPr>
        <w:spacing w:before="240" w:after="240" w:line="240" w:lineRule="auto"/>
        <w:rPr>
          <w:rFonts w:cs="Arial"/>
        </w:rPr>
      </w:pPr>
      <w:r>
        <w:rPr>
          <w:b/>
          <w:lang w:val="fr-FR"/>
        </w:rPr>
        <w:t xml:space="preserve">Plan d’actions ciblé : </w:t>
      </w:r>
      <w:r>
        <w:rPr>
          <w:lang w:val="fr-FR"/>
        </w:rPr>
        <w:t>Emploi</w:t>
      </w:r>
      <w:r w:rsidR="00D1030A" w:rsidRPr="00A831D6">
        <w:rPr>
          <w:rFonts w:cs="Arial"/>
        </w:rPr>
        <w:t xml:space="preserve"> </w:t>
      </w:r>
    </w:p>
    <w:p w14:paraId="50466D78" w14:textId="5CC7267E" w:rsidR="00D1030A" w:rsidRPr="00A831D6" w:rsidRDefault="009F3F61" w:rsidP="008B2382">
      <w:pPr>
        <w:spacing w:before="240" w:after="240" w:line="240" w:lineRule="auto"/>
        <w:rPr>
          <w:rFonts w:cs="Arial"/>
        </w:rPr>
      </w:pPr>
      <w:r>
        <w:rPr>
          <w:b/>
          <w:lang w:val="fr-FR"/>
        </w:rPr>
        <w:t xml:space="preserve">Objectif du PAC : </w:t>
      </w:r>
      <w:r>
        <w:rPr>
          <w:lang w:val="fr-FR"/>
        </w:rPr>
        <w:t>1. Augmenter le taux d’emploi des personnes en situation de handicap</w:t>
      </w:r>
      <w:r w:rsidR="00D1030A" w:rsidRPr="00A831D6">
        <w:rPr>
          <w:rFonts w:cs="Arial"/>
        </w:rPr>
        <w:t>.</w:t>
      </w:r>
    </w:p>
    <w:p w14:paraId="38E268F7" w14:textId="23139080" w:rsidR="00D1030A" w:rsidRPr="00A831D6" w:rsidRDefault="009F3F61" w:rsidP="008B2382">
      <w:pPr>
        <w:spacing w:before="240" w:after="240" w:line="240" w:lineRule="auto"/>
        <w:rPr>
          <w:rFonts w:cs="Arial"/>
        </w:rPr>
      </w:pPr>
      <w:r>
        <w:rPr>
          <w:b/>
          <w:lang w:val="fr-FR"/>
        </w:rPr>
        <w:t>Action :</w:t>
      </w:r>
      <w:r>
        <w:rPr>
          <w:lang w:val="fr-FR"/>
        </w:rPr>
        <w:t xml:space="preserve"> 1.4</w:t>
      </w:r>
      <w:r>
        <w:rPr>
          <w:lang w:val="fr-FR"/>
        </w:rPr>
        <w:tab/>
        <w:t xml:space="preserve">Concevoir le prochain plan du handicap de l’État du Queensland en collaboration avec le Queensland </w:t>
      </w:r>
      <w:proofErr w:type="spellStart"/>
      <w:r>
        <w:rPr>
          <w:lang w:val="fr-FR"/>
        </w:rPr>
        <w:t>Working</w:t>
      </w:r>
      <w:proofErr w:type="spellEnd"/>
      <w:r>
        <w:rPr>
          <w:lang w:val="fr-FR"/>
        </w:rPr>
        <w:t xml:space="preserve"> Party, avec une priorité donnée aux possibilités d’emploi des personnes en situation de handicap.</w:t>
      </w:r>
    </w:p>
    <w:p w14:paraId="260EA994" w14:textId="5F9D8F37" w:rsidR="008E5649" w:rsidRPr="00A831D6" w:rsidRDefault="009F3F61" w:rsidP="008B2382">
      <w:pPr>
        <w:spacing w:before="240" w:after="240" w:line="240" w:lineRule="auto"/>
        <w:rPr>
          <w:rFonts w:cs="Arial"/>
          <w:b/>
        </w:rPr>
      </w:pPr>
      <w:r>
        <w:rPr>
          <w:b/>
          <w:lang w:val="fr-FR"/>
        </w:rPr>
        <w:t xml:space="preserve">Indicateur(s) : </w:t>
      </w:r>
      <w:r w:rsidR="00D1030A" w:rsidRPr="00A831D6">
        <w:rPr>
          <w:rFonts w:cs="Arial"/>
          <w:b/>
        </w:rPr>
        <w:t xml:space="preserve"> </w:t>
      </w:r>
    </w:p>
    <w:p w14:paraId="1AC89556" w14:textId="2507D939" w:rsidR="008E5649" w:rsidRPr="00A831D6" w:rsidRDefault="009F3F61" w:rsidP="00C41CE0">
      <w:pPr>
        <w:pStyle w:val="ListParagraph"/>
        <w:numPr>
          <w:ilvl w:val="0"/>
          <w:numId w:val="13"/>
        </w:numPr>
        <w:spacing w:after="120" w:line="240" w:lineRule="auto"/>
        <w:ind w:left="360"/>
        <w:contextualSpacing w:val="0"/>
        <w:rPr>
          <w:rFonts w:cs="Arial"/>
        </w:rPr>
      </w:pPr>
      <w:r>
        <w:rPr>
          <w:lang w:val="fr-FR"/>
        </w:rPr>
        <w:t>Le nouveau plan du handicap de l’État du Queensland porte essentiellement sur les possibilités d’emploi des personnes en situation de handicap.</w:t>
      </w:r>
    </w:p>
    <w:p w14:paraId="60E1936F" w14:textId="6CDE39B6" w:rsidR="00D1030A" w:rsidRPr="00A831D6" w:rsidRDefault="009F3F61" w:rsidP="00C41CE0">
      <w:pPr>
        <w:pStyle w:val="ListParagraph"/>
        <w:numPr>
          <w:ilvl w:val="0"/>
          <w:numId w:val="13"/>
        </w:numPr>
        <w:spacing w:after="120" w:line="240" w:lineRule="auto"/>
        <w:ind w:left="360"/>
        <w:contextualSpacing w:val="0"/>
        <w:rPr>
          <w:rFonts w:cs="Arial"/>
        </w:rPr>
      </w:pPr>
      <w:r>
        <w:rPr>
          <w:lang w:val="fr-FR"/>
        </w:rPr>
        <w:t>Le nombre d’habitants du Queensland en situation de handicap en emploi augmente, tant dans le secteur privé que dans le secteur public, et ce dans tout l’État.</w:t>
      </w:r>
    </w:p>
    <w:p w14:paraId="48E20302" w14:textId="02712A25" w:rsidR="00D1030A" w:rsidRPr="00A831D6" w:rsidRDefault="00504E88" w:rsidP="008B2382">
      <w:pPr>
        <w:spacing w:before="240" w:after="240" w:line="240" w:lineRule="auto"/>
        <w:rPr>
          <w:rFonts w:cs="Arial"/>
        </w:rPr>
      </w:pPr>
      <w:r>
        <w:rPr>
          <w:b/>
          <w:lang w:val="fr-FR"/>
        </w:rPr>
        <w:t xml:space="preserve">État de l’action : </w:t>
      </w:r>
      <w:r>
        <w:rPr>
          <w:lang w:val="fr-FR"/>
        </w:rPr>
        <w:t>Terminée</w:t>
      </w:r>
    </w:p>
    <w:p w14:paraId="219A3CF8" w14:textId="205DD565" w:rsidR="00D1030A" w:rsidRPr="00A831D6" w:rsidRDefault="00504E88" w:rsidP="008B2382">
      <w:pPr>
        <w:spacing w:before="240" w:after="240" w:line="240" w:lineRule="auto"/>
        <w:rPr>
          <w:rFonts w:cs="Arial"/>
          <w:b/>
        </w:rPr>
      </w:pPr>
      <w:r>
        <w:rPr>
          <w:b/>
          <w:lang w:val="fr-FR"/>
        </w:rPr>
        <w:t>Description :</w:t>
      </w:r>
    </w:p>
    <w:p w14:paraId="2950785D" w14:textId="77777777" w:rsidR="00504E88" w:rsidRPr="00FF30B1" w:rsidRDefault="00504E88" w:rsidP="00504E88">
      <w:pPr>
        <w:spacing w:before="240" w:after="240" w:line="240" w:lineRule="auto"/>
        <w:rPr>
          <w:rFonts w:cs="Arial"/>
          <w:lang w:val="fr-FR"/>
        </w:rPr>
      </w:pPr>
      <w:r>
        <w:rPr>
          <w:lang w:val="fr-FR"/>
        </w:rPr>
        <w:t xml:space="preserve">Le Plan de l’État du Queensland en faveur du handicap 2022-2027 (QDP ou </w:t>
      </w:r>
      <w:proofErr w:type="spellStart"/>
      <w:r>
        <w:rPr>
          <w:i/>
          <w:iCs/>
          <w:lang w:val="fr-FR"/>
        </w:rPr>
        <w:t>Queensland's</w:t>
      </w:r>
      <w:proofErr w:type="spellEnd"/>
      <w:r>
        <w:rPr>
          <w:i/>
          <w:iCs/>
          <w:lang w:val="fr-FR"/>
        </w:rPr>
        <w:t xml:space="preserve"> </w:t>
      </w:r>
      <w:proofErr w:type="spellStart"/>
      <w:r>
        <w:rPr>
          <w:i/>
          <w:iCs/>
          <w:lang w:val="fr-FR"/>
        </w:rPr>
        <w:t>Disability</w:t>
      </w:r>
      <w:proofErr w:type="spellEnd"/>
      <w:r>
        <w:rPr>
          <w:i/>
          <w:iCs/>
          <w:lang w:val="fr-FR"/>
        </w:rPr>
        <w:t xml:space="preserve"> Plan 2022-2027</w:t>
      </w:r>
      <w:r>
        <w:rPr>
          <w:lang w:val="fr-FR"/>
        </w:rPr>
        <w:t>) intitulé « </w:t>
      </w:r>
      <w:proofErr w:type="spellStart"/>
      <w:r w:rsidR="00AE45D6">
        <w:fldChar w:fldCharType="begin"/>
      </w:r>
      <w:r w:rsidR="00AE45D6">
        <w:instrText xml:space="preserve"> HYPERLINK "http://www.qld.gov.au/qld-disability-plan" </w:instrText>
      </w:r>
      <w:r w:rsidR="00AE45D6">
        <w:fldChar w:fldCharType="separate"/>
      </w:r>
      <w:r>
        <w:rPr>
          <w:rStyle w:val="Hyperlink"/>
          <w:i/>
          <w:lang w:val="fr-FR"/>
        </w:rPr>
        <w:t>Together</w:t>
      </w:r>
      <w:proofErr w:type="spellEnd"/>
      <w:r>
        <w:rPr>
          <w:rStyle w:val="Hyperlink"/>
          <w:i/>
          <w:lang w:val="fr-FR"/>
        </w:rPr>
        <w:t xml:space="preserve">, a </w:t>
      </w:r>
      <w:proofErr w:type="spellStart"/>
      <w:r>
        <w:rPr>
          <w:rStyle w:val="Hyperlink"/>
          <w:i/>
          <w:lang w:val="fr-FR"/>
        </w:rPr>
        <w:t>better</w:t>
      </w:r>
      <w:proofErr w:type="spellEnd"/>
      <w:r>
        <w:rPr>
          <w:rStyle w:val="Hyperlink"/>
          <w:i/>
          <w:lang w:val="fr-FR"/>
        </w:rPr>
        <w:t xml:space="preserve"> Queensland</w:t>
      </w:r>
      <w:r w:rsidR="00AE45D6">
        <w:rPr>
          <w:rStyle w:val="Hyperlink"/>
          <w:i/>
          <w:lang w:val="fr-FR"/>
        </w:rPr>
        <w:fldChar w:fldCharType="end"/>
      </w:r>
      <w:r>
        <w:rPr>
          <w:lang w:val="fr-FR"/>
        </w:rPr>
        <w:t xml:space="preserve"> » (Œuvrons ensemble pour améliorer le Queensland) a été publié en novembre 2022. Ce QDP est un dispositif global de concrétisation des engagements pris par le Queensland dans le cadre de la </w:t>
      </w:r>
      <w:r w:rsidRPr="009C4DC7">
        <w:rPr>
          <w:iCs/>
          <w:lang w:val="fr-FR"/>
        </w:rPr>
        <w:t>Stratégie australienne en matière de handicap 2021-2031</w:t>
      </w:r>
      <w:r>
        <w:rPr>
          <w:lang w:val="fr-FR"/>
        </w:rPr>
        <w:t>. Il a été conçu en collaboration avec des personnes en situation de handicap.</w:t>
      </w:r>
    </w:p>
    <w:p w14:paraId="0F266393" w14:textId="77777777" w:rsidR="00504E88" w:rsidRPr="00FF30B1" w:rsidRDefault="00504E88" w:rsidP="00504E88">
      <w:pPr>
        <w:spacing w:before="240" w:after="240" w:line="240" w:lineRule="auto"/>
        <w:rPr>
          <w:rFonts w:eastAsia="Times New Roman" w:cs="Arial"/>
          <w:lang w:val="fr-FR" w:eastAsia="en-AU"/>
        </w:rPr>
      </w:pPr>
      <w:r>
        <w:rPr>
          <w:lang w:val="fr-FR"/>
        </w:rPr>
        <w:t xml:space="preserve">Le QDP a fait siens les sept domaines de résultats de la Stratégie. Il est un appel à l’action lancé à toutes les instances gouvernementales, au secteur privé et aux communautés à renforcer l’engagement pour un Queensland inclusif. </w:t>
      </w:r>
    </w:p>
    <w:p w14:paraId="4EC6C56F" w14:textId="77777777" w:rsidR="00504E88" w:rsidRPr="00FF30B1" w:rsidRDefault="00504E88" w:rsidP="00504E88">
      <w:pPr>
        <w:spacing w:before="240" w:after="240" w:line="240" w:lineRule="auto"/>
        <w:rPr>
          <w:rFonts w:eastAsia="Times New Roman" w:cs="Arial"/>
          <w:lang w:val="fr-FR" w:eastAsia="en-AU"/>
        </w:rPr>
      </w:pPr>
      <w:r>
        <w:rPr>
          <w:lang w:val="fr-FR"/>
        </w:rPr>
        <w:t xml:space="preserve">Le gouvernement de l’État du Queensland s’est engagé à concrétiser ses actions visées par chaque Plan d’actions ciblé afin d’améliorer l’accès à l’éducation, à l’emploi, et à des logements décents, et de lever les obstacles et mettre fin à la stigmatisation au sein de la société.  </w:t>
      </w:r>
    </w:p>
    <w:p w14:paraId="3A9114A8" w14:textId="77777777" w:rsidR="00504E88" w:rsidRPr="00FF30B1" w:rsidRDefault="00504E88" w:rsidP="00504E88">
      <w:pPr>
        <w:spacing w:before="240" w:after="240" w:line="240" w:lineRule="auto"/>
        <w:rPr>
          <w:rFonts w:eastAsia="Times New Roman" w:cs="Arial"/>
          <w:lang w:val="fr-FR" w:eastAsia="en-AU"/>
        </w:rPr>
      </w:pPr>
      <w:r>
        <w:rPr>
          <w:lang w:val="fr-FR"/>
        </w:rPr>
        <w:t xml:space="preserve">Le QDP oriente le développement des Plans de services aux personnes en situation de handicap des ministères du Queensland. Les hauts responsables des ministères du Queensland sont tenus par la loi de développer un Plan de services aux personnes en situation de handicap. Le QDP rappelle l’importance de mettre à disposition des lieux de travail et des centres de services inclusifs et estime que le secteur privé peut également instaurer des plans d’actions en matière de handicap, publier des rapports de résultats et les taux d’emploi des personnes en situation de handicap. </w:t>
      </w:r>
    </w:p>
    <w:p w14:paraId="6AD248FF" w14:textId="77777777" w:rsidR="00504E88" w:rsidRPr="00FF30B1" w:rsidRDefault="00504E88" w:rsidP="00504E88">
      <w:pPr>
        <w:spacing w:before="240" w:after="240" w:line="240" w:lineRule="auto"/>
        <w:rPr>
          <w:rFonts w:eastAsia="Times New Roman" w:cs="Arial"/>
          <w:lang w:val="fr-FR" w:eastAsia="en-AU"/>
        </w:rPr>
      </w:pPr>
      <w:r>
        <w:rPr>
          <w:lang w:val="fr-FR"/>
        </w:rPr>
        <w:t>Un rapport d'avancement sera publié chaque année. Le QDP fera l’objet d’une évaluation de ses impacts et effets au bout de cinq ans.</w:t>
      </w:r>
    </w:p>
    <w:p w14:paraId="57747244" w14:textId="204741EB" w:rsidR="00504E88" w:rsidRPr="00504E88" w:rsidRDefault="00504E88" w:rsidP="00504E88">
      <w:pPr>
        <w:spacing w:before="240" w:after="240" w:line="240" w:lineRule="auto"/>
      </w:pPr>
      <w:r w:rsidRPr="00504E88">
        <w:rPr>
          <w:lang w:val="fr-FR"/>
        </w:rPr>
        <w:lastRenderedPageBreak/>
        <w:t xml:space="preserve">En juin 2023, le Queensland a organisé le tout premier forum de la </w:t>
      </w:r>
      <w:r w:rsidRPr="00504E88">
        <w:rPr>
          <w:iCs/>
          <w:lang w:val="fr-FR"/>
        </w:rPr>
        <w:t>Stratégie australienne en matière de handicap</w:t>
      </w:r>
      <w:r w:rsidRPr="00504E88">
        <w:rPr>
          <w:lang w:val="fr-FR"/>
        </w:rPr>
        <w:t xml:space="preserve"> intitulé « </w:t>
      </w:r>
      <w:proofErr w:type="spellStart"/>
      <w:r w:rsidR="00AE45D6">
        <w:fldChar w:fldCharType="begin"/>
      </w:r>
      <w:r w:rsidR="00AE45D6">
        <w:instrText xml:space="preserve"> HYPERLINK "https://www.disabilitygateway.gov.au/ads-queensland-forum" </w:instrText>
      </w:r>
      <w:r w:rsidR="00AE45D6">
        <w:fldChar w:fldCharType="separate"/>
      </w:r>
      <w:r w:rsidRPr="00504E88">
        <w:rPr>
          <w:rStyle w:val="Hyperlink"/>
          <w:bCs w:val="0"/>
          <w:lang w:val="fr-FR"/>
        </w:rPr>
        <w:t>Together</w:t>
      </w:r>
      <w:proofErr w:type="spellEnd"/>
      <w:r w:rsidRPr="00504E88">
        <w:rPr>
          <w:rStyle w:val="Hyperlink"/>
          <w:bCs w:val="0"/>
          <w:lang w:val="fr-FR"/>
        </w:rPr>
        <w:t xml:space="preserve"> </w:t>
      </w:r>
      <w:proofErr w:type="spellStart"/>
      <w:r w:rsidRPr="00504E88">
        <w:rPr>
          <w:rStyle w:val="Hyperlink"/>
          <w:bCs w:val="0"/>
          <w:lang w:val="fr-FR"/>
        </w:rPr>
        <w:t>making</w:t>
      </w:r>
      <w:proofErr w:type="spellEnd"/>
      <w:r w:rsidRPr="00504E88">
        <w:rPr>
          <w:rStyle w:val="Hyperlink"/>
          <w:bCs w:val="0"/>
          <w:lang w:val="fr-FR"/>
        </w:rPr>
        <w:t xml:space="preserve"> an inclusive Queensland</w:t>
      </w:r>
      <w:r w:rsidR="00AE45D6">
        <w:rPr>
          <w:rStyle w:val="Hyperlink"/>
          <w:bCs w:val="0"/>
          <w:lang w:val="fr-FR"/>
        </w:rPr>
        <w:fldChar w:fldCharType="end"/>
      </w:r>
      <w:r w:rsidRPr="00504E88">
        <w:rPr>
          <w:lang w:val="fr-FR"/>
        </w:rPr>
        <w:t> » (Ensemble pour un Queensland inclusif). Ce forum a promu la Stratégie et le QDP en organisant des discussions animées de groupes sur les thèmes de l’emploi et de l’inclusion, en présence de participants du secteur du handicap, de différentes branches d’activité, du gouvernement et de la communauté.</w:t>
      </w:r>
    </w:p>
    <w:p w14:paraId="111DA4BD" w14:textId="4416B5A5" w:rsidR="00F60B29" w:rsidRDefault="00F60B29">
      <w:r>
        <w:br w:type="page"/>
      </w:r>
    </w:p>
    <w:p w14:paraId="7F566F52" w14:textId="7D4313C6" w:rsidR="00DC4167" w:rsidRPr="00833A15" w:rsidRDefault="00833A15" w:rsidP="00515A1C">
      <w:pPr>
        <w:pStyle w:val="Heading2"/>
      </w:pPr>
      <w:bookmarkStart w:id="31" w:name="_Toc153226838"/>
      <w:r w:rsidRPr="00833A15">
        <w:rPr>
          <w:lang w:val="fr-FR"/>
        </w:rPr>
        <w:lastRenderedPageBreak/>
        <w:t>Programmes pilotes pour l’emploi</w:t>
      </w:r>
      <w:bookmarkEnd w:id="31"/>
    </w:p>
    <w:p w14:paraId="75BA13DD" w14:textId="122D3F87" w:rsidR="00F60B29" w:rsidRPr="00965A28" w:rsidRDefault="00833A15" w:rsidP="00C41CE0">
      <w:pPr>
        <w:spacing w:before="240" w:after="240" w:line="240" w:lineRule="auto"/>
        <w:rPr>
          <w:rFonts w:cs="Arial"/>
        </w:rPr>
      </w:pPr>
      <w:r>
        <w:rPr>
          <w:b/>
          <w:lang w:val="fr-FR"/>
        </w:rPr>
        <w:t xml:space="preserve">Territoire : </w:t>
      </w:r>
      <w:r>
        <w:rPr>
          <w:lang w:val="fr-FR"/>
        </w:rPr>
        <w:t>Gouvernement fédéral, ministère des Services sociaux</w:t>
      </w:r>
    </w:p>
    <w:p w14:paraId="46430CAB" w14:textId="6511CC73" w:rsidR="00F60B29" w:rsidRPr="00965A28" w:rsidRDefault="00833A15" w:rsidP="00C41CE0">
      <w:pPr>
        <w:spacing w:before="240" w:after="240" w:line="240" w:lineRule="auto"/>
        <w:rPr>
          <w:rFonts w:cs="Arial"/>
        </w:rPr>
      </w:pPr>
      <w:r>
        <w:rPr>
          <w:b/>
          <w:lang w:val="fr-FR"/>
        </w:rPr>
        <w:t xml:space="preserve">Plan d’actions ciblé : </w:t>
      </w:r>
      <w:r>
        <w:rPr>
          <w:lang w:val="fr-FR"/>
        </w:rPr>
        <w:t>Emploi</w:t>
      </w:r>
      <w:r w:rsidR="00F60B29" w:rsidRPr="00965A28">
        <w:rPr>
          <w:rFonts w:cs="Arial"/>
        </w:rPr>
        <w:t xml:space="preserve"> </w:t>
      </w:r>
    </w:p>
    <w:p w14:paraId="7FF0D1B3" w14:textId="5182ABD5" w:rsidR="00F60B29" w:rsidRPr="00965A28" w:rsidRDefault="00833A15" w:rsidP="00C41CE0">
      <w:pPr>
        <w:spacing w:before="240" w:after="240" w:line="240" w:lineRule="auto"/>
        <w:rPr>
          <w:rFonts w:cs="Arial"/>
        </w:rPr>
      </w:pPr>
      <w:r>
        <w:rPr>
          <w:b/>
          <w:lang w:val="fr-FR"/>
        </w:rPr>
        <w:t xml:space="preserve">Objectif du PAC : </w:t>
      </w:r>
      <w:r>
        <w:rPr>
          <w:lang w:val="fr-FR"/>
        </w:rPr>
        <w:t>Objectif n° 1 – Augmenter le taux d’emploi des personnes en situation de handicap</w:t>
      </w:r>
      <w:r w:rsidR="00F60B29" w:rsidRPr="00965A28">
        <w:rPr>
          <w:rFonts w:cs="Arial"/>
        </w:rPr>
        <w:t xml:space="preserve"> </w:t>
      </w:r>
    </w:p>
    <w:p w14:paraId="54F3885F" w14:textId="0784C025" w:rsidR="00F60B29" w:rsidRPr="00965A28" w:rsidRDefault="00833A15" w:rsidP="00C41CE0">
      <w:pPr>
        <w:spacing w:before="240" w:after="240" w:line="240" w:lineRule="auto"/>
        <w:rPr>
          <w:rFonts w:cs="Arial"/>
        </w:rPr>
      </w:pPr>
      <w:r>
        <w:rPr>
          <w:b/>
          <w:lang w:val="fr-FR"/>
        </w:rPr>
        <w:t xml:space="preserve">Action : </w:t>
      </w:r>
      <w:r>
        <w:rPr>
          <w:lang w:val="fr-FR"/>
        </w:rPr>
        <w:t>1.8</w:t>
      </w:r>
      <w:r>
        <w:rPr>
          <w:lang w:val="fr-FR"/>
        </w:rPr>
        <w:tab/>
        <w:t>Programmes pilotes pour l’emploi – Mettre en relation les personnes à la recherche d’un emploi avec des secteurs en proie à des pénuries de compétences</w:t>
      </w:r>
    </w:p>
    <w:p w14:paraId="1DC39548" w14:textId="0C423E02" w:rsidR="00F60B29" w:rsidRPr="00965A28" w:rsidRDefault="00833A15" w:rsidP="00C41CE0">
      <w:pPr>
        <w:spacing w:before="240" w:after="240" w:line="240" w:lineRule="auto"/>
        <w:rPr>
          <w:rFonts w:cs="Arial"/>
        </w:rPr>
      </w:pPr>
      <w:r>
        <w:rPr>
          <w:lang w:val="fr-FR"/>
        </w:rPr>
        <w:t>Nouer des partenariats professionnels pour tester des programmes pilotes mettant en relation les Services pour l’emploi des personnes en situation de handicap avec des secteurs faisant face à des pénuries de compétences.</w:t>
      </w:r>
    </w:p>
    <w:p w14:paraId="731AE17A" w14:textId="279D4BB0" w:rsidR="00F60B29" w:rsidRPr="00965A28" w:rsidRDefault="00833A15" w:rsidP="00C41CE0">
      <w:pPr>
        <w:spacing w:before="240" w:after="240" w:line="240" w:lineRule="auto"/>
        <w:rPr>
          <w:rFonts w:cs="Arial"/>
        </w:rPr>
      </w:pPr>
      <w:r>
        <w:rPr>
          <w:b/>
          <w:lang w:val="fr-FR"/>
        </w:rPr>
        <w:t xml:space="preserve">Indicateur(s) : </w:t>
      </w:r>
      <w:r>
        <w:rPr>
          <w:lang w:val="fr-FR"/>
        </w:rPr>
        <w:t>les indicateurs seront définis en fonction de chaque programme pilote.</w:t>
      </w:r>
    </w:p>
    <w:p w14:paraId="69753E3E" w14:textId="1FDBB324" w:rsidR="00F60B29" w:rsidRPr="00965A28" w:rsidRDefault="00833A15" w:rsidP="00C41CE0">
      <w:pPr>
        <w:spacing w:before="240" w:after="240" w:line="240" w:lineRule="auto"/>
        <w:rPr>
          <w:rFonts w:cs="Arial"/>
          <w:b/>
        </w:rPr>
      </w:pPr>
      <w:r>
        <w:rPr>
          <w:b/>
          <w:lang w:val="fr-FR"/>
        </w:rPr>
        <w:t xml:space="preserve">État de l’action : </w:t>
      </w:r>
      <w:r>
        <w:rPr>
          <w:lang w:val="fr-FR"/>
        </w:rPr>
        <w:t>En bonne voie</w:t>
      </w:r>
    </w:p>
    <w:p w14:paraId="59ECBC79" w14:textId="4C120B04" w:rsidR="00F60B29" w:rsidRPr="00965A28" w:rsidRDefault="00833A15" w:rsidP="00C41CE0">
      <w:pPr>
        <w:spacing w:before="240" w:after="240" w:line="240" w:lineRule="auto"/>
        <w:rPr>
          <w:rFonts w:cs="Arial"/>
        </w:rPr>
      </w:pPr>
      <w:r>
        <w:rPr>
          <w:lang w:val="fr-FR"/>
        </w:rPr>
        <w:t xml:space="preserve">Le ministère des Services sociaux et </w:t>
      </w:r>
      <w:proofErr w:type="spellStart"/>
      <w:r>
        <w:rPr>
          <w:lang w:val="fr-FR"/>
        </w:rPr>
        <w:t>Austrade</w:t>
      </w:r>
      <w:proofErr w:type="spellEnd"/>
      <w:r>
        <w:rPr>
          <w:lang w:val="fr-FR"/>
        </w:rPr>
        <w:t xml:space="preserve"> ont œuvré ensemble à la conception d’un programme pilote visant à tester une nouvelle approche pour améliorer les résultats des personnes en situation de handicap en matière d’emploi. Le projet pilote « </w:t>
      </w:r>
      <w:proofErr w:type="spellStart"/>
      <w:r>
        <w:rPr>
          <w:lang w:val="fr-FR"/>
        </w:rPr>
        <w:t>Tourism</w:t>
      </w:r>
      <w:proofErr w:type="spellEnd"/>
      <w:r>
        <w:rPr>
          <w:lang w:val="fr-FR"/>
        </w:rPr>
        <w:t xml:space="preserve"> Local </w:t>
      </w:r>
      <w:proofErr w:type="spellStart"/>
      <w:r>
        <w:rPr>
          <w:lang w:val="fr-FR"/>
        </w:rPr>
        <w:t>Navigators</w:t>
      </w:r>
      <w:proofErr w:type="spellEnd"/>
      <w:r>
        <w:rPr>
          <w:lang w:val="fr-FR"/>
        </w:rPr>
        <w:t xml:space="preserve"> » (Pionniers locaux du tourisme) met à disposition des « pionniers » locaux dans certaines régions ayant pour mission d’aider les petites et moyennes entreprises du secteur du tourisme à transformer la culture d’entreprise et les pratiques de recrutement et à renforcer la confiance des recruteurs dans les personnes en situation de handicap. </w:t>
      </w:r>
      <w:r w:rsidR="00F60B29" w:rsidRPr="00965A28">
        <w:rPr>
          <w:rFonts w:cs="Arial"/>
        </w:rPr>
        <w:t xml:space="preserve"> </w:t>
      </w:r>
    </w:p>
    <w:p w14:paraId="6A074EFD" w14:textId="528A3A3C" w:rsidR="00F60B29" w:rsidRPr="00965A28" w:rsidRDefault="00833A15" w:rsidP="00C41CE0">
      <w:pPr>
        <w:pStyle w:val="ListParagraph"/>
        <w:numPr>
          <w:ilvl w:val="0"/>
          <w:numId w:val="26"/>
        </w:numPr>
        <w:spacing w:before="240" w:after="0" w:line="240" w:lineRule="auto"/>
        <w:ind w:left="360"/>
        <w:contextualSpacing w:val="0"/>
        <w:rPr>
          <w:rFonts w:cs="Arial"/>
        </w:rPr>
      </w:pPr>
      <w:r>
        <w:rPr>
          <w:lang w:val="fr-FR"/>
        </w:rPr>
        <w:t xml:space="preserve">Ce projet pilote a été lancé début juillet 2023 et se poursuivra pendant douze mois. </w:t>
      </w:r>
      <w:r w:rsidR="00F60B29" w:rsidRPr="00965A28">
        <w:rPr>
          <w:rFonts w:cs="Arial"/>
        </w:rPr>
        <w:t xml:space="preserve"> </w:t>
      </w:r>
    </w:p>
    <w:p w14:paraId="356E225E" w14:textId="7B10B261" w:rsidR="00F60B29" w:rsidRPr="00965A28" w:rsidRDefault="00833A15" w:rsidP="00C41CE0">
      <w:pPr>
        <w:pStyle w:val="ListParagraph"/>
        <w:numPr>
          <w:ilvl w:val="0"/>
          <w:numId w:val="26"/>
        </w:numPr>
        <w:spacing w:before="120" w:after="0" w:line="240" w:lineRule="auto"/>
        <w:ind w:left="360"/>
        <w:contextualSpacing w:val="0"/>
        <w:rPr>
          <w:rFonts w:cs="Arial"/>
        </w:rPr>
      </w:pPr>
      <w:r>
        <w:rPr>
          <w:lang w:val="fr-FR"/>
        </w:rPr>
        <w:t>Douze prestataires de 8 régions d’emploi prioritaires ont reçu des subventions pour financer ces « pionniers locaux ».</w:t>
      </w:r>
      <w:r w:rsidR="00F60B29" w:rsidRPr="00965A28">
        <w:rPr>
          <w:rFonts w:cs="Arial"/>
        </w:rPr>
        <w:t xml:space="preserve"> </w:t>
      </w:r>
    </w:p>
    <w:p w14:paraId="5D293D8C" w14:textId="288709A0" w:rsidR="00F60B29" w:rsidRPr="00965A28" w:rsidRDefault="00833A15" w:rsidP="00C41CE0">
      <w:pPr>
        <w:spacing w:before="240" w:after="240" w:line="240" w:lineRule="auto"/>
        <w:rPr>
          <w:rFonts w:cs="Arial"/>
        </w:rPr>
      </w:pPr>
      <w:r>
        <w:rPr>
          <w:lang w:val="fr-FR"/>
        </w:rPr>
        <w:t xml:space="preserve">Le ministère des Services sociaux a noué un partenariat avec le Business Council of </w:t>
      </w:r>
      <w:proofErr w:type="spellStart"/>
      <w:r>
        <w:rPr>
          <w:lang w:val="fr-FR"/>
        </w:rPr>
        <w:t>Australia</w:t>
      </w:r>
      <w:proofErr w:type="spellEnd"/>
      <w:r>
        <w:rPr>
          <w:lang w:val="fr-FR"/>
        </w:rPr>
        <w:t xml:space="preserve"> (BCA, Conseil australien des dirigeants d’entreprise), quatre de ses principaux membres employeurs et l’</w:t>
      </w:r>
      <w:proofErr w:type="spellStart"/>
      <w:r>
        <w:rPr>
          <w:lang w:val="fr-FR"/>
        </w:rPr>
        <w:t>Australian</w:t>
      </w:r>
      <w:proofErr w:type="spellEnd"/>
      <w:r>
        <w:rPr>
          <w:lang w:val="fr-FR"/>
        </w:rPr>
        <w:t xml:space="preserve"> Network on </w:t>
      </w:r>
      <w:proofErr w:type="spellStart"/>
      <w:r>
        <w:rPr>
          <w:lang w:val="fr-FR"/>
        </w:rPr>
        <w:t>Disability</w:t>
      </w:r>
      <w:proofErr w:type="spellEnd"/>
      <w:r>
        <w:rPr>
          <w:lang w:val="fr-FR"/>
        </w:rPr>
        <w:t xml:space="preserve"> (AND, Réseau australien du handicap) afin de concevoir un projet pilote centré sur des actions visant à : faire évoluer les attitudes grâce au leadership des entreprises, encourager les grands employeurs australiens à promouvoir des personnes en situation de handicap au sein de leur entreprise, témoigner qu’ils offrent des lieux de travail sûrs et propices à l’épanouissement professionnel des personnes en situation de handicap, et obtenir des résultats probants en matière d’emploi sur le long terme en faveur de ces personnes, notamment en termes d’avancement professionnel et de promotion à des postes de direction.</w:t>
      </w:r>
    </w:p>
    <w:p w14:paraId="122B160E" w14:textId="3319C4A5" w:rsidR="00F60B29" w:rsidRPr="00965A28" w:rsidRDefault="00833A15" w:rsidP="00C41CE0">
      <w:pPr>
        <w:pStyle w:val="ListParagraph"/>
        <w:numPr>
          <w:ilvl w:val="0"/>
          <w:numId w:val="27"/>
        </w:numPr>
        <w:spacing w:after="120" w:line="240" w:lineRule="auto"/>
        <w:ind w:left="360"/>
        <w:contextualSpacing w:val="0"/>
        <w:rPr>
          <w:rFonts w:cs="Arial"/>
        </w:rPr>
      </w:pPr>
      <w:r>
        <w:rPr>
          <w:lang w:val="fr-FR"/>
        </w:rPr>
        <w:t xml:space="preserve">Ce projet pilote a été lancé en août 2023 et se poursuivra jusqu’en février 2025. </w:t>
      </w:r>
      <w:r w:rsidR="00F60B29" w:rsidRPr="00965A28">
        <w:rPr>
          <w:rFonts w:cs="Arial"/>
        </w:rPr>
        <w:t xml:space="preserve"> </w:t>
      </w:r>
    </w:p>
    <w:p w14:paraId="19F9C3AC" w14:textId="614C387A" w:rsidR="00F60B29" w:rsidRPr="00965A28" w:rsidRDefault="00833A15" w:rsidP="00C41CE0">
      <w:pPr>
        <w:pStyle w:val="ListParagraph"/>
        <w:numPr>
          <w:ilvl w:val="0"/>
          <w:numId w:val="27"/>
        </w:numPr>
        <w:spacing w:after="120" w:line="240" w:lineRule="auto"/>
        <w:ind w:left="360"/>
        <w:contextualSpacing w:val="0"/>
        <w:rPr>
          <w:rFonts w:cs="Arial"/>
        </w:rPr>
      </w:pPr>
      <w:r>
        <w:rPr>
          <w:lang w:val="fr-FR"/>
        </w:rPr>
        <w:t xml:space="preserve">Une subvention a été octroyée à l’AND pour </w:t>
      </w:r>
      <w:proofErr w:type="spellStart"/>
      <w:r>
        <w:rPr>
          <w:lang w:val="fr-FR"/>
        </w:rPr>
        <w:t>co</w:t>
      </w:r>
      <w:proofErr w:type="spellEnd"/>
      <w:r>
        <w:rPr>
          <w:lang w:val="fr-FR"/>
        </w:rPr>
        <w:t>-concevoir des projets pilotes avec les quatre plus grands employeurs et leurs employés en situation de handicap afin d’identifier et lever les obstacles qui empêchent ces employés de faire progresser leur carrière.</w:t>
      </w:r>
    </w:p>
    <w:p w14:paraId="1DD453E2" w14:textId="18E870B3" w:rsidR="00F60B29" w:rsidRPr="00F60B29" w:rsidRDefault="00F60B29">
      <w:pPr>
        <w:rPr>
          <w:rFonts w:asciiTheme="minorHAnsi" w:hAnsiTheme="minorHAnsi" w:cstheme="minorHAnsi"/>
        </w:rPr>
      </w:pPr>
      <w:r w:rsidRPr="00F60B29">
        <w:rPr>
          <w:rFonts w:asciiTheme="minorHAnsi" w:hAnsiTheme="minorHAnsi" w:cstheme="minorHAnsi"/>
        </w:rPr>
        <w:br w:type="page"/>
      </w:r>
    </w:p>
    <w:p w14:paraId="771A24C3" w14:textId="09715E48" w:rsidR="0034572C" w:rsidRPr="00965A28" w:rsidRDefault="00833A15" w:rsidP="00515A1C">
      <w:pPr>
        <w:pStyle w:val="Heading2"/>
      </w:pPr>
      <w:bookmarkStart w:id="32" w:name="_Toc153226839"/>
      <w:r>
        <w:rPr>
          <w:lang w:val="fr-FR"/>
        </w:rPr>
        <w:lastRenderedPageBreak/>
        <w:t>Commissaire au handicap de Tasmanie</w:t>
      </w:r>
      <w:bookmarkEnd w:id="32"/>
    </w:p>
    <w:p w14:paraId="2D414291" w14:textId="23740103" w:rsidR="002A08E0" w:rsidRPr="00965A28" w:rsidRDefault="00833A15" w:rsidP="00C41CE0">
      <w:pPr>
        <w:spacing w:before="240" w:after="240" w:line="240" w:lineRule="auto"/>
        <w:rPr>
          <w:rFonts w:cs="Arial"/>
          <w:b/>
        </w:rPr>
      </w:pPr>
      <w:r>
        <w:rPr>
          <w:b/>
          <w:lang w:val="fr-FR"/>
        </w:rPr>
        <w:t xml:space="preserve">Territoire : </w:t>
      </w:r>
      <w:r>
        <w:rPr>
          <w:lang w:val="fr-FR"/>
        </w:rPr>
        <w:t>Tasmanie</w:t>
      </w:r>
    </w:p>
    <w:p w14:paraId="21C7CD21" w14:textId="495C74D7" w:rsidR="00D1030A" w:rsidRPr="00965A28" w:rsidRDefault="001C161B" w:rsidP="00C41CE0">
      <w:pPr>
        <w:spacing w:before="240" w:after="240" w:line="240" w:lineRule="auto"/>
        <w:rPr>
          <w:rFonts w:cs="Arial"/>
        </w:rPr>
      </w:pPr>
      <w:r>
        <w:rPr>
          <w:b/>
          <w:lang w:val="fr-FR"/>
        </w:rPr>
        <w:t xml:space="preserve">PAC : </w:t>
      </w:r>
      <w:r>
        <w:rPr>
          <w:lang w:val="fr-FR"/>
        </w:rPr>
        <w:t>Attitudes des communautés</w:t>
      </w:r>
    </w:p>
    <w:p w14:paraId="09152057" w14:textId="503138F5" w:rsidR="00D1030A" w:rsidRPr="00965A28" w:rsidRDefault="001C161B" w:rsidP="00C41CE0">
      <w:pPr>
        <w:spacing w:before="240" w:after="240" w:line="240" w:lineRule="auto"/>
        <w:rPr>
          <w:rFonts w:cs="Arial"/>
        </w:rPr>
      </w:pPr>
      <w:r>
        <w:rPr>
          <w:b/>
          <w:lang w:val="fr-FR"/>
        </w:rPr>
        <w:t xml:space="preserve">Objectif du PAC : </w:t>
      </w:r>
      <w:r>
        <w:rPr>
          <w:lang w:val="fr-FR"/>
        </w:rPr>
        <w:t>4. Améliorer l’attitude des communautés envers les personnes en situation de handicap pour contribuer positivement aux mesures prioritaires visées par la Stratégie.</w:t>
      </w:r>
    </w:p>
    <w:p w14:paraId="0A8669AC" w14:textId="6EBEA855" w:rsidR="00D1030A" w:rsidRPr="00965A28" w:rsidRDefault="001C161B" w:rsidP="00C41CE0">
      <w:pPr>
        <w:spacing w:before="240" w:after="240" w:line="240" w:lineRule="auto"/>
        <w:rPr>
          <w:rFonts w:cs="Arial"/>
        </w:rPr>
      </w:pPr>
      <w:r>
        <w:rPr>
          <w:b/>
          <w:lang w:val="fr-FR"/>
        </w:rPr>
        <w:t xml:space="preserve">Action : </w:t>
      </w:r>
      <w:r>
        <w:rPr>
          <w:lang w:val="fr-FR"/>
        </w:rPr>
        <w:t>4.1</w:t>
      </w:r>
      <w:r>
        <w:rPr>
          <w:lang w:val="fr-FR"/>
        </w:rPr>
        <w:tab/>
        <w:t>La création du poste de commissaire au handicap de Tasmanie permettra aux personnes en situation de handicap et à leurs familles de recevoir les aides et services inclusifs et accessibles dont elles ont besoin, y compris ceux fournis par les services de base, grâce à un investissement de 300 000 dollars par an sur une période de quatre ans à compter de 2021-2022.</w:t>
      </w:r>
    </w:p>
    <w:p w14:paraId="6190AA93" w14:textId="4354DA31" w:rsidR="00D1030A" w:rsidRPr="00965A28" w:rsidRDefault="001C161B" w:rsidP="00C41CE0">
      <w:pPr>
        <w:spacing w:before="240" w:after="240" w:line="240" w:lineRule="auto"/>
        <w:rPr>
          <w:rFonts w:cs="Arial"/>
        </w:rPr>
      </w:pPr>
      <w:r>
        <w:rPr>
          <w:b/>
          <w:lang w:val="fr-FR"/>
        </w:rPr>
        <w:t>Indicateur(s) :</w:t>
      </w:r>
    </w:p>
    <w:p w14:paraId="05ECA0FF" w14:textId="6688BB21" w:rsidR="00D1030A" w:rsidRPr="00965A28" w:rsidRDefault="001C161B" w:rsidP="00C41CE0">
      <w:pPr>
        <w:numPr>
          <w:ilvl w:val="0"/>
          <w:numId w:val="6"/>
        </w:numPr>
        <w:spacing w:before="240" w:after="120" w:line="240" w:lineRule="auto"/>
        <w:ind w:left="360"/>
        <w:rPr>
          <w:rFonts w:cs="Arial"/>
        </w:rPr>
      </w:pPr>
      <w:r>
        <w:rPr>
          <w:lang w:val="fr-FR"/>
        </w:rPr>
        <w:t>La consultation avec la communauté de Tasmanie est terminée.</w:t>
      </w:r>
    </w:p>
    <w:p w14:paraId="61E91713" w14:textId="7ABE7401" w:rsidR="00D1030A" w:rsidRPr="00965A28" w:rsidRDefault="001C161B" w:rsidP="00C41CE0">
      <w:pPr>
        <w:numPr>
          <w:ilvl w:val="0"/>
          <w:numId w:val="6"/>
        </w:numPr>
        <w:spacing w:after="120" w:line="240" w:lineRule="auto"/>
        <w:ind w:left="360"/>
        <w:rPr>
          <w:rFonts w:cs="Arial"/>
        </w:rPr>
      </w:pPr>
      <w:r>
        <w:rPr>
          <w:lang w:val="fr-FR"/>
        </w:rPr>
        <w:t>Le cadre de création du poste de commissaire au handicap est en place.</w:t>
      </w:r>
    </w:p>
    <w:p w14:paraId="462715D5" w14:textId="586DF4AC" w:rsidR="00D1030A" w:rsidRPr="00965A28" w:rsidRDefault="001C161B" w:rsidP="00C41CE0">
      <w:pPr>
        <w:spacing w:before="240" w:after="240" w:line="240" w:lineRule="auto"/>
        <w:rPr>
          <w:rFonts w:cs="Arial"/>
        </w:rPr>
      </w:pPr>
      <w:r>
        <w:rPr>
          <w:b/>
          <w:lang w:val="fr-FR"/>
        </w:rPr>
        <w:t>État de l’action :</w:t>
      </w:r>
      <w:r>
        <w:rPr>
          <w:lang w:val="fr-FR"/>
        </w:rPr>
        <w:tab/>
        <w:t>Quelques retards</w:t>
      </w:r>
    </w:p>
    <w:p w14:paraId="647D75BA" w14:textId="4A598370" w:rsidR="00D1030A" w:rsidRPr="00965A28" w:rsidRDefault="001C161B" w:rsidP="00C41CE0">
      <w:pPr>
        <w:spacing w:before="240" w:after="240" w:line="240" w:lineRule="auto"/>
        <w:rPr>
          <w:rFonts w:cs="Arial"/>
        </w:rPr>
      </w:pPr>
      <w:r>
        <w:rPr>
          <w:b/>
          <w:lang w:val="fr-FR"/>
        </w:rPr>
        <w:t>Description</w:t>
      </w:r>
      <w:r>
        <w:rPr>
          <w:lang w:val="fr-FR"/>
        </w:rPr>
        <w:t xml:space="preserve"> : Un processus de recrutement a été lancé fin 2022 et c’est Mary </w:t>
      </w:r>
      <w:proofErr w:type="spellStart"/>
      <w:r>
        <w:rPr>
          <w:lang w:val="fr-FR"/>
        </w:rPr>
        <w:t>Mallett</w:t>
      </w:r>
      <w:proofErr w:type="spellEnd"/>
      <w:r>
        <w:rPr>
          <w:lang w:val="fr-FR"/>
        </w:rPr>
        <w:t xml:space="preserve"> qui a été désignée. Elle a pris son poste en janvier 2023.</w:t>
      </w:r>
      <w:r w:rsidR="00D1030A" w:rsidRPr="00965A28">
        <w:rPr>
          <w:rFonts w:cs="Arial"/>
        </w:rPr>
        <w:t xml:space="preserve"> </w:t>
      </w:r>
    </w:p>
    <w:p w14:paraId="051456E3" w14:textId="77777777" w:rsidR="00C7373C" w:rsidRPr="00FF30B1" w:rsidRDefault="00C7373C" w:rsidP="00C7373C">
      <w:pPr>
        <w:spacing w:before="240" w:after="240" w:line="240" w:lineRule="auto"/>
        <w:rPr>
          <w:rFonts w:cs="Arial"/>
          <w:lang w:val="fr-FR"/>
        </w:rPr>
      </w:pPr>
      <w:r>
        <w:rPr>
          <w:lang w:val="fr-FR"/>
        </w:rPr>
        <w:t>Le gouvernement de Tasmanie s’est engagé à adopter une loi qui célèbre la force, la diversité et l’expérience des Tasmaniens en situation de handicap et il pense qu’un nouveau projet de loi relatif au handicap sera prêt pour examen au cours du deuxième semestre de 2023.</w:t>
      </w:r>
    </w:p>
    <w:p w14:paraId="7855E3A8" w14:textId="77777777" w:rsidR="00C7373C" w:rsidRPr="00FF30B1" w:rsidRDefault="00C7373C" w:rsidP="00C7373C">
      <w:pPr>
        <w:spacing w:before="240" w:after="240" w:line="240" w:lineRule="auto"/>
        <w:rPr>
          <w:rFonts w:cs="Arial"/>
          <w:lang w:val="fr-FR"/>
        </w:rPr>
      </w:pPr>
      <w:r>
        <w:rPr>
          <w:lang w:val="fr-FR"/>
        </w:rPr>
        <w:t>La création d’un poste intérimaire de commissaire au handicap donne le temps et la possibilité, en vue de la promulgation d’une loi visant à créer ce poste, d’œuvrer, avec d’autres responsables officiels, au renforcement des capacités et des aptitudes à résoudre les réclamations des personnes en situation de handicap.</w:t>
      </w:r>
    </w:p>
    <w:p w14:paraId="4F58D4AA" w14:textId="120B8FC8" w:rsidR="00D1030A" w:rsidRPr="00965A28" w:rsidRDefault="00C7373C" w:rsidP="00C7373C">
      <w:pPr>
        <w:spacing w:before="240" w:after="240" w:line="240" w:lineRule="auto"/>
        <w:rPr>
          <w:rFonts w:cs="Arial"/>
        </w:rPr>
      </w:pPr>
      <w:r>
        <w:rPr>
          <w:lang w:val="fr-FR"/>
        </w:rPr>
        <w:t>La commissaire au handicap intérimaire a reçu des pouvoirs en vertu de la Loi de 2011 sur les services de handicap (</w:t>
      </w:r>
      <w:proofErr w:type="spellStart"/>
      <w:r>
        <w:rPr>
          <w:i/>
          <w:iCs/>
          <w:lang w:val="fr-FR"/>
        </w:rPr>
        <w:t>Disability</w:t>
      </w:r>
      <w:proofErr w:type="spellEnd"/>
      <w:r>
        <w:rPr>
          <w:i/>
          <w:iCs/>
          <w:lang w:val="fr-FR"/>
        </w:rPr>
        <w:t xml:space="preserve"> Services </w:t>
      </w:r>
      <w:proofErr w:type="spellStart"/>
      <w:r>
        <w:rPr>
          <w:i/>
          <w:iCs/>
          <w:lang w:val="fr-FR"/>
        </w:rPr>
        <w:t>Act</w:t>
      </w:r>
      <w:proofErr w:type="spellEnd"/>
      <w:r>
        <w:rPr>
          <w:i/>
          <w:iCs/>
          <w:lang w:val="fr-FR"/>
        </w:rPr>
        <w:t xml:space="preserve"> 2011 (Tas)</w:t>
      </w:r>
      <w:r>
        <w:rPr>
          <w:lang w:val="fr-FR"/>
        </w:rPr>
        <w:t>). Elle est ainsi autorisée à pénétrer dans des locaux pour :</w:t>
      </w:r>
    </w:p>
    <w:p w14:paraId="1DE36FCD" w14:textId="5C748984" w:rsidR="00D1030A" w:rsidRPr="00965A28" w:rsidRDefault="00DB7BB9" w:rsidP="00C41CE0">
      <w:pPr>
        <w:numPr>
          <w:ilvl w:val="0"/>
          <w:numId w:val="8"/>
        </w:numPr>
        <w:spacing w:after="120" w:line="240" w:lineRule="auto"/>
        <w:ind w:left="288" w:hanging="288"/>
        <w:rPr>
          <w:rFonts w:cs="Arial"/>
        </w:rPr>
      </w:pPr>
      <w:r>
        <w:rPr>
          <w:lang w:val="fr-FR"/>
        </w:rPr>
        <w:t>s’assurer que les personnes en situation de handicap qui y habitent ou y reçoivent des services spécialisés bénéficient des soins et du soutien nécessaires ou désirables à leur santé et à leur bien-être ; ou</w:t>
      </w:r>
    </w:p>
    <w:p w14:paraId="3944D07B" w14:textId="2AD1040E" w:rsidR="00D1030A" w:rsidRPr="00965A28" w:rsidRDefault="00DB7BB9" w:rsidP="00C41CE0">
      <w:pPr>
        <w:numPr>
          <w:ilvl w:val="0"/>
          <w:numId w:val="7"/>
        </w:numPr>
        <w:spacing w:after="120" w:line="240" w:lineRule="auto"/>
        <w:ind w:left="288" w:hanging="288"/>
        <w:rPr>
          <w:rFonts w:cs="Arial"/>
        </w:rPr>
      </w:pPr>
      <w:r>
        <w:rPr>
          <w:lang w:val="fr-FR"/>
        </w:rPr>
        <w:t>s’assurer que ces personnes sont en sécurité.</w:t>
      </w:r>
    </w:p>
    <w:p w14:paraId="1FFEE3B0" w14:textId="3692835B" w:rsidR="00D1030A" w:rsidRPr="00965A28" w:rsidRDefault="00DB7BB9" w:rsidP="00C41CE0">
      <w:pPr>
        <w:spacing w:before="240" w:after="240" w:line="240" w:lineRule="auto"/>
        <w:rPr>
          <w:rFonts w:cs="Arial"/>
        </w:rPr>
      </w:pPr>
      <w:r>
        <w:rPr>
          <w:lang w:val="fr-FR"/>
        </w:rPr>
        <w:t>La commissaire au handicap intérimaire devra également :</w:t>
      </w:r>
    </w:p>
    <w:p w14:paraId="1071AB16" w14:textId="58EC9313" w:rsidR="00D1030A" w:rsidRPr="00965A28" w:rsidRDefault="00DB7BB9" w:rsidP="00C41CE0">
      <w:pPr>
        <w:numPr>
          <w:ilvl w:val="0"/>
          <w:numId w:val="7"/>
        </w:numPr>
        <w:spacing w:after="120" w:line="240" w:lineRule="auto"/>
        <w:ind w:left="288" w:hanging="288"/>
        <w:rPr>
          <w:rFonts w:cs="Arial"/>
        </w:rPr>
      </w:pPr>
      <w:r>
        <w:rPr>
          <w:lang w:val="fr-FR"/>
        </w:rPr>
        <w:t>faire preuve de leadership, encourager l’inclusion et promouvoir l’accessibilité dans l’ensemble des services gouvernementaux et de base ;</w:t>
      </w:r>
    </w:p>
    <w:p w14:paraId="73BD1DCA" w14:textId="71F3A3EA" w:rsidR="00D1030A" w:rsidRPr="00965A28" w:rsidRDefault="00DB7BB9" w:rsidP="00C41CE0">
      <w:pPr>
        <w:numPr>
          <w:ilvl w:val="0"/>
          <w:numId w:val="7"/>
        </w:numPr>
        <w:spacing w:after="120" w:line="240" w:lineRule="auto"/>
        <w:ind w:left="288" w:hanging="288"/>
        <w:rPr>
          <w:rFonts w:cs="Arial"/>
        </w:rPr>
      </w:pPr>
      <w:r>
        <w:rPr>
          <w:lang w:val="fr-FR"/>
        </w:rPr>
        <w:t>promouvoir les droits des personnes en situation de handicap ;</w:t>
      </w:r>
    </w:p>
    <w:p w14:paraId="392CD46E" w14:textId="474A8122" w:rsidR="00D1030A" w:rsidRPr="00965A28" w:rsidRDefault="00DB7BB9" w:rsidP="00C41CE0">
      <w:pPr>
        <w:numPr>
          <w:ilvl w:val="0"/>
          <w:numId w:val="7"/>
        </w:numPr>
        <w:spacing w:after="120" w:line="240" w:lineRule="auto"/>
        <w:ind w:left="288" w:hanging="288"/>
        <w:rPr>
          <w:rFonts w:cs="Arial"/>
        </w:rPr>
      </w:pPr>
      <w:r>
        <w:rPr>
          <w:lang w:val="fr-FR"/>
        </w:rPr>
        <w:lastRenderedPageBreak/>
        <w:t>mettre en place et surveiller les dispositifs de protection contre les violences, les mauvais traitements, les actes de négligence commis à l’encontre des personnes en situation de handicap et contre leur exploitation ; et</w:t>
      </w:r>
    </w:p>
    <w:p w14:paraId="07DE5828" w14:textId="21156404" w:rsidR="00D1030A" w:rsidRPr="00965A28" w:rsidRDefault="00DB7BB9" w:rsidP="00C41CE0">
      <w:pPr>
        <w:numPr>
          <w:ilvl w:val="0"/>
          <w:numId w:val="7"/>
        </w:numPr>
        <w:spacing w:after="120" w:line="240" w:lineRule="auto"/>
        <w:ind w:left="288" w:hanging="288"/>
        <w:rPr>
          <w:rFonts w:cs="Arial"/>
        </w:rPr>
      </w:pPr>
      <w:r>
        <w:rPr>
          <w:lang w:val="fr-FR"/>
        </w:rPr>
        <w:t xml:space="preserve">répondre aux accusations de mauvais traitement, d’actes de négligence et d’exploitation à l’encontre des personnes en situation de handicap. </w:t>
      </w:r>
      <w:r w:rsidR="00D1030A" w:rsidRPr="00965A28">
        <w:rPr>
          <w:rFonts w:cs="Arial"/>
        </w:rPr>
        <w:t xml:space="preserve"> </w:t>
      </w:r>
    </w:p>
    <w:p w14:paraId="7F82F7A3" w14:textId="785E3E0C" w:rsidR="001F7ED0" w:rsidRDefault="001F7ED0" w:rsidP="00C41CE0">
      <w:pPr>
        <w:pStyle w:val="NoSpacing"/>
        <w:spacing w:before="240" w:after="240"/>
      </w:pPr>
      <w:r>
        <w:br w:type="page"/>
      </w:r>
    </w:p>
    <w:p w14:paraId="1E6923E4" w14:textId="27FBD897" w:rsidR="0034572C" w:rsidRPr="0038135C" w:rsidRDefault="00477F8C" w:rsidP="00515A1C">
      <w:pPr>
        <w:pStyle w:val="Heading2"/>
      </w:pPr>
      <w:bookmarkStart w:id="33" w:name="_Toc153226840"/>
      <w:r>
        <w:rPr>
          <w:lang w:val="fr-FR"/>
        </w:rPr>
        <w:lastRenderedPageBreak/>
        <w:t>Atelier « Grandir différemment » sur le thème de l’éducation des enfants</w:t>
      </w:r>
      <w:bookmarkEnd w:id="33"/>
    </w:p>
    <w:p w14:paraId="55184412" w14:textId="352EB04F" w:rsidR="002A08E0" w:rsidRPr="0038135C" w:rsidRDefault="00202040" w:rsidP="00C41CE0">
      <w:pPr>
        <w:spacing w:before="240" w:after="240" w:line="240" w:lineRule="auto"/>
        <w:rPr>
          <w:rFonts w:cs="Arial"/>
          <w:b/>
        </w:rPr>
      </w:pPr>
      <w:r>
        <w:rPr>
          <w:b/>
          <w:lang w:val="fr-FR"/>
        </w:rPr>
        <w:t xml:space="preserve">Territoire : </w:t>
      </w:r>
      <w:r>
        <w:rPr>
          <w:lang w:val="fr-FR"/>
        </w:rPr>
        <w:t>Australie-Méridionale</w:t>
      </w:r>
    </w:p>
    <w:p w14:paraId="6F777D72" w14:textId="022C2153" w:rsidR="00D1030A" w:rsidRPr="0038135C" w:rsidRDefault="00202040" w:rsidP="00C41CE0">
      <w:pPr>
        <w:spacing w:before="240" w:after="240" w:line="240" w:lineRule="auto"/>
        <w:rPr>
          <w:rFonts w:cs="Arial"/>
        </w:rPr>
      </w:pPr>
      <w:r>
        <w:rPr>
          <w:b/>
          <w:lang w:val="fr-FR"/>
        </w:rPr>
        <w:t xml:space="preserve">PAC : </w:t>
      </w:r>
      <w:r>
        <w:rPr>
          <w:lang w:val="fr-FR"/>
        </w:rPr>
        <w:t>Petite enfance</w:t>
      </w:r>
    </w:p>
    <w:p w14:paraId="56147194" w14:textId="39FF20D6" w:rsidR="00D1030A" w:rsidRPr="0038135C" w:rsidRDefault="00202040" w:rsidP="00C41CE0">
      <w:pPr>
        <w:spacing w:before="240" w:after="240" w:line="240" w:lineRule="auto"/>
        <w:rPr>
          <w:rFonts w:cs="Arial"/>
        </w:rPr>
      </w:pPr>
      <w:r>
        <w:rPr>
          <w:b/>
          <w:lang w:val="fr-FR"/>
        </w:rPr>
        <w:t xml:space="preserve">Objectif du PAC : </w:t>
      </w:r>
      <w:r>
        <w:rPr>
          <w:lang w:val="fr-FR"/>
        </w:rPr>
        <w:t>2. Renforcer les capacités et les moyens des principaux services et systèmes pour aider les parents et les aidants à faire des choix informés concernant leur enfant</w:t>
      </w:r>
      <w:r w:rsidR="00D1030A" w:rsidRPr="0038135C">
        <w:rPr>
          <w:rFonts w:cs="Arial"/>
        </w:rPr>
        <w:t>.</w:t>
      </w:r>
    </w:p>
    <w:p w14:paraId="69561BA5" w14:textId="27E54A5D" w:rsidR="00D1030A" w:rsidRPr="0038135C" w:rsidRDefault="00202040" w:rsidP="00C41CE0">
      <w:pPr>
        <w:spacing w:before="240" w:after="240" w:line="240" w:lineRule="auto"/>
        <w:rPr>
          <w:rFonts w:cs="Arial"/>
        </w:rPr>
      </w:pPr>
      <w:r>
        <w:rPr>
          <w:b/>
          <w:lang w:val="fr-FR"/>
        </w:rPr>
        <w:t xml:space="preserve">Action : </w:t>
      </w:r>
      <w:r>
        <w:rPr>
          <w:lang w:val="fr-FR"/>
        </w:rPr>
        <w:t>2.8</w:t>
      </w:r>
      <w:r>
        <w:rPr>
          <w:lang w:val="fr-FR"/>
        </w:rPr>
        <w:tab/>
        <w:t>Progresser dans la conception d’un atelier intitulé « Grandir différemment » spécialement consacré aux parents et aux aidants qui vivent avec un enfant en situation de handicap</w:t>
      </w:r>
      <w:r w:rsidR="00D1030A" w:rsidRPr="0038135C">
        <w:rPr>
          <w:rFonts w:cs="Arial"/>
        </w:rPr>
        <w:t>.</w:t>
      </w:r>
    </w:p>
    <w:p w14:paraId="276F83D3" w14:textId="5D533281" w:rsidR="00D1030A" w:rsidRPr="0038135C" w:rsidRDefault="009E5875" w:rsidP="00C41CE0">
      <w:pPr>
        <w:spacing w:before="240" w:after="240" w:line="240" w:lineRule="auto"/>
        <w:rPr>
          <w:rFonts w:cs="Arial"/>
        </w:rPr>
      </w:pPr>
      <w:r>
        <w:rPr>
          <w:b/>
          <w:lang w:val="fr-FR"/>
        </w:rPr>
        <w:t>Indicateur(s)</w:t>
      </w:r>
      <w:r>
        <w:rPr>
          <w:lang w:val="fr-FR"/>
        </w:rPr>
        <w:t> :</w:t>
      </w:r>
    </w:p>
    <w:p w14:paraId="7C210B4B" w14:textId="25C05B36" w:rsidR="00D1030A" w:rsidRPr="0038135C" w:rsidRDefault="009E5875" w:rsidP="00C41CE0">
      <w:pPr>
        <w:numPr>
          <w:ilvl w:val="0"/>
          <w:numId w:val="10"/>
        </w:numPr>
        <w:spacing w:before="120" w:after="0" w:line="240" w:lineRule="auto"/>
        <w:ind w:left="360"/>
        <w:rPr>
          <w:rFonts w:cs="Arial"/>
        </w:rPr>
      </w:pPr>
      <w:r>
        <w:rPr>
          <w:lang w:val="fr-FR"/>
        </w:rPr>
        <w:t>L’atelier est terminé et approuvé.</w:t>
      </w:r>
    </w:p>
    <w:p w14:paraId="1ABB2DB1" w14:textId="26663C7C" w:rsidR="00D1030A" w:rsidRPr="0038135C" w:rsidRDefault="009E5875" w:rsidP="00C41CE0">
      <w:pPr>
        <w:numPr>
          <w:ilvl w:val="0"/>
          <w:numId w:val="10"/>
        </w:numPr>
        <w:spacing w:before="120" w:after="0" w:line="240" w:lineRule="auto"/>
        <w:ind w:left="360"/>
        <w:rPr>
          <w:rFonts w:cs="Arial"/>
        </w:rPr>
      </w:pPr>
      <w:r>
        <w:rPr>
          <w:lang w:val="fr-FR"/>
        </w:rPr>
        <w:t>Le projet pilote est terminé et un rapport a été remis.</w:t>
      </w:r>
    </w:p>
    <w:p w14:paraId="19D49314" w14:textId="0A41CBD8" w:rsidR="00D1030A" w:rsidRPr="0038135C" w:rsidRDefault="009E5875" w:rsidP="00C41CE0">
      <w:pPr>
        <w:spacing w:before="240" w:after="240" w:line="240" w:lineRule="auto"/>
        <w:rPr>
          <w:rFonts w:cs="Arial"/>
        </w:rPr>
      </w:pPr>
      <w:r>
        <w:rPr>
          <w:b/>
          <w:lang w:val="fr-FR"/>
        </w:rPr>
        <w:t xml:space="preserve">État de l’action : </w:t>
      </w:r>
      <w:r>
        <w:rPr>
          <w:lang w:val="fr-FR"/>
        </w:rPr>
        <w:t>Terminée</w:t>
      </w:r>
    </w:p>
    <w:p w14:paraId="0B1B2D73" w14:textId="51DEC669" w:rsidR="00D1030A" w:rsidRPr="0038135C" w:rsidRDefault="009E5875" w:rsidP="00C41CE0">
      <w:pPr>
        <w:spacing w:before="240" w:after="240" w:line="240" w:lineRule="auto"/>
        <w:rPr>
          <w:rFonts w:cs="Arial"/>
        </w:rPr>
      </w:pPr>
      <w:r>
        <w:rPr>
          <w:b/>
          <w:lang w:val="fr-FR"/>
        </w:rPr>
        <w:t>Description</w:t>
      </w:r>
      <w:r>
        <w:rPr>
          <w:lang w:val="fr-FR"/>
        </w:rPr>
        <w:t> :</w:t>
      </w:r>
      <w:r w:rsidR="00D1030A" w:rsidRPr="0038135C">
        <w:rPr>
          <w:rFonts w:cs="Arial"/>
        </w:rPr>
        <w:tab/>
      </w:r>
    </w:p>
    <w:p w14:paraId="5135DB96" w14:textId="77777777" w:rsidR="009E5875" w:rsidRPr="00FF30B1" w:rsidRDefault="009E5875" w:rsidP="009E5875">
      <w:pPr>
        <w:spacing w:before="240" w:after="240" w:line="240" w:lineRule="auto"/>
        <w:rPr>
          <w:rFonts w:cs="Arial"/>
          <w:lang w:val="fr-FR"/>
        </w:rPr>
      </w:pPr>
      <w:r>
        <w:rPr>
          <w:lang w:val="fr-FR"/>
        </w:rPr>
        <w:t xml:space="preserve">Les commentaires reçus des parents ayant participé aux ateliers </w:t>
      </w:r>
      <w:proofErr w:type="spellStart"/>
      <w:r>
        <w:rPr>
          <w:lang w:val="fr-FR"/>
        </w:rPr>
        <w:t>Families</w:t>
      </w:r>
      <w:proofErr w:type="spellEnd"/>
      <w:r>
        <w:rPr>
          <w:lang w:val="fr-FR"/>
        </w:rPr>
        <w:t xml:space="preserve"> </w:t>
      </w:r>
      <w:proofErr w:type="spellStart"/>
      <w:r>
        <w:rPr>
          <w:lang w:val="fr-FR"/>
        </w:rPr>
        <w:t>Growing</w:t>
      </w:r>
      <w:proofErr w:type="spellEnd"/>
      <w:r>
        <w:rPr>
          <w:lang w:val="fr-FR"/>
        </w:rPr>
        <w:t xml:space="preserve"> </w:t>
      </w:r>
      <w:proofErr w:type="spellStart"/>
      <w:r>
        <w:rPr>
          <w:lang w:val="fr-FR"/>
        </w:rPr>
        <w:t>Together</w:t>
      </w:r>
      <w:proofErr w:type="spellEnd"/>
      <w:r>
        <w:rPr>
          <w:lang w:val="fr-FR"/>
        </w:rPr>
        <w:t xml:space="preserve"> (FGT) révèlent que de nombreux parents vivant avec un enfant en situation de handicap souhaitent recevoir une assistance supplémentaire. L’équipe de FGT a donc organisé un atelier spécial sur la base des informations contenues dans les guides d’éducation parentale facile de </w:t>
      </w:r>
      <w:proofErr w:type="spellStart"/>
      <w:r>
        <w:rPr>
          <w:lang w:val="fr-FR"/>
        </w:rPr>
        <w:t>Parenting</w:t>
      </w:r>
      <w:proofErr w:type="spellEnd"/>
      <w:r>
        <w:rPr>
          <w:lang w:val="fr-FR"/>
        </w:rPr>
        <w:t xml:space="preserve"> SA (Parent </w:t>
      </w:r>
      <w:proofErr w:type="spellStart"/>
      <w:r>
        <w:rPr>
          <w:lang w:val="fr-FR"/>
        </w:rPr>
        <w:t>Easy</w:t>
      </w:r>
      <w:proofErr w:type="spellEnd"/>
      <w:r>
        <w:rPr>
          <w:lang w:val="fr-FR"/>
        </w:rPr>
        <w:t xml:space="preserve"> Guides ou PEG) intitulés « </w:t>
      </w:r>
      <w:proofErr w:type="spellStart"/>
      <w:r>
        <w:rPr>
          <w:lang w:val="fr-FR"/>
        </w:rPr>
        <w:t>Children</w:t>
      </w:r>
      <w:proofErr w:type="spellEnd"/>
      <w:r>
        <w:rPr>
          <w:lang w:val="fr-FR"/>
        </w:rPr>
        <w:t xml:space="preserve"> </w:t>
      </w:r>
      <w:proofErr w:type="spellStart"/>
      <w:r>
        <w:rPr>
          <w:lang w:val="fr-FR"/>
        </w:rPr>
        <w:t>with</w:t>
      </w:r>
      <w:proofErr w:type="spellEnd"/>
      <w:r>
        <w:rPr>
          <w:lang w:val="fr-FR"/>
        </w:rPr>
        <w:t xml:space="preserve"> a </w:t>
      </w:r>
      <w:proofErr w:type="spellStart"/>
      <w:r>
        <w:rPr>
          <w:lang w:val="fr-FR"/>
        </w:rPr>
        <w:t>disability</w:t>
      </w:r>
      <w:proofErr w:type="spellEnd"/>
      <w:r>
        <w:rPr>
          <w:lang w:val="fr-FR"/>
        </w:rPr>
        <w:t> » (Enfants en situation de handicap) et « </w:t>
      </w:r>
      <w:proofErr w:type="spellStart"/>
      <w:r>
        <w:rPr>
          <w:lang w:val="fr-FR"/>
        </w:rPr>
        <w:t>Developmental</w:t>
      </w:r>
      <w:proofErr w:type="spellEnd"/>
      <w:r>
        <w:rPr>
          <w:lang w:val="fr-FR"/>
        </w:rPr>
        <w:t xml:space="preserve"> </w:t>
      </w:r>
      <w:proofErr w:type="spellStart"/>
      <w:r>
        <w:rPr>
          <w:lang w:val="fr-FR"/>
        </w:rPr>
        <w:t>delay</w:t>
      </w:r>
      <w:proofErr w:type="spellEnd"/>
      <w:r>
        <w:rPr>
          <w:lang w:val="fr-FR"/>
        </w:rPr>
        <w:t xml:space="preserve"> » (Retard de développement). </w:t>
      </w:r>
    </w:p>
    <w:p w14:paraId="1A35D745" w14:textId="77777777" w:rsidR="009E5875" w:rsidRPr="00FF30B1" w:rsidRDefault="009E5875" w:rsidP="009E5875">
      <w:pPr>
        <w:spacing w:before="240" w:after="240" w:line="240" w:lineRule="auto"/>
        <w:rPr>
          <w:rFonts w:cs="Arial"/>
          <w:lang w:val="fr-FR"/>
        </w:rPr>
      </w:pPr>
      <w:r>
        <w:rPr>
          <w:lang w:val="fr-FR"/>
        </w:rPr>
        <w:t xml:space="preserve">Ce nouvel atelier présente les étapes de développement de l’enfant, les signaux d’alerte qu’un enfant suit un développement différent, ce à quoi il faut faire attention et des stratégies concrètes pour élever un enfant présentant un handicap. Grâce au Modèle social du handicap (Social Model of </w:t>
      </w:r>
      <w:proofErr w:type="spellStart"/>
      <w:r>
        <w:rPr>
          <w:lang w:val="fr-FR"/>
        </w:rPr>
        <w:t>Disability</w:t>
      </w:r>
      <w:proofErr w:type="spellEnd"/>
      <w:r>
        <w:rPr>
          <w:lang w:val="fr-FR"/>
        </w:rPr>
        <w:t xml:space="preserve">), l’atelier propose une nouvelle façon de voir, de penser, de faire et d’être, en servant de lieu d’échange, d’apprentissage mutuel et de réflexion pour les parents. </w:t>
      </w:r>
    </w:p>
    <w:p w14:paraId="1E903A60" w14:textId="77777777" w:rsidR="009E5875" w:rsidRPr="00FF30B1" w:rsidRDefault="009E5875" w:rsidP="009E5875">
      <w:pPr>
        <w:spacing w:before="240" w:after="240" w:line="240" w:lineRule="auto"/>
        <w:rPr>
          <w:rFonts w:cs="Arial"/>
          <w:lang w:val="fr-FR"/>
        </w:rPr>
      </w:pPr>
      <w:r>
        <w:rPr>
          <w:lang w:val="fr-FR"/>
        </w:rPr>
        <w:t xml:space="preserve">Ensemble, les parents tentent de trouver une nouvelle voie et une nouvelle façon d’appréhender les choses, grâce à des vidéos, des activités et des discussions de groupe. À la fin de l’atelier, les parents remplissent un plan d’action pour l’éducation de leur enfant avec entre autres l’identification d’un réseau de soutien. </w:t>
      </w:r>
    </w:p>
    <w:p w14:paraId="4ECD06DC" w14:textId="1E1C3338" w:rsidR="00D1030A" w:rsidRPr="0038135C" w:rsidRDefault="009E5875" w:rsidP="009E5875">
      <w:pPr>
        <w:spacing w:before="240" w:after="240" w:line="240" w:lineRule="auto"/>
        <w:rPr>
          <w:rFonts w:cs="Arial"/>
        </w:rPr>
      </w:pPr>
      <w:r>
        <w:rPr>
          <w:lang w:val="fr-FR"/>
        </w:rPr>
        <w:t>Les commentaires de parents ayant participé à l’atelier pilote ont été, dans leur écrasante majorité, positifs et l’atelier d’éducation des enfants « Grandir différemment » sera désormais organisé dans des communautés de toute l’Australie-Méridionale au bénéfice de tous les parents.</w:t>
      </w:r>
    </w:p>
    <w:p w14:paraId="2A8D0E4C" w14:textId="1C41E75C" w:rsidR="0034572C" w:rsidRPr="0038135C" w:rsidRDefault="0034572C" w:rsidP="009E5875">
      <w:pPr>
        <w:spacing w:before="240" w:after="240" w:line="240" w:lineRule="auto"/>
        <w:rPr>
          <w:rFonts w:cs="Arial"/>
          <w:u w:val="single"/>
        </w:rPr>
      </w:pPr>
      <w:r w:rsidRPr="0038135C">
        <w:rPr>
          <w:rFonts w:cs="Arial"/>
          <w:u w:val="single"/>
        </w:rPr>
        <w:br w:type="page"/>
      </w:r>
    </w:p>
    <w:p w14:paraId="2DE334AB" w14:textId="249440BD" w:rsidR="002A08E0" w:rsidRPr="0038135C" w:rsidRDefault="007E0007" w:rsidP="00515A1C">
      <w:pPr>
        <w:pStyle w:val="Heading2"/>
      </w:pPr>
      <w:bookmarkStart w:id="34" w:name="_Toc153226841"/>
      <w:r>
        <w:rPr>
          <w:lang w:val="fr-FR"/>
        </w:rPr>
        <w:lastRenderedPageBreak/>
        <w:t>Programme ACFC (</w:t>
      </w:r>
      <w:proofErr w:type="spellStart"/>
      <w:r>
        <w:rPr>
          <w:lang w:val="fr-FR"/>
        </w:rPr>
        <w:t>Aboriginal</w:t>
      </w:r>
      <w:proofErr w:type="spellEnd"/>
      <w:r>
        <w:rPr>
          <w:lang w:val="fr-FR"/>
        </w:rPr>
        <w:t xml:space="preserve"> Child and </w:t>
      </w:r>
      <w:proofErr w:type="spellStart"/>
      <w:r>
        <w:rPr>
          <w:lang w:val="fr-FR"/>
        </w:rPr>
        <w:t>Family</w:t>
      </w:r>
      <w:proofErr w:type="spellEnd"/>
      <w:r>
        <w:rPr>
          <w:lang w:val="fr-FR"/>
        </w:rPr>
        <w:t xml:space="preserve"> Centre, Centres des familles et enfants aborigènes)</w:t>
      </w:r>
      <w:bookmarkEnd w:id="34"/>
    </w:p>
    <w:p w14:paraId="0679E092" w14:textId="35E64290" w:rsidR="00D1030A" w:rsidRPr="0038135C" w:rsidRDefault="007E0007" w:rsidP="00C41CE0">
      <w:pPr>
        <w:spacing w:before="240" w:after="240" w:line="240" w:lineRule="auto"/>
        <w:rPr>
          <w:rFonts w:cs="Arial"/>
          <w:b/>
        </w:rPr>
      </w:pPr>
      <w:r>
        <w:rPr>
          <w:b/>
          <w:lang w:val="fr-FR"/>
        </w:rPr>
        <w:t xml:space="preserve">Territoire : </w:t>
      </w:r>
      <w:r>
        <w:rPr>
          <w:lang w:val="fr-FR"/>
        </w:rPr>
        <w:t>Nouvelle-Galles du Sud</w:t>
      </w:r>
    </w:p>
    <w:p w14:paraId="0CA8FE69" w14:textId="3357DBE7" w:rsidR="00D1030A" w:rsidRPr="0038135C" w:rsidRDefault="007E0007" w:rsidP="00C41CE0">
      <w:pPr>
        <w:spacing w:before="240" w:after="240" w:line="240" w:lineRule="auto"/>
        <w:rPr>
          <w:rFonts w:cs="Arial"/>
        </w:rPr>
      </w:pPr>
      <w:r>
        <w:rPr>
          <w:b/>
          <w:lang w:val="fr-FR"/>
        </w:rPr>
        <w:t>PAC</w:t>
      </w:r>
      <w:r>
        <w:rPr>
          <w:lang w:val="fr-FR"/>
        </w:rPr>
        <w:t> :</w:t>
      </w:r>
      <w:r>
        <w:rPr>
          <w:lang w:val="fr-FR"/>
        </w:rPr>
        <w:tab/>
        <w:t>Petite enfance</w:t>
      </w:r>
    </w:p>
    <w:p w14:paraId="4A34AC8E" w14:textId="121E50FD" w:rsidR="00D1030A" w:rsidRPr="0038135C" w:rsidRDefault="007E0007" w:rsidP="00C41CE0">
      <w:pPr>
        <w:spacing w:before="240" w:after="240" w:line="240" w:lineRule="auto"/>
        <w:rPr>
          <w:rFonts w:cs="Arial"/>
        </w:rPr>
      </w:pPr>
      <w:r>
        <w:rPr>
          <w:b/>
          <w:lang w:val="fr-FR"/>
        </w:rPr>
        <w:t>Objectif du PAC</w:t>
      </w:r>
      <w:r>
        <w:rPr>
          <w:lang w:val="fr-FR"/>
        </w:rPr>
        <w:t> : 3. Encourager un plus fort sentiment d’inclusion et fournir aux parents, aux aidants et aux enfants des possibilités de créer des réseaux d’entraide, notamment pour les parents et les aidants aborigènes, insulaires du détroit de Torres et issus de communautés culturellement et linguistiquement diverses.</w:t>
      </w:r>
    </w:p>
    <w:p w14:paraId="61CC9615" w14:textId="0569AB2A" w:rsidR="00D1030A" w:rsidRPr="0038135C" w:rsidRDefault="007E0007" w:rsidP="00C41CE0">
      <w:pPr>
        <w:spacing w:before="240" w:after="240" w:line="240" w:lineRule="auto"/>
        <w:rPr>
          <w:rFonts w:cs="Arial"/>
        </w:rPr>
      </w:pPr>
      <w:r>
        <w:rPr>
          <w:b/>
          <w:lang w:val="fr-FR"/>
        </w:rPr>
        <w:t>Action</w:t>
      </w:r>
      <w:r>
        <w:rPr>
          <w:lang w:val="fr-FR"/>
        </w:rPr>
        <w:t> : 3.1</w:t>
      </w:r>
      <w:r>
        <w:rPr>
          <w:lang w:val="fr-FR"/>
        </w:rPr>
        <w:tab/>
        <w:t>Renforcer les capacités des Centres des familles et enfants aborigènes (ACFC) de Nouvelle-Galles du Sud pour fournir des services éducatifs de la petite enfance et des services intégrés de santé et familiaux de qualité aux enfants, familles et communautés aborigènes.</w:t>
      </w:r>
    </w:p>
    <w:p w14:paraId="00A67CF3" w14:textId="7374C2E8" w:rsidR="00D1030A" w:rsidRPr="0038135C" w:rsidRDefault="007E0007" w:rsidP="00C41CE0">
      <w:pPr>
        <w:spacing w:before="240" w:after="240" w:line="240" w:lineRule="auto"/>
        <w:rPr>
          <w:rFonts w:cs="Arial"/>
        </w:rPr>
      </w:pPr>
      <w:r>
        <w:rPr>
          <w:lang w:val="fr-FR"/>
        </w:rPr>
        <w:t>Les ACFC soutiennent les enfants aborigènes dans les étapes clés de leur développement et renforcent l’accès à un large éventail de services de qualité dans un environnement culturel sûr.</w:t>
      </w:r>
    </w:p>
    <w:p w14:paraId="0E14172D" w14:textId="3BA369D4" w:rsidR="00D1030A" w:rsidRPr="0038135C" w:rsidRDefault="007E0007" w:rsidP="00C41CE0">
      <w:pPr>
        <w:spacing w:before="240" w:after="240" w:line="240" w:lineRule="auto"/>
        <w:rPr>
          <w:rFonts w:cs="Arial"/>
        </w:rPr>
      </w:pPr>
      <w:r>
        <w:rPr>
          <w:b/>
          <w:lang w:val="fr-FR"/>
        </w:rPr>
        <w:t>Indicateur(s)</w:t>
      </w:r>
      <w:r>
        <w:rPr>
          <w:lang w:val="fr-FR"/>
        </w:rPr>
        <w:t xml:space="preserve"> : </w:t>
      </w:r>
      <w:r w:rsidR="00D1030A" w:rsidRPr="0038135C">
        <w:rPr>
          <w:rFonts w:cs="Arial"/>
        </w:rPr>
        <w:t xml:space="preserve"> </w:t>
      </w:r>
    </w:p>
    <w:p w14:paraId="33C9C2DC" w14:textId="5808B4A5" w:rsidR="00D1030A" w:rsidRPr="0038135C" w:rsidRDefault="007E0007" w:rsidP="00C41CE0">
      <w:pPr>
        <w:spacing w:before="240" w:after="240" w:line="240" w:lineRule="auto"/>
        <w:rPr>
          <w:rFonts w:cs="Arial"/>
        </w:rPr>
      </w:pPr>
      <w:r>
        <w:rPr>
          <w:lang w:val="fr-FR"/>
        </w:rPr>
        <w:t>Rapports annuels :</w:t>
      </w:r>
    </w:p>
    <w:p w14:paraId="5E454906" w14:textId="03CF6538" w:rsidR="00D1030A" w:rsidRPr="00C41CE0" w:rsidRDefault="007E0007" w:rsidP="00C41CE0">
      <w:pPr>
        <w:pStyle w:val="ListParagraph"/>
        <w:numPr>
          <w:ilvl w:val="0"/>
          <w:numId w:val="36"/>
        </w:numPr>
        <w:spacing w:before="120" w:after="0" w:line="240" w:lineRule="auto"/>
        <w:ind w:left="360"/>
        <w:contextualSpacing w:val="0"/>
        <w:rPr>
          <w:rFonts w:cs="Arial"/>
        </w:rPr>
      </w:pPr>
      <w:r>
        <w:rPr>
          <w:lang w:val="fr-FR"/>
        </w:rPr>
        <w:t xml:space="preserve">Amélioration des résultats et de l’assiduité scolaire. </w:t>
      </w:r>
      <w:r w:rsidR="00D1030A" w:rsidRPr="00C41CE0">
        <w:rPr>
          <w:rFonts w:cs="Arial"/>
        </w:rPr>
        <w:t xml:space="preserve"> </w:t>
      </w:r>
    </w:p>
    <w:p w14:paraId="230F5E3C" w14:textId="591E7483" w:rsidR="00D1030A" w:rsidRPr="00C41CE0" w:rsidRDefault="007E0007" w:rsidP="00C41CE0">
      <w:pPr>
        <w:pStyle w:val="ListParagraph"/>
        <w:numPr>
          <w:ilvl w:val="0"/>
          <w:numId w:val="36"/>
        </w:numPr>
        <w:spacing w:before="120" w:after="0" w:line="240" w:lineRule="auto"/>
        <w:ind w:left="360"/>
        <w:contextualSpacing w:val="0"/>
        <w:rPr>
          <w:rFonts w:cs="Arial"/>
        </w:rPr>
      </w:pPr>
      <w:r>
        <w:rPr>
          <w:lang w:val="fr-FR"/>
        </w:rPr>
        <w:t>Diminution du nombre d’enfants aborigènes pris en charge par le système de protection des enfants.</w:t>
      </w:r>
    </w:p>
    <w:p w14:paraId="1F9EE6EF" w14:textId="6C33CB06" w:rsidR="00D1030A" w:rsidRPr="00C41CE0" w:rsidRDefault="007E0007" w:rsidP="00C41CE0">
      <w:pPr>
        <w:pStyle w:val="ListParagraph"/>
        <w:numPr>
          <w:ilvl w:val="0"/>
          <w:numId w:val="36"/>
        </w:numPr>
        <w:spacing w:before="120" w:after="0" w:line="240" w:lineRule="auto"/>
        <w:ind w:left="360"/>
        <w:contextualSpacing w:val="0"/>
        <w:rPr>
          <w:rFonts w:cs="Arial"/>
        </w:rPr>
      </w:pPr>
      <w:r>
        <w:rPr>
          <w:lang w:val="fr-FR"/>
        </w:rPr>
        <w:t xml:space="preserve">Amélioration de la santé des enfants et des jeunes aborigènes. </w:t>
      </w:r>
      <w:r w:rsidR="00D1030A" w:rsidRPr="00C41CE0">
        <w:rPr>
          <w:rFonts w:cs="Arial"/>
        </w:rPr>
        <w:t xml:space="preserve"> </w:t>
      </w:r>
    </w:p>
    <w:p w14:paraId="2E0E2F13" w14:textId="22EF8D59" w:rsidR="00D1030A" w:rsidRPr="0038135C" w:rsidRDefault="0086049F" w:rsidP="00C41CE0">
      <w:pPr>
        <w:spacing w:before="240" w:after="240" w:line="240" w:lineRule="auto"/>
        <w:rPr>
          <w:rFonts w:cs="Arial"/>
        </w:rPr>
      </w:pPr>
      <w:r>
        <w:rPr>
          <w:b/>
          <w:lang w:val="fr-FR"/>
        </w:rPr>
        <w:t>État de l’action :</w:t>
      </w:r>
      <w:r>
        <w:rPr>
          <w:lang w:val="fr-FR"/>
        </w:rPr>
        <w:t xml:space="preserve"> En bonne voie</w:t>
      </w:r>
    </w:p>
    <w:p w14:paraId="7130B3FB" w14:textId="2A34428C" w:rsidR="00D1030A" w:rsidRPr="0038135C" w:rsidRDefault="0086049F" w:rsidP="00C41CE0">
      <w:pPr>
        <w:spacing w:before="240" w:after="240" w:line="240" w:lineRule="auto"/>
        <w:rPr>
          <w:rFonts w:cs="Arial"/>
        </w:rPr>
      </w:pPr>
      <w:r>
        <w:rPr>
          <w:b/>
          <w:lang w:val="fr-FR"/>
        </w:rPr>
        <w:t>Description</w:t>
      </w:r>
      <w:r>
        <w:rPr>
          <w:lang w:val="fr-FR"/>
        </w:rPr>
        <w:t> :</w:t>
      </w:r>
    </w:p>
    <w:p w14:paraId="6174E971" w14:textId="77777777" w:rsidR="0086049F" w:rsidRPr="00FF30B1" w:rsidRDefault="0086049F" w:rsidP="0086049F">
      <w:pPr>
        <w:spacing w:before="240" w:after="240" w:line="240" w:lineRule="auto"/>
        <w:rPr>
          <w:rFonts w:cs="Arial"/>
          <w:lang w:val="fr-FR"/>
        </w:rPr>
      </w:pPr>
      <w:r>
        <w:rPr>
          <w:lang w:val="fr-FR"/>
        </w:rPr>
        <w:t>L’initiative pangouvernementale « </w:t>
      </w:r>
      <w:proofErr w:type="spellStart"/>
      <w:r>
        <w:rPr>
          <w:lang w:val="fr-FR"/>
        </w:rPr>
        <w:t>Brighter</w:t>
      </w:r>
      <w:proofErr w:type="spellEnd"/>
      <w:r>
        <w:rPr>
          <w:lang w:val="fr-FR"/>
        </w:rPr>
        <w:t xml:space="preserve"> </w:t>
      </w:r>
      <w:proofErr w:type="spellStart"/>
      <w:r>
        <w:rPr>
          <w:lang w:val="fr-FR"/>
        </w:rPr>
        <w:t>Beginnings</w:t>
      </w:r>
      <w:proofErr w:type="spellEnd"/>
      <w:r>
        <w:rPr>
          <w:lang w:val="fr-FR"/>
        </w:rPr>
        <w:t> » est centrée sur l’amélioration des résultats pour les enfants de Nouvelle-Galles du Sud et leurs familles lors des 2000 premiers jours de vie, de la conception à l’âge de la scolarisation.</w:t>
      </w:r>
    </w:p>
    <w:p w14:paraId="5D2C7694" w14:textId="77777777" w:rsidR="0086049F" w:rsidRPr="00FF30B1" w:rsidRDefault="0086049F" w:rsidP="0086049F">
      <w:pPr>
        <w:spacing w:before="240" w:after="240" w:line="240" w:lineRule="auto"/>
        <w:rPr>
          <w:rFonts w:cs="Arial"/>
          <w:lang w:val="fr-FR"/>
        </w:rPr>
      </w:pPr>
      <w:r>
        <w:rPr>
          <w:lang w:val="fr-FR"/>
        </w:rPr>
        <w:t>L’élargissement du programme des Centres des familles et enfants aborigènes (</w:t>
      </w:r>
      <w:proofErr w:type="spellStart"/>
      <w:r>
        <w:rPr>
          <w:lang w:val="fr-FR"/>
        </w:rPr>
        <w:t>Aboriginal</w:t>
      </w:r>
      <w:proofErr w:type="spellEnd"/>
      <w:r>
        <w:rPr>
          <w:lang w:val="fr-FR"/>
        </w:rPr>
        <w:t xml:space="preserve"> Child and </w:t>
      </w:r>
      <w:proofErr w:type="spellStart"/>
      <w:r>
        <w:rPr>
          <w:lang w:val="fr-FR"/>
        </w:rPr>
        <w:t>Family</w:t>
      </w:r>
      <w:proofErr w:type="spellEnd"/>
      <w:r>
        <w:rPr>
          <w:lang w:val="fr-FR"/>
        </w:rPr>
        <w:t xml:space="preserve"> Centre [ACFC]) est une initiative de </w:t>
      </w:r>
      <w:proofErr w:type="spellStart"/>
      <w:r>
        <w:rPr>
          <w:lang w:val="fr-FR"/>
        </w:rPr>
        <w:t>Brighter</w:t>
      </w:r>
      <w:proofErr w:type="spellEnd"/>
      <w:r>
        <w:rPr>
          <w:lang w:val="fr-FR"/>
        </w:rPr>
        <w:t xml:space="preserve"> </w:t>
      </w:r>
      <w:proofErr w:type="spellStart"/>
      <w:r>
        <w:rPr>
          <w:lang w:val="fr-FR"/>
        </w:rPr>
        <w:t>Beginnings</w:t>
      </w:r>
      <w:proofErr w:type="spellEnd"/>
      <w:r>
        <w:rPr>
          <w:lang w:val="fr-FR"/>
        </w:rPr>
        <w:t>.</w:t>
      </w:r>
    </w:p>
    <w:p w14:paraId="4345A26C" w14:textId="0DCE0680" w:rsidR="0086049F" w:rsidRPr="0038135C" w:rsidRDefault="0086049F" w:rsidP="0086049F">
      <w:pPr>
        <w:spacing w:before="240" w:after="240" w:line="240" w:lineRule="auto"/>
        <w:rPr>
          <w:rFonts w:cs="Arial"/>
        </w:rPr>
      </w:pPr>
      <w:r>
        <w:rPr>
          <w:lang w:val="fr-FR"/>
        </w:rPr>
        <w:t>Les financements pour élargir le programme ACFC incluent :</w:t>
      </w:r>
    </w:p>
    <w:p w14:paraId="5AD71820" w14:textId="7B404FB8" w:rsidR="00D1030A" w:rsidRPr="0038135C" w:rsidRDefault="00A73BFB" w:rsidP="00C41CE0">
      <w:pPr>
        <w:numPr>
          <w:ilvl w:val="0"/>
          <w:numId w:val="9"/>
        </w:numPr>
        <w:spacing w:before="120" w:after="0" w:line="240" w:lineRule="auto"/>
        <w:ind w:left="288" w:hanging="288"/>
        <w:rPr>
          <w:rFonts w:cs="Arial"/>
        </w:rPr>
      </w:pPr>
      <w:r>
        <w:rPr>
          <w:lang w:val="fr-FR"/>
        </w:rPr>
        <w:t>42 millions de dollars pour la construction de six nouveaux ACFC de 2024 à 2027 ;</w:t>
      </w:r>
    </w:p>
    <w:p w14:paraId="08C5572C" w14:textId="37F175C5" w:rsidR="00D1030A" w:rsidRPr="0038135C" w:rsidRDefault="00A73BFB" w:rsidP="00C41CE0">
      <w:pPr>
        <w:numPr>
          <w:ilvl w:val="0"/>
          <w:numId w:val="9"/>
        </w:numPr>
        <w:spacing w:before="120" w:after="0" w:line="240" w:lineRule="auto"/>
        <w:ind w:left="288" w:hanging="288"/>
        <w:rPr>
          <w:rFonts w:cs="Arial"/>
        </w:rPr>
      </w:pPr>
      <w:r>
        <w:rPr>
          <w:lang w:val="fr-FR"/>
        </w:rPr>
        <w:t xml:space="preserve">22,5 millions de dollars pour moderniser neuf centres situés à Ballina, </w:t>
      </w:r>
      <w:proofErr w:type="spellStart"/>
      <w:r>
        <w:rPr>
          <w:lang w:val="fr-FR"/>
        </w:rPr>
        <w:t>Brewarrina</w:t>
      </w:r>
      <w:proofErr w:type="spellEnd"/>
      <w:r>
        <w:rPr>
          <w:lang w:val="fr-FR"/>
        </w:rPr>
        <w:t xml:space="preserve">, </w:t>
      </w:r>
      <w:proofErr w:type="spellStart"/>
      <w:r>
        <w:rPr>
          <w:lang w:val="fr-FR"/>
        </w:rPr>
        <w:t>Gunnedah</w:t>
      </w:r>
      <w:proofErr w:type="spellEnd"/>
      <w:r>
        <w:rPr>
          <w:lang w:val="fr-FR"/>
        </w:rPr>
        <w:t xml:space="preserve">, </w:t>
      </w:r>
      <w:proofErr w:type="spellStart"/>
      <w:r>
        <w:rPr>
          <w:lang w:val="fr-FR"/>
        </w:rPr>
        <w:t>Lightening</w:t>
      </w:r>
      <w:proofErr w:type="spellEnd"/>
      <w:r>
        <w:rPr>
          <w:lang w:val="fr-FR"/>
        </w:rPr>
        <w:t xml:space="preserve"> </w:t>
      </w:r>
      <w:proofErr w:type="spellStart"/>
      <w:r>
        <w:rPr>
          <w:lang w:val="fr-FR"/>
        </w:rPr>
        <w:t>Ridge</w:t>
      </w:r>
      <w:proofErr w:type="spellEnd"/>
      <w:r>
        <w:rPr>
          <w:lang w:val="fr-FR"/>
        </w:rPr>
        <w:t xml:space="preserve">, </w:t>
      </w:r>
      <w:proofErr w:type="spellStart"/>
      <w:r>
        <w:rPr>
          <w:lang w:val="fr-FR"/>
        </w:rPr>
        <w:t>Minto</w:t>
      </w:r>
      <w:proofErr w:type="spellEnd"/>
      <w:r>
        <w:rPr>
          <w:lang w:val="fr-FR"/>
        </w:rPr>
        <w:t xml:space="preserve">, Mount </w:t>
      </w:r>
      <w:proofErr w:type="spellStart"/>
      <w:r>
        <w:rPr>
          <w:lang w:val="fr-FR"/>
        </w:rPr>
        <w:t>Druitt</w:t>
      </w:r>
      <w:proofErr w:type="spellEnd"/>
      <w:r>
        <w:rPr>
          <w:lang w:val="fr-FR"/>
        </w:rPr>
        <w:t xml:space="preserve">, </w:t>
      </w:r>
      <w:proofErr w:type="spellStart"/>
      <w:r>
        <w:rPr>
          <w:lang w:val="fr-FR"/>
        </w:rPr>
        <w:t>Nowra</w:t>
      </w:r>
      <w:proofErr w:type="spellEnd"/>
      <w:r>
        <w:rPr>
          <w:lang w:val="fr-FR"/>
        </w:rPr>
        <w:t xml:space="preserve">, Toronto et </w:t>
      </w:r>
      <w:proofErr w:type="spellStart"/>
      <w:r>
        <w:rPr>
          <w:lang w:val="fr-FR"/>
        </w:rPr>
        <w:t>Doonside</w:t>
      </w:r>
      <w:proofErr w:type="spellEnd"/>
      <w:r>
        <w:rPr>
          <w:lang w:val="fr-FR"/>
        </w:rPr>
        <w:t xml:space="preserve"> de 2024 à 2027 ;</w:t>
      </w:r>
    </w:p>
    <w:p w14:paraId="15ADFAC5" w14:textId="4862FAD4" w:rsidR="00D1030A" w:rsidRPr="0038135C" w:rsidRDefault="00A73BFB" w:rsidP="00C41CE0">
      <w:pPr>
        <w:numPr>
          <w:ilvl w:val="0"/>
          <w:numId w:val="9"/>
        </w:numPr>
        <w:spacing w:before="120" w:after="0" w:line="240" w:lineRule="auto"/>
        <w:ind w:left="288" w:hanging="288"/>
        <w:rPr>
          <w:rFonts w:cs="Arial"/>
        </w:rPr>
      </w:pPr>
      <w:r>
        <w:rPr>
          <w:lang w:val="fr-FR"/>
        </w:rPr>
        <w:lastRenderedPageBreak/>
        <w:t>1 million de dollars par centre et par année pour les dépenses d'exploitation (contre 535 000 de dollars auparavant).</w:t>
      </w:r>
    </w:p>
    <w:p w14:paraId="4E7A0B7E" w14:textId="533EF2DD" w:rsidR="00D1030A" w:rsidRPr="0038135C" w:rsidRDefault="00A73BFB" w:rsidP="00C41CE0">
      <w:pPr>
        <w:spacing w:before="240" w:after="240" w:line="240" w:lineRule="auto"/>
        <w:rPr>
          <w:rFonts w:cs="Arial"/>
        </w:rPr>
      </w:pPr>
      <w:r>
        <w:rPr>
          <w:lang w:val="fr-FR"/>
        </w:rPr>
        <w:t xml:space="preserve">Les objectifs de </w:t>
      </w:r>
      <w:proofErr w:type="spellStart"/>
      <w:r>
        <w:rPr>
          <w:lang w:val="fr-FR"/>
        </w:rPr>
        <w:t>Brighter</w:t>
      </w:r>
      <w:proofErr w:type="spellEnd"/>
      <w:r>
        <w:rPr>
          <w:lang w:val="fr-FR"/>
        </w:rPr>
        <w:t xml:space="preserve"> </w:t>
      </w:r>
      <w:proofErr w:type="spellStart"/>
      <w:r>
        <w:rPr>
          <w:lang w:val="fr-FR"/>
        </w:rPr>
        <w:t>Beginnings</w:t>
      </w:r>
      <w:proofErr w:type="spellEnd"/>
      <w:r>
        <w:rPr>
          <w:lang w:val="fr-FR"/>
        </w:rPr>
        <w:t xml:space="preserve"> est que d’ici 2027, 67 % des enfants de Nouvelle-Galles du Sud suivent un développement conformément aux cinq domaines de développement de la petite enfance australiens (</w:t>
      </w:r>
      <w:proofErr w:type="spellStart"/>
      <w:r>
        <w:rPr>
          <w:lang w:val="fr-FR"/>
        </w:rPr>
        <w:t>Australian</w:t>
      </w:r>
      <w:proofErr w:type="spellEnd"/>
      <w:r>
        <w:rPr>
          <w:lang w:val="fr-FR"/>
        </w:rPr>
        <w:t xml:space="preserve"> </w:t>
      </w:r>
      <w:proofErr w:type="spellStart"/>
      <w:r>
        <w:rPr>
          <w:lang w:val="fr-FR"/>
        </w:rPr>
        <w:t>Early</w:t>
      </w:r>
      <w:proofErr w:type="spellEnd"/>
      <w:r>
        <w:rPr>
          <w:lang w:val="fr-FR"/>
        </w:rPr>
        <w:t xml:space="preserve"> </w:t>
      </w:r>
      <w:proofErr w:type="spellStart"/>
      <w:r>
        <w:rPr>
          <w:lang w:val="fr-FR"/>
        </w:rPr>
        <w:t>Development</w:t>
      </w:r>
      <w:proofErr w:type="spellEnd"/>
      <w:r>
        <w:rPr>
          <w:lang w:val="fr-FR"/>
        </w:rPr>
        <w:t xml:space="preserve"> </w:t>
      </w:r>
      <w:proofErr w:type="spellStart"/>
      <w:r>
        <w:rPr>
          <w:lang w:val="fr-FR"/>
        </w:rPr>
        <w:t>Census</w:t>
      </w:r>
      <w:proofErr w:type="spellEnd"/>
      <w:r>
        <w:rPr>
          <w:lang w:val="fr-FR"/>
        </w:rPr>
        <w:t xml:space="preserve"> [AEDC]) et d’aider la Nouvelle-Galles du Sud à dépasser l’objectif de l’initiative « </w:t>
      </w:r>
      <w:proofErr w:type="spellStart"/>
      <w:r>
        <w:rPr>
          <w:lang w:val="fr-FR"/>
        </w:rPr>
        <w:t>Closing</w:t>
      </w:r>
      <w:proofErr w:type="spellEnd"/>
      <w:r>
        <w:rPr>
          <w:lang w:val="fr-FR"/>
        </w:rPr>
        <w:t xml:space="preserve"> the Gap » qui consiste à ce que d’ici 2031, 55 % des enfants aborigènes et insulaires du détroit de Torres suivent également un développement conformément aux cinq domaines.</w:t>
      </w:r>
    </w:p>
    <w:p w14:paraId="17A9D2DB" w14:textId="6437C0CF" w:rsidR="001F7ED0" w:rsidRDefault="001F7ED0">
      <w:pPr>
        <w:rPr>
          <w:rFonts w:asciiTheme="minorHAnsi" w:hAnsiTheme="minorHAnsi" w:cstheme="minorHAnsi"/>
        </w:rPr>
      </w:pPr>
      <w:r>
        <w:rPr>
          <w:rFonts w:asciiTheme="minorHAnsi" w:hAnsiTheme="minorHAnsi" w:cstheme="minorHAnsi"/>
        </w:rPr>
        <w:br w:type="page"/>
      </w:r>
    </w:p>
    <w:p w14:paraId="730B8E22" w14:textId="2F5F92B9" w:rsidR="00D1030A" w:rsidRPr="0038135C" w:rsidRDefault="007B7648" w:rsidP="00515A1C">
      <w:pPr>
        <w:pStyle w:val="Heading2"/>
      </w:pPr>
      <w:bookmarkStart w:id="35" w:name="_Toc153226842"/>
      <w:r>
        <w:rPr>
          <w:lang w:val="fr-FR"/>
        </w:rPr>
        <w:lastRenderedPageBreak/>
        <w:t>Soutien aux comportements et réduction et élimination des pratiques restrictives</w:t>
      </w:r>
      <w:bookmarkEnd w:id="35"/>
    </w:p>
    <w:p w14:paraId="7A99054F" w14:textId="1CCB4F03" w:rsidR="005C27A7" w:rsidRPr="005C27A7" w:rsidRDefault="007B7648" w:rsidP="00F82F3F">
      <w:pPr>
        <w:spacing w:before="240" w:after="0" w:line="240" w:lineRule="auto"/>
        <w:rPr>
          <w:rFonts w:cs="Arial"/>
          <w:b/>
        </w:rPr>
      </w:pPr>
      <w:r>
        <w:rPr>
          <w:b/>
          <w:lang w:val="fr-FR"/>
        </w:rPr>
        <w:t xml:space="preserve">Territoire : </w:t>
      </w:r>
      <w:r>
        <w:rPr>
          <w:lang w:val="fr-FR"/>
        </w:rPr>
        <w:t>Commission des mesures de protection et de la qualité du NDIS du gouvernement australien</w:t>
      </w:r>
    </w:p>
    <w:p w14:paraId="5B6DACEC" w14:textId="38914401" w:rsidR="005C27A7" w:rsidRPr="005C27A7" w:rsidRDefault="007B7648" w:rsidP="00F82F3F">
      <w:pPr>
        <w:spacing w:before="240" w:after="0" w:line="240" w:lineRule="auto"/>
        <w:rPr>
          <w:rFonts w:cs="Arial"/>
        </w:rPr>
      </w:pPr>
      <w:r>
        <w:rPr>
          <w:b/>
          <w:lang w:val="fr-FR"/>
        </w:rPr>
        <w:t>PAC :</w:t>
      </w:r>
      <w:r>
        <w:rPr>
          <w:lang w:val="fr-FR"/>
        </w:rPr>
        <w:tab/>
        <w:t>Sécurité</w:t>
      </w:r>
    </w:p>
    <w:p w14:paraId="198FB214" w14:textId="441378E9" w:rsidR="005C27A7" w:rsidRPr="005C27A7" w:rsidRDefault="007B7648" w:rsidP="00F82F3F">
      <w:pPr>
        <w:spacing w:before="240" w:after="0" w:line="240" w:lineRule="auto"/>
        <w:rPr>
          <w:rFonts w:cs="Arial"/>
        </w:rPr>
      </w:pPr>
      <w:r>
        <w:rPr>
          <w:b/>
          <w:lang w:val="fr-FR"/>
        </w:rPr>
        <w:t xml:space="preserve">Objectif du PAC : </w:t>
      </w:r>
      <w:r>
        <w:rPr>
          <w:lang w:val="fr-FR"/>
        </w:rPr>
        <w:t>4. Réduire et éliminer le recours aux pratiques restrictives dans tous les systèmes de services gouvernementaux</w:t>
      </w:r>
    </w:p>
    <w:p w14:paraId="38AF62A9" w14:textId="74FEBCAD" w:rsidR="005C27A7" w:rsidRPr="005C27A7" w:rsidRDefault="007B7648" w:rsidP="00F82F3F">
      <w:pPr>
        <w:spacing w:before="240" w:after="0" w:line="240" w:lineRule="auto"/>
        <w:rPr>
          <w:rFonts w:cs="Arial"/>
        </w:rPr>
      </w:pPr>
      <w:r>
        <w:rPr>
          <w:b/>
          <w:lang w:val="fr-FR"/>
        </w:rPr>
        <w:t xml:space="preserve">Action : </w:t>
      </w:r>
      <w:r>
        <w:rPr>
          <w:lang w:val="fr-FR"/>
        </w:rPr>
        <w:t>4.4</w:t>
      </w:r>
      <w:r>
        <w:rPr>
          <w:lang w:val="fr-FR"/>
        </w:rPr>
        <w:tab/>
        <w:t>Intensifier les initiatives de formation et de renforcement des capacités du secteur du handicap et des communautés en matière de soutien aux comportements et de réduction et d’élimination des pratiques restrictives.</w:t>
      </w:r>
    </w:p>
    <w:p w14:paraId="3B68CC7B" w14:textId="39EAC29E" w:rsidR="005C27A7" w:rsidRPr="005C27A7" w:rsidRDefault="007B7648" w:rsidP="00F82F3F">
      <w:pPr>
        <w:spacing w:before="240" w:after="0" w:line="240" w:lineRule="auto"/>
        <w:rPr>
          <w:rFonts w:cs="Arial"/>
        </w:rPr>
      </w:pPr>
      <w:r>
        <w:rPr>
          <w:b/>
          <w:lang w:val="fr-FR"/>
        </w:rPr>
        <w:t>Indicateur(s) :</w:t>
      </w:r>
      <w:r w:rsidR="005C27A7" w:rsidRPr="005C27A7">
        <w:rPr>
          <w:rFonts w:cs="Arial"/>
        </w:rPr>
        <w:tab/>
      </w:r>
    </w:p>
    <w:p w14:paraId="3E79516B" w14:textId="74F54DC5" w:rsidR="005C27A7" w:rsidRPr="005C27A7" w:rsidRDefault="007B7648" w:rsidP="00F82F3F">
      <w:pPr>
        <w:spacing w:before="240" w:after="0" w:line="240" w:lineRule="auto"/>
        <w:rPr>
          <w:rFonts w:cs="Arial"/>
          <w:i/>
        </w:rPr>
      </w:pPr>
      <w:r>
        <w:rPr>
          <w:i/>
          <w:lang w:val="fr-FR"/>
        </w:rPr>
        <w:t>Indicateurs de produits</w:t>
      </w:r>
    </w:p>
    <w:p w14:paraId="4F353B54" w14:textId="31E9713A" w:rsidR="005C27A7" w:rsidRPr="005C27A7" w:rsidRDefault="007B7648" w:rsidP="00F82F3F">
      <w:pPr>
        <w:numPr>
          <w:ilvl w:val="0"/>
          <w:numId w:val="11"/>
        </w:numPr>
        <w:spacing w:before="240" w:after="0" w:line="240" w:lineRule="auto"/>
        <w:ind w:left="360"/>
        <w:rPr>
          <w:rFonts w:cs="Arial"/>
        </w:rPr>
      </w:pPr>
      <w:r w:rsidRPr="00876401">
        <w:rPr>
          <w:lang w:val="fr-FR"/>
        </w:rPr>
        <w:t>Réduction graduelle du recours à des pratiques restrictives</w:t>
      </w:r>
      <w:r w:rsidR="005C27A7" w:rsidRPr="005C27A7">
        <w:rPr>
          <w:rFonts w:cs="Arial"/>
        </w:rPr>
        <w:t xml:space="preserve">. </w:t>
      </w:r>
    </w:p>
    <w:p w14:paraId="4831EDF7" w14:textId="5B303314" w:rsidR="005C27A7" w:rsidRPr="005C27A7" w:rsidRDefault="007B7648" w:rsidP="00F82F3F">
      <w:pPr>
        <w:spacing w:before="240" w:after="0" w:line="240" w:lineRule="auto"/>
        <w:rPr>
          <w:rFonts w:cs="Arial"/>
          <w:i/>
        </w:rPr>
      </w:pPr>
      <w:r>
        <w:rPr>
          <w:i/>
          <w:lang w:val="fr-FR"/>
        </w:rPr>
        <w:t>Indicateurs d’efficacité et d’efficience</w:t>
      </w:r>
      <w:r w:rsidR="005C27A7" w:rsidRPr="005C27A7">
        <w:rPr>
          <w:rFonts w:cs="Arial"/>
          <w:i/>
        </w:rPr>
        <w:t xml:space="preserve"> </w:t>
      </w:r>
    </w:p>
    <w:p w14:paraId="3E82FE83" w14:textId="1ABBA31E" w:rsidR="005C27A7" w:rsidRPr="005C27A7" w:rsidRDefault="007B7648" w:rsidP="00F82F3F">
      <w:pPr>
        <w:numPr>
          <w:ilvl w:val="0"/>
          <w:numId w:val="11"/>
        </w:numPr>
        <w:spacing w:before="240" w:after="0" w:line="240" w:lineRule="auto"/>
        <w:ind w:left="360"/>
        <w:rPr>
          <w:rFonts w:cs="Arial"/>
          <w:i/>
        </w:rPr>
      </w:pPr>
      <w:r>
        <w:rPr>
          <w:lang w:val="fr-FR"/>
        </w:rPr>
        <w:t>Les outils de formation et de renforcement des capacités permettent de mieux sensibiliser et d’accroître les capacités du secteur du handicap, des structures de base et des communautés, ce qui contribue à l’élimination des pratiques restrictives.</w:t>
      </w:r>
    </w:p>
    <w:p w14:paraId="426AC301" w14:textId="1EC60402" w:rsidR="005C27A7" w:rsidRPr="005C27A7" w:rsidRDefault="007B7648" w:rsidP="00F82F3F">
      <w:pPr>
        <w:spacing w:before="240" w:after="0" w:line="240" w:lineRule="auto"/>
        <w:rPr>
          <w:rFonts w:cs="Arial"/>
        </w:rPr>
      </w:pPr>
      <w:r>
        <w:rPr>
          <w:b/>
          <w:lang w:val="fr-FR"/>
        </w:rPr>
        <w:t xml:space="preserve">État de l’action : </w:t>
      </w:r>
      <w:r>
        <w:rPr>
          <w:lang w:val="fr-FR"/>
        </w:rPr>
        <w:t>En bonne voie</w:t>
      </w:r>
    </w:p>
    <w:p w14:paraId="14C7C7EB" w14:textId="25FC95CE" w:rsidR="005C27A7" w:rsidRPr="005C27A7" w:rsidRDefault="007B7648" w:rsidP="00F82F3F">
      <w:pPr>
        <w:spacing w:before="240" w:after="0" w:line="240" w:lineRule="auto"/>
        <w:rPr>
          <w:rFonts w:cs="Arial"/>
        </w:rPr>
      </w:pPr>
      <w:r>
        <w:rPr>
          <w:b/>
          <w:lang w:val="fr-FR"/>
        </w:rPr>
        <w:t>Description</w:t>
      </w:r>
      <w:r>
        <w:rPr>
          <w:lang w:val="fr-FR"/>
        </w:rPr>
        <w:t> :</w:t>
      </w:r>
      <w:r w:rsidR="005C27A7" w:rsidRPr="005C27A7">
        <w:rPr>
          <w:rFonts w:cs="Arial"/>
        </w:rPr>
        <w:tab/>
      </w:r>
    </w:p>
    <w:p w14:paraId="4F4D51F2" w14:textId="46A4F01C" w:rsidR="005C27A7" w:rsidRPr="005C27A7" w:rsidRDefault="007B7648" w:rsidP="00F82F3F">
      <w:pPr>
        <w:spacing w:before="240" w:after="240" w:line="240" w:lineRule="auto"/>
        <w:rPr>
          <w:rFonts w:cs="Arial"/>
        </w:rPr>
      </w:pPr>
      <w:r>
        <w:rPr>
          <w:lang w:val="fr-FR"/>
        </w:rPr>
        <w:t>Au cours de la période visée par le rapport, la Commission du NDIS a continué de former le secteur de différentes manières :</w:t>
      </w:r>
      <w:r w:rsidR="005C27A7" w:rsidRPr="005C27A7">
        <w:rPr>
          <w:rFonts w:cs="Arial"/>
        </w:rPr>
        <w:t xml:space="preserve"> </w:t>
      </w:r>
    </w:p>
    <w:p w14:paraId="644D8701" w14:textId="0FDC9CCE" w:rsidR="005C27A7" w:rsidRPr="005C27A7" w:rsidRDefault="007B7648" w:rsidP="00F82F3F">
      <w:pPr>
        <w:numPr>
          <w:ilvl w:val="0"/>
          <w:numId w:val="28"/>
        </w:numPr>
        <w:spacing w:before="120" w:after="0" w:line="240" w:lineRule="auto"/>
        <w:ind w:left="432" w:hanging="432"/>
        <w:rPr>
          <w:rFonts w:cs="Arial"/>
        </w:rPr>
      </w:pPr>
      <w:r>
        <w:rPr>
          <w:lang w:val="fr-FR"/>
        </w:rPr>
        <w:t xml:space="preserve">Ont entre autres été organisées 659 activités de mobilisation comme des réunions avec des prestataires individuels, des ateliers en groupes, des communautés de pratiques, des réunions en réseau </w:t>
      </w:r>
      <w:proofErr w:type="spellStart"/>
      <w:r>
        <w:rPr>
          <w:lang w:val="fr-FR"/>
        </w:rPr>
        <w:t>interagences</w:t>
      </w:r>
      <w:proofErr w:type="spellEnd"/>
      <w:r>
        <w:rPr>
          <w:lang w:val="fr-FR"/>
        </w:rPr>
        <w:t xml:space="preserve"> et des séances d’éducation en partenariat avec d’autres agences comme la NDIA, les NDS, TAFE, des entités phares et des organismes octroyant des autorisations des États et Territoires. La mobilisation couvre un large éventail de problèmes relatifs aux exigences prévues par la loi, à la qualité des plans de soutien aux comportements et à la réduction et à l’élimination des pratiques restrictives.</w:t>
      </w:r>
    </w:p>
    <w:p w14:paraId="0D412641" w14:textId="151434CE" w:rsidR="005C27A7" w:rsidRPr="005C27A7" w:rsidRDefault="007B7648" w:rsidP="00F82F3F">
      <w:pPr>
        <w:numPr>
          <w:ilvl w:val="0"/>
          <w:numId w:val="28"/>
        </w:numPr>
        <w:spacing w:before="120" w:after="0" w:line="240" w:lineRule="auto"/>
        <w:ind w:left="426" w:hanging="426"/>
        <w:rPr>
          <w:rFonts w:cs="Arial"/>
        </w:rPr>
      </w:pPr>
      <w:r>
        <w:rPr>
          <w:lang w:val="fr-FR"/>
        </w:rPr>
        <w:t xml:space="preserve">Des contacts ont été établis avec des universités pour organiser des cours de soutien aux comportements positifs : universités du Queensland, Flinders, </w:t>
      </w:r>
      <w:proofErr w:type="spellStart"/>
      <w:r>
        <w:rPr>
          <w:lang w:val="fr-FR"/>
        </w:rPr>
        <w:t>Curtin</w:t>
      </w:r>
      <w:proofErr w:type="spellEnd"/>
      <w:r>
        <w:rPr>
          <w:lang w:val="fr-FR"/>
        </w:rPr>
        <w:t xml:space="preserve">, de </w:t>
      </w:r>
      <w:proofErr w:type="spellStart"/>
      <w:r>
        <w:rPr>
          <w:lang w:val="fr-FR"/>
        </w:rPr>
        <w:t>Monash</w:t>
      </w:r>
      <w:proofErr w:type="spellEnd"/>
      <w:r>
        <w:rPr>
          <w:lang w:val="fr-FR"/>
        </w:rPr>
        <w:t xml:space="preserve"> et de Melbourne.</w:t>
      </w:r>
    </w:p>
    <w:p w14:paraId="17654CE1" w14:textId="6D832783" w:rsidR="005C27A7" w:rsidRPr="005C27A7" w:rsidRDefault="00CF5A5B" w:rsidP="00F82F3F">
      <w:pPr>
        <w:numPr>
          <w:ilvl w:val="0"/>
          <w:numId w:val="28"/>
        </w:numPr>
        <w:spacing w:before="120" w:after="0" w:line="240" w:lineRule="auto"/>
        <w:ind w:left="426" w:hanging="426"/>
        <w:rPr>
          <w:rFonts w:cs="Arial"/>
        </w:rPr>
      </w:pPr>
      <w:r>
        <w:rPr>
          <w:lang w:val="fr-FR"/>
        </w:rPr>
        <w:t>Élaboration de ressources de pratiques en lien avec un soutien aux comportements, les pratiques restrictives et les obligations dans le cadre de la Loi relative au NDIS (</w:t>
      </w:r>
      <w:r>
        <w:rPr>
          <w:i/>
          <w:iCs/>
          <w:lang w:val="fr-FR"/>
        </w:rPr>
        <w:t xml:space="preserve">NDIS </w:t>
      </w:r>
      <w:proofErr w:type="spellStart"/>
      <w:r>
        <w:rPr>
          <w:i/>
          <w:iCs/>
          <w:lang w:val="fr-FR"/>
        </w:rPr>
        <w:t>Act</w:t>
      </w:r>
      <w:proofErr w:type="spellEnd"/>
      <w:r>
        <w:rPr>
          <w:lang w:val="fr-FR"/>
        </w:rPr>
        <w:t>) avec notamment :</w:t>
      </w:r>
    </w:p>
    <w:p w14:paraId="24430F3C" w14:textId="1C6BC0EE" w:rsidR="005C27A7" w:rsidRPr="005C27A7" w:rsidRDefault="00CF5A5B" w:rsidP="00F82F3F">
      <w:pPr>
        <w:numPr>
          <w:ilvl w:val="0"/>
          <w:numId w:val="30"/>
        </w:numPr>
        <w:spacing w:before="120" w:after="0" w:line="240" w:lineRule="auto"/>
        <w:ind w:left="851" w:hanging="425"/>
        <w:rPr>
          <w:rFonts w:cs="Arial"/>
        </w:rPr>
      </w:pPr>
      <w:r>
        <w:rPr>
          <w:lang w:val="fr-FR"/>
        </w:rPr>
        <w:lastRenderedPageBreak/>
        <w:t>Des guides de pratiques d’identification et de résolution des problèmes de pratiques restrictives (p. ex. Guide des pratiques des technologies de surveillance, mise à jour du Guide du transport en toute sécurité).</w:t>
      </w:r>
    </w:p>
    <w:p w14:paraId="3BAC2CD1" w14:textId="55A5B6ED" w:rsidR="005C27A7" w:rsidRPr="005C27A7" w:rsidRDefault="00CF5A5B" w:rsidP="00F82F3F">
      <w:pPr>
        <w:numPr>
          <w:ilvl w:val="0"/>
          <w:numId w:val="30"/>
        </w:numPr>
        <w:spacing w:before="120" w:after="0" w:line="240" w:lineRule="auto"/>
        <w:ind w:left="851" w:hanging="425"/>
        <w:rPr>
          <w:rFonts w:cs="Arial"/>
          <w:u w:val="single"/>
        </w:rPr>
      </w:pPr>
      <w:r>
        <w:rPr>
          <w:lang w:val="fr-FR"/>
        </w:rPr>
        <w:t xml:space="preserve">Cinq fiches d’information </w:t>
      </w:r>
      <w:proofErr w:type="spellStart"/>
      <w:r>
        <w:rPr>
          <w:lang w:val="fr-FR"/>
        </w:rPr>
        <w:t>co</w:t>
      </w:r>
      <w:proofErr w:type="spellEnd"/>
      <w:r>
        <w:rPr>
          <w:lang w:val="fr-FR"/>
        </w:rPr>
        <w:t>-conçues par des participants sur le soutien aux comportements disponibles en ligne : Fiches d’information des participants pour le soutien aux comportements de la Commission des mesures de protection et de la qualité du NDIS (</w:t>
      </w:r>
      <w:hyperlink r:id="rId18" w:history="1">
        <w:r>
          <w:rPr>
            <w:color w:val="0000FF"/>
            <w:u w:val="single"/>
            <w:lang w:val="fr-FR"/>
          </w:rPr>
          <w:t xml:space="preserve">Participant </w:t>
        </w:r>
        <w:proofErr w:type="spellStart"/>
        <w:r>
          <w:rPr>
            <w:color w:val="0000FF"/>
            <w:u w:val="single"/>
            <w:lang w:val="fr-FR"/>
          </w:rPr>
          <w:t>Fact</w:t>
        </w:r>
        <w:proofErr w:type="spellEnd"/>
        <w:r>
          <w:rPr>
            <w:color w:val="0000FF"/>
            <w:u w:val="single"/>
            <w:lang w:val="fr-FR"/>
          </w:rPr>
          <w:t xml:space="preserve"> </w:t>
        </w:r>
        <w:proofErr w:type="spellStart"/>
        <w:r>
          <w:rPr>
            <w:color w:val="0000FF"/>
            <w:u w:val="single"/>
            <w:lang w:val="fr-FR"/>
          </w:rPr>
          <w:t>Sheets</w:t>
        </w:r>
        <w:proofErr w:type="spellEnd"/>
        <w:r>
          <w:rPr>
            <w:color w:val="0000FF"/>
            <w:u w:val="single"/>
            <w:lang w:val="fr-FR"/>
          </w:rPr>
          <w:t xml:space="preserve"> for </w:t>
        </w:r>
        <w:proofErr w:type="spellStart"/>
        <w:r>
          <w:rPr>
            <w:color w:val="0000FF"/>
            <w:u w:val="single"/>
            <w:lang w:val="fr-FR"/>
          </w:rPr>
          <w:t>Behaviour</w:t>
        </w:r>
        <w:proofErr w:type="spellEnd"/>
        <w:r>
          <w:rPr>
            <w:color w:val="0000FF"/>
            <w:u w:val="single"/>
            <w:lang w:val="fr-FR"/>
          </w:rPr>
          <w:t xml:space="preserve"> Support | NDIS </w:t>
        </w:r>
        <w:proofErr w:type="spellStart"/>
        <w:r>
          <w:rPr>
            <w:color w:val="0000FF"/>
            <w:u w:val="single"/>
            <w:lang w:val="fr-FR"/>
          </w:rPr>
          <w:t>Quality</w:t>
        </w:r>
        <w:proofErr w:type="spellEnd"/>
        <w:r>
          <w:rPr>
            <w:color w:val="0000FF"/>
            <w:u w:val="single"/>
            <w:lang w:val="fr-FR"/>
          </w:rPr>
          <w:t xml:space="preserve"> and </w:t>
        </w:r>
        <w:proofErr w:type="spellStart"/>
        <w:r>
          <w:rPr>
            <w:color w:val="0000FF"/>
            <w:u w:val="single"/>
            <w:lang w:val="fr-FR"/>
          </w:rPr>
          <w:t>Safeguards</w:t>
        </w:r>
        <w:proofErr w:type="spellEnd"/>
        <w:r>
          <w:rPr>
            <w:color w:val="0000FF"/>
            <w:u w:val="single"/>
            <w:lang w:val="fr-FR"/>
          </w:rPr>
          <w:t xml:space="preserve"> Commission [ndiscommission.gov.au]</w:t>
        </w:r>
      </w:hyperlink>
      <w:r>
        <w:rPr>
          <w:lang w:val="fr-FR"/>
        </w:rPr>
        <w:t>).</w:t>
      </w:r>
    </w:p>
    <w:p w14:paraId="5740145B" w14:textId="42F5AF79" w:rsidR="005C27A7" w:rsidRPr="005C27A7" w:rsidRDefault="00CF5A5B" w:rsidP="00F82F3F">
      <w:pPr>
        <w:numPr>
          <w:ilvl w:val="0"/>
          <w:numId w:val="30"/>
        </w:numPr>
        <w:spacing w:before="120" w:after="0" w:line="240" w:lineRule="auto"/>
        <w:ind w:left="851" w:hanging="425"/>
        <w:rPr>
          <w:rFonts w:cs="Arial"/>
          <w:u w:val="single"/>
        </w:rPr>
      </w:pPr>
      <w:r>
        <w:rPr>
          <w:lang w:val="fr-FR"/>
        </w:rPr>
        <w:t>Listes de contrôle de plans de soutien aux comportements (</w:t>
      </w:r>
      <w:proofErr w:type="spellStart"/>
      <w:r w:rsidRPr="00A36597">
        <w:rPr>
          <w:i/>
          <w:iCs/>
          <w:lang w:val="fr-FR"/>
        </w:rPr>
        <w:t>Behaviour</w:t>
      </w:r>
      <w:proofErr w:type="spellEnd"/>
      <w:r w:rsidRPr="00A36597">
        <w:rPr>
          <w:i/>
          <w:iCs/>
          <w:lang w:val="fr-FR"/>
        </w:rPr>
        <w:t xml:space="preserve"> Support Plan Checklists</w:t>
      </w:r>
      <w:r>
        <w:rPr>
          <w:lang w:val="fr-FR"/>
        </w:rPr>
        <w:t xml:space="preserve">) avec les bonnes conditions et les bonnes pratiques d’enregistrement qui s’appliquent aux prestataires spécialisés de soutien aux comportements au moment d’élaborer les plans de soutien aux comportements. </w:t>
      </w:r>
      <w:r w:rsidR="005C27A7" w:rsidRPr="005C27A7">
        <w:rPr>
          <w:rFonts w:cs="Arial"/>
        </w:rPr>
        <w:t xml:space="preserve"> </w:t>
      </w:r>
    </w:p>
    <w:p w14:paraId="5059DD5F" w14:textId="4078E0B8" w:rsidR="005C27A7" w:rsidRPr="005C27A7" w:rsidRDefault="00CF5A5B" w:rsidP="00F82F3F">
      <w:pPr>
        <w:numPr>
          <w:ilvl w:val="0"/>
          <w:numId w:val="28"/>
        </w:numPr>
        <w:spacing w:before="120" w:after="0" w:line="240" w:lineRule="auto"/>
        <w:ind w:left="426" w:hanging="426"/>
        <w:rPr>
          <w:rFonts w:cs="Arial"/>
        </w:rPr>
      </w:pPr>
      <w:r>
        <w:rPr>
          <w:lang w:val="fr-FR"/>
        </w:rPr>
        <w:t>Des ressources ont été publiées :</w:t>
      </w:r>
    </w:p>
    <w:p w14:paraId="228E5816" w14:textId="1FB10D12" w:rsidR="005C27A7" w:rsidRPr="005C27A7" w:rsidRDefault="00DF1353" w:rsidP="00F82F3F">
      <w:pPr>
        <w:numPr>
          <w:ilvl w:val="0"/>
          <w:numId w:val="29"/>
        </w:numPr>
        <w:spacing w:before="120" w:after="0" w:line="240" w:lineRule="auto"/>
        <w:ind w:left="851" w:hanging="425"/>
        <w:rPr>
          <w:rFonts w:cs="Arial"/>
        </w:rPr>
      </w:pPr>
      <w:hyperlink r:id="rId19" w:history="1">
        <w:r w:rsidR="00CF5A5B">
          <w:rPr>
            <w:color w:val="0000FF"/>
            <w:u w:val="single"/>
            <w:lang w:val="fr-FR"/>
          </w:rPr>
          <w:t xml:space="preserve">Evidence </w:t>
        </w:r>
        <w:proofErr w:type="spellStart"/>
        <w:r w:rsidR="00CF5A5B">
          <w:rPr>
            <w:color w:val="0000FF"/>
            <w:u w:val="single"/>
            <w:lang w:val="fr-FR"/>
          </w:rPr>
          <w:t>Matters</w:t>
        </w:r>
        <w:proofErr w:type="spellEnd"/>
        <w:r w:rsidR="00CF5A5B">
          <w:rPr>
            <w:color w:val="0000FF"/>
            <w:u w:val="single"/>
            <w:lang w:val="fr-FR"/>
          </w:rPr>
          <w:t xml:space="preserve"> | NDIS </w:t>
        </w:r>
        <w:proofErr w:type="spellStart"/>
        <w:r w:rsidR="00CF5A5B">
          <w:rPr>
            <w:color w:val="0000FF"/>
            <w:u w:val="single"/>
            <w:lang w:val="fr-FR"/>
          </w:rPr>
          <w:t>Quality</w:t>
        </w:r>
        <w:proofErr w:type="spellEnd"/>
        <w:r w:rsidR="00CF5A5B">
          <w:rPr>
            <w:color w:val="0000FF"/>
            <w:u w:val="single"/>
            <w:lang w:val="fr-FR"/>
          </w:rPr>
          <w:t xml:space="preserve"> and </w:t>
        </w:r>
        <w:proofErr w:type="spellStart"/>
        <w:r w:rsidR="00CF5A5B">
          <w:rPr>
            <w:color w:val="0000FF"/>
            <w:u w:val="single"/>
            <w:lang w:val="fr-FR"/>
          </w:rPr>
          <w:t>Safeguards</w:t>
        </w:r>
        <w:proofErr w:type="spellEnd"/>
        <w:r w:rsidR="00CF5A5B">
          <w:rPr>
            <w:color w:val="0000FF"/>
            <w:u w:val="single"/>
            <w:lang w:val="fr-FR"/>
          </w:rPr>
          <w:t xml:space="preserve"> Commission</w:t>
        </w:r>
      </w:hyperlink>
      <w:r w:rsidR="00CF5A5B">
        <w:rPr>
          <w:lang w:val="fr-FR"/>
        </w:rPr>
        <w:t xml:space="preserve"> (Les faits probants comptent, Commission des mesures de protection et de la qualité du NDIS) : ensemble de ressources basées sur des faits probants pour les prestataires, les participants et les personnes qui les soutiennent dans l’amélioration des pratiques de soutien aux comportements et la réduction des pratiques restrictives.</w:t>
      </w:r>
    </w:p>
    <w:p w14:paraId="49D5FDE9" w14:textId="0A5C3040" w:rsidR="005C27A7" w:rsidRPr="005C27A7" w:rsidRDefault="00DF1353" w:rsidP="00F82F3F">
      <w:pPr>
        <w:numPr>
          <w:ilvl w:val="1"/>
          <w:numId w:val="28"/>
        </w:numPr>
        <w:spacing w:before="120" w:after="0" w:line="240" w:lineRule="auto"/>
        <w:ind w:left="851" w:hanging="425"/>
        <w:rPr>
          <w:rFonts w:cs="Arial"/>
        </w:rPr>
      </w:pPr>
      <w:hyperlink r:id="rId20" w:history="1">
        <w:proofErr w:type="spellStart"/>
        <w:r w:rsidR="00CF5A5B">
          <w:rPr>
            <w:color w:val="0000FF"/>
            <w:u w:val="single"/>
            <w:lang w:val="fr-FR"/>
          </w:rPr>
          <w:t>Medicines</w:t>
        </w:r>
        <w:proofErr w:type="spellEnd"/>
        <w:r w:rsidR="00CF5A5B">
          <w:rPr>
            <w:color w:val="0000FF"/>
            <w:u w:val="single"/>
            <w:lang w:val="fr-FR"/>
          </w:rPr>
          <w:t xml:space="preserve"> for </w:t>
        </w:r>
        <w:proofErr w:type="spellStart"/>
        <w:r w:rsidR="00CF5A5B">
          <w:rPr>
            <w:color w:val="0000FF"/>
            <w:u w:val="single"/>
            <w:lang w:val="fr-FR"/>
          </w:rPr>
          <w:t>health</w:t>
        </w:r>
        <w:proofErr w:type="spellEnd"/>
        <w:r w:rsidR="00CF5A5B">
          <w:rPr>
            <w:color w:val="0000FF"/>
            <w:u w:val="single"/>
            <w:lang w:val="fr-FR"/>
          </w:rPr>
          <w:t xml:space="preserve">, not control | NDIS </w:t>
        </w:r>
        <w:proofErr w:type="spellStart"/>
        <w:r w:rsidR="00CF5A5B">
          <w:rPr>
            <w:color w:val="0000FF"/>
            <w:u w:val="single"/>
            <w:lang w:val="fr-FR"/>
          </w:rPr>
          <w:t>Quality</w:t>
        </w:r>
        <w:proofErr w:type="spellEnd"/>
        <w:r w:rsidR="00CF5A5B">
          <w:rPr>
            <w:color w:val="0000FF"/>
            <w:u w:val="single"/>
            <w:lang w:val="fr-FR"/>
          </w:rPr>
          <w:t xml:space="preserve"> and </w:t>
        </w:r>
        <w:proofErr w:type="spellStart"/>
        <w:r w:rsidR="00CF5A5B">
          <w:rPr>
            <w:color w:val="0000FF"/>
            <w:u w:val="single"/>
            <w:lang w:val="fr-FR"/>
          </w:rPr>
          <w:t>Safeguards</w:t>
        </w:r>
        <w:proofErr w:type="spellEnd"/>
        <w:r w:rsidR="00CF5A5B">
          <w:rPr>
            <w:color w:val="0000FF"/>
            <w:u w:val="single"/>
            <w:lang w:val="fr-FR"/>
          </w:rPr>
          <w:t xml:space="preserve"> Commission</w:t>
        </w:r>
      </w:hyperlink>
      <w:r w:rsidR="00CF5A5B">
        <w:rPr>
          <w:lang w:val="fr-FR"/>
        </w:rPr>
        <w:t xml:space="preserve"> (Des médicaments pour soigner et non pour contrôler, Commission des mesures de protection et de la qualité du NDIS) : ensemble centralisé de ressources et d’outils pratiques pour les prestataires, les participants et les personnes les aidant à réduire et à éliminer le recours à des pratiques restrictives.</w:t>
      </w:r>
    </w:p>
    <w:p w14:paraId="317ABD25" w14:textId="6A8D6DF8" w:rsidR="005C27A7" w:rsidRPr="005C27A7" w:rsidRDefault="00CF5A5B" w:rsidP="00F82F3F">
      <w:pPr>
        <w:spacing w:before="240" w:after="0" w:line="240" w:lineRule="auto"/>
        <w:rPr>
          <w:rFonts w:cs="Arial"/>
        </w:rPr>
      </w:pPr>
      <w:r>
        <w:rPr>
          <w:lang w:val="fr-FR"/>
        </w:rPr>
        <w:t xml:space="preserve">La Commission du NDIS a publié 15 alertes de pratiques fournissant des guides des meilleures pratiques à l’attention des prestataires de soins aux personnes en situation de handicap pour qu’ils identifient les risques et y remédient. Elles sont disponibles en ligne : </w:t>
      </w:r>
      <w:hyperlink r:id="rId21" w:history="1">
        <w:r>
          <w:rPr>
            <w:color w:val="0000FF"/>
            <w:u w:val="single"/>
            <w:lang w:val="fr-FR"/>
          </w:rPr>
          <w:t xml:space="preserve">Practice </w:t>
        </w:r>
        <w:proofErr w:type="spellStart"/>
        <w:r>
          <w:rPr>
            <w:color w:val="0000FF"/>
            <w:u w:val="single"/>
            <w:lang w:val="fr-FR"/>
          </w:rPr>
          <w:t>Alerts</w:t>
        </w:r>
        <w:proofErr w:type="spellEnd"/>
        <w:r>
          <w:rPr>
            <w:color w:val="0000FF"/>
            <w:u w:val="single"/>
            <w:lang w:val="fr-FR"/>
          </w:rPr>
          <w:t xml:space="preserve"> | NDIS </w:t>
        </w:r>
        <w:proofErr w:type="spellStart"/>
        <w:r>
          <w:rPr>
            <w:color w:val="0000FF"/>
            <w:u w:val="single"/>
            <w:lang w:val="fr-FR"/>
          </w:rPr>
          <w:t>Quality</w:t>
        </w:r>
        <w:proofErr w:type="spellEnd"/>
        <w:r>
          <w:rPr>
            <w:color w:val="0000FF"/>
            <w:u w:val="single"/>
            <w:lang w:val="fr-FR"/>
          </w:rPr>
          <w:t xml:space="preserve"> and </w:t>
        </w:r>
        <w:proofErr w:type="spellStart"/>
        <w:r>
          <w:rPr>
            <w:color w:val="0000FF"/>
            <w:u w:val="single"/>
            <w:lang w:val="fr-FR"/>
          </w:rPr>
          <w:t>Safeguards</w:t>
        </w:r>
        <w:proofErr w:type="spellEnd"/>
        <w:r>
          <w:rPr>
            <w:color w:val="0000FF"/>
            <w:u w:val="single"/>
            <w:lang w:val="fr-FR"/>
          </w:rPr>
          <w:t xml:space="preserve"> Commission (ndiscommission.gov.au)</w:t>
        </w:r>
      </w:hyperlink>
      <w:r>
        <w:rPr>
          <w:lang w:val="fr-FR"/>
        </w:rPr>
        <w:t xml:space="preserve"> (Alertes de pratiques, Commission des mesures de protection et de la qualité du NDIS)</w:t>
      </w:r>
    </w:p>
    <w:p w14:paraId="4CB704B0" w14:textId="3C7CB8F8" w:rsidR="005C27A7" w:rsidRPr="005C27A7" w:rsidRDefault="00CF5A5B" w:rsidP="00F82F3F">
      <w:pPr>
        <w:spacing w:before="240" w:after="0" w:line="240" w:lineRule="auto"/>
        <w:rPr>
          <w:rFonts w:cs="Arial"/>
        </w:rPr>
      </w:pPr>
      <w:r>
        <w:rPr>
          <w:lang w:val="fr-FR"/>
        </w:rPr>
        <w:t xml:space="preserve">La division de la qualité des pratiques et des recommandations cliniques a géré quatre subventions octroyées pour l’amélioration de la qualité des services de soutien aux comportements dans le secteur. </w:t>
      </w:r>
      <w:r w:rsidR="005C27A7" w:rsidRPr="005C27A7">
        <w:rPr>
          <w:rFonts w:cs="Arial"/>
        </w:rPr>
        <w:t xml:space="preserve"> </w:t>
      </w:r>
    </w:p>
    <w:p w14:paraId="243BC262" w14:textId="10C01119" w:rsidR="005C27A7" w:rsidRPr="005C27A7" w:rsidRDefault="00CF5A5B" w:rsidP="00F82F3F">
      <w:pPr>
        <w:spacing w:before="240" w:after="0" w:line="240" w:lineRule="auto"/>
        <w:rPr>
          <w:rFonts w:cs="Arial"/>
        </w:rPr>
      </w:pPr>
      <w:r>
        <w:rPr>
          <w:lang w:val="fr-FR"/>
        </w:rPr>
        <w:t>En outre, trois cours exceptionnels ont été organisés en ligne pour les prestataires de services du handicap. Ces cours traitaient des thèmes suivants : des médicaments pour soigner et non pour contrôler, évaluation de la santé globale et des risques sur le style de vie, et gestion de l’épilepsie.</w:t>
      </w:r>
    </w:p>
    <w:p w14:paraId="64D9602E" w14:textId="77777777" w:rsidR="001F7ED0" w:rsidRDefault="001F7ED0" w:rsidP="00911917">
      <w:pPr>
        <w:pStyle w:val="NoSpacing"/>
      </w:pPr>
      <w:r>
        <w:br w:type="page"/>
      </w:r>
    </w:p>
    <w:p w14:paraId="024BBC3A" w14:textId="32982DA8" w:rsidR="001F7ED0" w:rsidRDefault="00CF23FD" w:rsidP="00515A1C">
      <w:pPr>
        <w:pStyle w:val="Heading2"/>
      </w:pPr>
      <w:bookmarkStart w:id="36" w:name="_Toc153226843"/>
      <w:r>
        <w:rPr>
          <w:lang w:val="fr-FR"/>
        </w:rPr>
        <w:lastRenderedPageBreak/>
        <w:t>Participation des prestataires de services dans le domaine du handicap aux réunions de gestion des situations d’urgence</w:t>
      </w:r>
      <w:bookmarkEnd w:id="36"/>
    </w:p>
    <w:p w14:paraId="327473B3" w14:textId="2E542C4F" w:rsidR="005C27A7" w:rsidRPr="005C27A7" w:rsidRDefault="00476629" w:rsidP="00F82F3F">
      <w:pPr>
        <w:spacing w:before="240" w:after="240" w:line="240" w:lineRule="auto"/>
        <w:rPr>
          <w:rFonts w:cs="Arial"/>
        </w:rPr>
      </w:pPr>
      <w:r>
        <w:rPr>
          <w:b/>
          <w:lang w:val="fr-FR"/>
        </w:rPr>
        <w:t xml:space="preserve">Territoire : </w:t>
      </w:r>
      <w:r>
        <w:rPr>
          <w:lang w:val="fr-FR"/>
        </w:rPr>
        <w:t>Territoire du Nord : services de police, pompiers et services d’urgence</w:t>
      </w:r>
    </w:p>
    <w:p w14:paraId="1860EF4A" w14:textId="27C65C49" w:rsidR="001F7ED0" w:rsidRPr="0038135C" w:rsidRDefault="00476629" w:rsidP="00F82F3F">
      <w:pPr>
        <w:spacing w:before="240" w:after="240" w:line="240" w:lineRule="auto"/>
        <w:rPr>
          <w:rFonts w:cs="Arial"/>
          <w:b/>
        </w:rPr>
      </w:pPr>
      <w:r>
        <w:rPr>
          <w:b/>
          <w:lang w:val="fr-FR"/>
        </w:rPr>
        <w:t xml:space="preserve">PAC : </w:t>
      </w:r>
      <w:r>
        <w:rPr>
          <w:lang w:val="fr-FR"/>
        </w:rPr>
        <w:t>Gestion des situations d’urgence</w:t>
      </w:r>
    </w:p>
    <w:p w14:paraId="59C8A3A7" w14:textId="512683E9" w:rsidR="001F7ED0" w:rsidRPr="0038135C" w:rsidRDefault="00476629" w:rsidP="00F82F3F">
      <w:pPr>
        <w:spacing w:before="240" w:after="240" w:line="240" w:lineRule="auto"/>
        <w:rPr>
          <w:rFonts w:cs="Arial"/>
        </w:rPr>
      </w:pPr>
      <w:r>
        <w:rPr>
          <w:b/>
          <w:lang w:val="fr-FR"/>
        </w:rPr>
        <w:t xml:space="preserve">Objectif du PAC : </w:t>
      </w:r>
      <w:r>
        <w:rPr>
          <w:lang w:val="fr-FR"/>
        </w:rPr>
        <w:t>1. Veiller à ce que les processus de planification des catastrophes et des situations d’urgence permettant d’évaluer les risques de catastrophe et d’élaborer et adapter les plans de gestion des catastrophes et des situations d’urgence incluent les personnes en situation de handicap.</w:t>
      </w:r>
    </w:p>
    <w:p w14:paraId="013B193C" w14:textId="6E64E1ED" w:rsidR="001F7ED0" w:rsidRPr="0038135C" w:rsidRDefault="00476629" w:rsidP="00F82F3F">
      <w:pPr>
        <w:spacing w:before="240" w:after="240" w:line="240" w:lineRule="auto"/>
        <w:rPr>
          <w:rFonts w:cs="Arial"/>
        </w:rPr>
      </w:pPr>
      <w:r>
        <w:rPr>
          <w:b/>
          <w:lang w:val="fr-FR"/>
        </w:rPr>
        <w:t>Action </w:t>
      </w:r>
      <w:proofErr w:type="gramStart"/>
      <w:r>
        <w:rPr>
          <w:b/>
          <w:lang w:val="fr-FR"/>
        </w:rPr>
        <w:t>:</w:t>
      </w:r>
      <w:r>
        <w:rPr>
          <w:lang w:val="fr-FR"/>
        </w:rPr>
        <w:t xml:space="preserve">  1.2</w:t>
      </w:r>
      <w:proofErr w:type="gramEnd"/>
      <w:r>
        <w:rPr>
          <w:lang w:val="fr-FR"/>
        </w:rPr>
        <w:tab/>
        <w:t xml:space="preserve">Participation des prestataires de services dans le domaine du handicap aux réunions de gestion des situations d’urgence </w:t>
      </w:r>
      <w:proofErr w:type="spellStart"/>
      <w:r>
        <w:rPr>
          <w:lang w:val="fr-FR"/>
        </w:rPr>
        <w:t>interagences</w:t>
      </w:r>
      <w:proofErr w:type="spellEnd"/>
      <w:r>
        <w:rPr>
          <w:lang w:val="fr-FR"/>
        </w:rPr>
        <w:t xml:space="preserve"> et intersectorielles</w:t>
      </w:r>
    </w:p>
    <w:p w14:paraId="5343C4EC" w14:textId="7C3D6EE0" w:rsidR="001F7ED0" w:rsidRPr="0038135C" w:rsidRDefault="00476629" w:rsidP="00F82F3F">
      <w:pPr>
        <w:spacing w:before="240" w:after="240" w:line="240" w:lineRule="auto"/>
        <w:rPr>
          <w:rFonts w:cs="Arial"/>
        </w:rPr>
      </w:pPr>
      <w:r>
        <w:rPr>
          <w:lang w:val="fr-FR"/>
        </w:rPr>
        <w:t>L’équipe de développement pour le handicap (</w:t>
      </w:r>
      <w:proofErr w:type="spellStart"/>
      <w:r w:rsidRPr="00A36597">
        <w:rPr>
          <w:i/>
          <w:iCs/>
          <w:lang w:val="fr-FR"/>
        </w:rPr>
        <w:t>Disability</w:t>
      </w:r>
      <w:proofErr w:type="spellEnd"/>
      <w:r w:rsidRPr="00A36597">
        <w:rPr>
          <w:i/>
          <w:iCs/>
          <w:lang w:val="fr-FR"/>
        </w:rPr>
        <w:t xml:space="preserve"> </w:t>
      </w:r>
      <w:proofErr w:type="spellStart"/>
      <w:r w:rsidRPr="00A36597">
        <w:rPr>
          <w:i/>
          <w:iCs/>
          <w:lang w:val="fr-FR"/>
        </w:rPr>
        <w:t>Development</w:t>
      </w:r>
      <w:proofErr w:type="spellEnd"/>
      <w:r w:rsidRPr="00A36597">
        <w:rPr>
          <w:i/>
          <w:iCs/>
          <w:lang w:val="fr-FR"/>
        </w:rPr>
        <w:t xml:space="preserve"> Team</w:t>
      </w:r>
      <w:r w:rsidRPr="00A36597">
        <w:rPr>
          <w:lang w:val="fr-FR"/>
        </w:rPr>
        <w:t>)</w:t>
      </w:r>
      <w:r w:rsidRPr="00A36597">
        <w:rPr>
          <w:i/>
          <w:iCs/>
          <w:lang w:val="fr-FR"/>
        </w:rPr>
        <w:t xml:space="preserve"> </w:t>
      </w:r>
      <w:r>
        <w:rPr>
          <w:lang w:val="fr-FR"/>
        </w:rPr>
        <w:t>du ministère des Familles, du Logement et des Communautés du Territoire (</w:t>
      </w:r>
      <w:proofErr w:type="spellStart"/>
      <w:r>
        <w:rPr>
          <w:lang w:val="fr-FR"/>
        </w:rPr>
        <w:t>Department</w:t>
      </w:r>
      <w:proofErr w:type="spellEnd"/>
      <w:r>
        <w:rPr>
          <w:lang w:val="fr-FR"/>
        </w:rPr>
        <w:t xml:space="preserve"> of </w:t>
      </w:r>
      <w:proofErr w:type="spellStart"/>
      <w:r>
        <w:rPr>
          <w:lang w:val="fr-FR"/>
        </w:rPr>
        <w:t>Territory</w:t>
      </w:r>
      <w:proofErr w:type="spellEnd"/>
      <w:r>
        <w:rPr>
          <w:lang w:val="fr-FR"/>
        </w:rPr>
        <w:t xml:space="preserve"> </w:t>
      </w:r>
      <w:proofErr w:type="spellStart"/>
      <w:r>
        <w:rPr>
          <w:lang w:val="fr-FR"/>
        </w:rPr>
        <w:t>Families</w:t>
      </w:r>
      <w:proofErr w:type="spellEnd"/>
      <w:r>
        <w:rPr>
          <w:lang w:val="fr-FR"/>
        </w:rPr>
        <w:t xml:space="preserve">, </w:t>
      </w:r>
      <w:proofErr w:type="spellStart"/>
      <w:r>
        <w:rPr>
          <w:lang w:val="fr-FR"/>
        </w:rPr>
        <w:t>Housing</w:t>
      </w:r>
      <w:proofErr w:type="spellEnd"/>
      <w:r>
        <w:rPr>
          <w:lang w:val="fr-FR"/>
        </w:rPr>
        <w:t xml:space="preserve"> and </w:t>
      </w:r>
      <w:proofErr w:type="spellStart"/>
      <w:r>
        <w:rPr>
          <w:lang w:val="fr-FR"/>
        </w:rPr>
        <w:t>Communities</w:t>
      </w:r>
      <w:proofErr w:type="spellEnd"/>
      <w:r>
        <w:rPr>
          <w:lang w:val="fr-FR"/>
        </w:rPr>
        <w:t>) soutient la division de la justice pour les jeunes, les aidants familiaux et d’accueil ainsi que les usagers des services du ministère des Familles faisant face à un diagnostic ou une suspicion de handicap ou de retard de développement.</w:t>
      </w:r>
    </w:p>
    <w:p w14:paraId="69E67F6E" w14:textId="05D0B141" w:rsidR="001F7ED0" w:rsidRDefault="00476629" w:rsidP="00F82F3F">
      <w:pPr>
        <w:spacing w:before="240" w:after="240" w:line="240" w:lineRule="auto"/>
        <w:rPr>
          <w:rFonts w:cs="Arial"/>
          <w:b/>
        </w:rPr>
      </w:pPr>
      <w:r>
        <w:rPr>
          <w:b/>
          <w:lang w:val="fr-FR"/>
        </w:rPr>
        <w:t>Indicateur(s) :</w:t>
      </w:r>
    </w:p>
    <w:p w14:paraId="4AB38144" w14:textId="086491C7" w:rsidR="001F7ED0" w:rsidRPr="008F4643" w:rsidRDefault="00476629" w:rsidP="00F82F3F">
      <w:pPr>
        <w:pStyle w:val="ListParagraph"/>
        <w:numPr>
          <w:ilvl w:val="0"/>
          <w:numId w:val="25"/>
        </w:numPr>
        <w:spacing w:before="120" w:after="0" w:line="240" w:lineRule="auto"/>
        <w:ind w:left="432" w:hanging="432"/>
        <w:contextualSpacing w:val="0"/>
        <w:rPr>
          <w:rFonts w:cs="Arial"/>
        </w:rPr>
      </w:pPr>
      <w:r>
        <w:rPr>
          <w:lang w:val="fr-FR"/>
        </w:rPr>
        <w:t xml:space="preserve">Les réseaux </w:t>
      </w:r>
      <w:proofErr w:type="spellStart"/>
      <w:r>
        <w:rPr>
          <w:lang w:val="fr-FR"/>
        </w:rPr>
        <w:t>interagences</w:t>
      </w:r>
      <w:proofErr w:type="spellEnd"/>
      <w:r>
        <w:rPr>
          <w:lang w:val="fr-FR"/>
        </w:rPr>
        <w:t xml:space="preserve"> ont accru la représentation du secteur du handicap et de personnes ayant une expérience vécue du handicap aux réunions de gestion des incidents, réunions des groupes de bien-être et séances d’information du secteur du bien-être.</w:t>
      </w:r>
    </w:p>
    <w:p w14:paraId="6372F387" w14:textId="523B367F" w:rsidR="001F7ED0" w:rsidRPr="008F4643" w:rsidRDefault="00476629" w:rsidP="00F82F3F">
      <w:pPr>
        <w:pStyle w:val="ListParagraph"/>
        <w:numPr>
          <w:ilvl w:val="0"/>
          <w:numId w:val="25"/>
        </w:numPr>
        <w:spacing w:before="120" w:after="0" w:line="240" w:lineRule="auto"/>
        <w:ind w:left="432" w:hanging="432"/>
        <w:contextualSpacing w:val="0"/>
        <w:rPr>
          <w:rFonts w:cs="Arial"/>
        </w:rPr>
      </w:pPr>
      <w:r>
        <w:rPr>
          <w:lang w:val="fr-FR"/>
        </w:rPr>
        <w:t xml:space="preserve">Les personnes </w:t>
      </w:r>
      <w:r w:rsidRPr="004F4709">
        <w:rPr>
          <w:lang w:val="fr-FR"/>
        </w:rPr>
        <w:t>ayant une expérience vécue du handicap</w:t>
      </w:r>
      <w:r>
        <w:rPr>
          <w:lang w:val="fr-FR"/>
        </w:rPr>
        <w:t>, les aidants et les tuteurs sont informés et ont accès en temps réel à des informations pendant la planification et la préparation à la planification de la gestion des catastrophes et situations d’urgence.</w:t>
      </w:r>
    </w:p>
    <w:p w14:paraId="4BF57C7A" w14:textId="7094D1B0" w:rsidR="001F7ED0" w:rsidRPr="0038135C" w:rsidRDefault="00A1587C" w:rsidP="00F82F3F">
      <w:pPr>
        <w:spacing w:before="240" w:after="240" w:line="240" w:lineRule="auto"/>
        <w:rPr>
          <w:rFonts w:cs="Arial"/>
          <w:b/>
        </w:rPr>
      </w:pPr>
      <w:r>
        <w:rPr>
          <w:b/>
          <w:lang w:val="fr-FR"/>
        </w:rPr>
        <w:t xml:space="preserve">État de l’action : </w:t>
      </w:r>
      <w:r>
        <w:rPr>
          <w:lang w:val="fr-FR"/>
        </w:rPr>
        <w:t>En bonne voie</w:t>
      </w:r>
    </w:p>
    <w:p w14:paraId="23B52685" w14:textId="72871830" w:rsidR="001F7ED0" w:rsidRPr="0038135C" w:rsidRDefault="00A1587C" w:rsidP="00F82F3F">
      <w:pPr>
        <w:spacing w:before="240" w:after="240" w:line="240" w:lineRule="auto"/>
        <w:rPr>
          <w:rFonts w:cs="Arial"/>
          <w:b/>
        </w:rPr>
      </w:pPr>
      <w:r>
        <w:rPr>
          <w:b/>
          <w:lang w:val="fr-FR"/>
        </w:rPr>
        <w:t>Description :</w:t>
      </w:r>
    </w:p>
    <w:p w14:paraId="726DAC92" w14:textId="6FDF4D50" w:rsidR="00D056CA" w:rsidRPr="008F4643" w:rsidRDefault="00A1587C" w:rsidP="00F82F3F">
      <w:pPr>
        <w:spacing w:before="240" w:after="240" w:line="240" w:lineRule="auto"/>
        <w:rPr>
          <w:rFonts w:cs="Arial"/>
        </w:rPr>
      </w:pPr>
      <w:r>
        <w:rPr>
          <w:lang w:val="fr-FR"/>
        </w:rPr>
        <w:t>Les coordonnées des principales agences d’intervention face aux dangers identifiés (situations d’urgence) figurent dans le Plan d’urgence du Territoire piloté par le ministère du Premier ministre et du Cabinet (</w:t>
      </w:r>
      <w:proofErr w:type="spellStart"/>
      <w:r>
        <w:rPr>
          <w:lang w:val="fr-FR"/>
        </w:rPr>
        <w:t>Department</w:t>
      </w:r>
      <w:proofErr w:type="spellEnd"/>
      <w:r>
        <w:rPr>
          <w:lang w:val="fr-FR"/>
        </w:rPr>
        <w:t xml:space="preserve"> of </w:t>
      </w:r>
      <w:proofErr w:type="spellStart"/>
      <w:r>
        <w:rPr>
          <w:lang w:val="fr-FR"/>
        </w:rPr>
        <w:t>Chief</w:t>
      </w:r>
      <w:proofErr w:type="spellEnd"/>
      <w:r>
        <w:rPr>
          <w:lang w:val="fr-FR"/>
        </w:rPr>
        <w:t xml:space="preserve"> </w:t>
      </w:r>
      <w:proofErr w:type="spellStart"/>
      <w:r>
        <w:rPr>
          <w:lang w:val="fr-FR"/>
        </w:rPr>
        <w:t>Minister</w:t>
      </w:r>
      <w:proofErr w:type="spellEnd"/>
      <w:r>
        <w:rPr>
          <w:lang w:val="fr-FR"/>
        </w:rPr>
        <w:t xml:space="preserve"> and Cabinet, DCMC). L’Autorité de gestion des dangers (</w:t>
      </w:r>
      <w:proofErr w:type="spellStart"/>
      <w:r>
        <w:rPr>
          <w:lang w:val="fr-FR"/>
        </w:rPr>
        <w:t>Hazard</w:t>
      </w:r>
      <w:proofErr w:type="spellEnd"/>
      <w:r>
        <w:rPr>
          <w:lang w:val="fr-FR"/>
        </w:rPr>
        <w:t xml:space="preserve"> Management </w:t>
      </w:r>
      <w:proofErr w:type="spellStart"/>
      <w:r>
        <w:rPr>
          <w:lang w:val="fr-FR"/>
        </w:rPr>
        <w:t>Authority</w:t>
      </w:r>
      <w:proofErr w:type="spellEnd"/>
      <w:r>
        <w:rPr>
          <w:lang w:val="fr-FR"/>
        </w:rPr>
        <w:t xml:space="preserve">, HMA) est l’agence gouvernementale du Territoire du Nord chargée de coordonner et préparer les plans et capacités de réponse à des dangers spécifiques. Répondre aux besoins des personnes à haut risque en cas d’urgence est une responsabilité partagée des communautés, prestataires de services et autorités gouvernementales. </w:t>
      </w:r>
      <w:r w:rsidR="00D056CA" w:rsidRPr="008F4643">
        <w:rPr>
          <w:rFonts w:cs="Arial"/>
        </w:rPr>
        <w:t xml:space="preserve"> </w:t>
      </w:r>
    </w:p>
    <w:p w14:paraId="74824051" w14:textId="28F70548" w:rsidR="00D056CA" w:rsidRPr="008F4643" w:rsidRDefault="00A1587C" w:rsidP="00F82F3F">
      <w:pPr>
        <w:spacing w:before="240" w:after="240" w:line="240" w:lineRule="auto"/>
        <w:rPr>
          <w:rFonts w:cs="Arial"/>
        </w:rPr>
      </w:pPr>
      <w:r>
        <w:rPr>
          <w:lang w:val="fr-FR"/>
        </w:rPr>
        <w:t xml:space="preserve">Les services d’urgence du Territoire du Nord organisent des séances d’informations publiques gratuites sur la préparation et la réponse aux dangers identifiés et la récupération après sinistre. Elles sont gérées par l’intermédiaire de l’unité chargée de la mobilisation des communautés et conseillent sur la manière de planifier et de se préparer de façon </w:t>
      </w:r>
      <w:r>
        <w:rPr>
          <w:lang w:val="fr-FR"/>
        </w:rPr>
        <w:lastRenderedPageBreak/>
        <w:t xml:space="preserve">minutieuse et réfléchie afin de réduire le risque de chacun et chacune en cas d’événement majeur. </w:t>
      </w:r>
      <w:r w:rsidR="00D056CA" w:rsidRPr="008F4643">
        <w:rPr>
          <w:rFonts w:cs="Arial"/>
        </w:rPr>
        <w:t xml:space="preserve"> </w:t>
      </w:r>
    </w:p>
    <w:p w14:paraId="43EA5731" w14:textId="1CAD50C4" w:rsidR="00D056CA" w:rsidRPr="008F4643" w:rsidRDefault="00A1587C" w:rsidP="00F82F3F">
      <w:pPr>
        <w:spacing w:before="240" w:after="240" w:line="240" w:lineRule="auto"/>
        <w:rPr>
          <w:rFonts w:cs="Arial"/>
        </w:rPr>
      </w:pPr>
      <w:r>
        <w:rPr>
          <w:lang w:val="fr-FR"/>
        </w:rPr>
        <w:t>Le groupe d’information publique (Public Information Group [PIG]), piloté par le DCMC, assure une publication en temps utile, coordonnée et précise d’informations publiques en cas de menace ou d’urgence, en collaboration avec des entreprises publiques et des organisations partenaires ou parties prenantes clés.</w:t>
      </w:r>
    </w:p>
    <w:p w14:paraId="0EC5667A" w14:textId="45F90B12" w:rsidR="00E330FC" w:rsidRDefault="00A1587C" w:rsidP="00E330FC">
      <w:pPr>
        <w:pStyle w:val="NoSpacing"/>
      </w:pPr>
      <w:r>
        <w:rPr>
          <w:lang w:val="fr-FR"/>
        </w:rPr>
        <w:t>Le PIG est avant tout responsable de piloter le développement et la publication de tous les messages publics du gouvernement du Territoire du Nord lors d’une réponse face à une situation d’urgence et d’une récupération après sinistre. Il peut s’agir de coordonner l’intervention d’interprètes en langue des signes australienne (AUSLAN) lors des retransmissions télévisées de messages ainsi que la traduction de contenus dans d'autres langues. Le PIG procède actuellement à la mise à jour du cache des messages dans plusieurs langues pour s’aligner sur le nouveau système d’alerte australien (</w:t>
      </w:r>
      <w:proofErr w:type="spellStart"/>
      <w:r>
        <w:rPr>
          <w:lang w:val="fr-FR"/>
        </w:rPr>
        <w:t>Australian</w:t>
      </w:r>
      <w:proofErr w:type="spellEnd"/>
      <w:r>
        <w:rPr>
          <w:lang w:val="fr-FR"/>
        </w:rPr>
        <w:t xml:space="preserve"> Warning System).</w:t>
      </w:r>
      <w:r w:rsidR="00E330FC" w:rsidRPr="00E330FC">
        <w:t xml:space="preserve"> </w:t>
      </w:r>
      <w:r w:rsidR="00E330FC">
        <w:br w:type="page"/>
      </w:r>
    </w:p>
    <w:p w14:paraId="101FBEB5" w14:textId="227E3303" w:rsidR="00D056CA" w:rsidRDefault="00D056CA" w:rsidP="00F82F3F">
      <w:pPr>
        <w:spacing w:before="240" w:after="240" w:line="240" w:lineRule="auto"/>
        <w:rPr>
          <w:rFonts w:cs="Arial"/>
        </w:rPr>
      </w:pPr>
    </w:p>
    <w:p w14:paraId="5BA2EE5D" w14:textId="67C09D79" w:rsidR="00D1030A" w:rsidRPr="0038135C" w:rsidRDefault="00FF5EFF" w:rsidP="00515A1C">
      <w:pPr>
        <w:pStyle w:val="Heading2"/>
      </w:pPr>
      <w:bookmarkStart w:id="37" w:name="_Toc153226844"/>
      <w:r>
        <w:rPr>
          <w:lang w:val="fr-FR"/>
        </w:rPr>
        <w:t>Initiative de réponse aux crises et aux violences domestiques sur des personnes en situation de handicap</w:t>
      </w:r>
      <w:bookmarkEnd w:id="37"/>
    </w:p>
    <w:p w14:paraId="7FEEFAC9" w14:textId="08932D1A" w:rsidR="002A08E0" w:rsidRPr="0038135C" w:rsidRDefault="0087014A" w:rsidP="00AB6088">
      <w:pPr>
        <w:spacing w:before="240" w:after="240" w:line="240" w:lineRule="auto"/>
        <w:rPr>
          <w:rFonts w:cs="Arial"/>
          <w:b/>
        </w:rPr>
      </w:pPr>
      <w:r>
        <w:rPr>
          <w:b/>
          <w:lang w:val="fr-FR"/>
        </w:rPr>
        <w:t xml:space="preserve">Territoire : </w:t>
      </w:r>
      <w:r>
        <w:rPr>
          <w:lang w:val="fr-FR"/>
        </w:rPr>
        <w:t>Victoria</w:t>
      </w:r>
    </w:p>
    <w:p w14:paraId="149F4180" w14:textId="115A1A0F" w:rsidR="00D1030A" w:rsidRPr="0038135C" w:rsidRDefault="0087014A" w:rsidP="00AB6088">
      <w:pPr>
        <w:spacing w:before="240" w:after="240" w:line="240" w:lineRule="auto"/>
        <w:rPr>
          <w:rFonts w:cs="Arial"/>
        </w:rPr>
      </w:pPr>
      <w:r>
        <w:rPr>
          <w:b/>
          <w:lang w:val="fr-FR"/>
        </w:rPr>
        <w:t>PAC :</w:t>
      </w:r>
      <w:r>
        <w:rPr>
          <w:lang w:val="fr-FR"/>
        </w:rPr>
        <w:tab/>
        <w:t>Sécurité</w:t>
      </w:r>
    </w:p>
    <w:p w14:paraId="3CA08B90" w14:textId="0AA6B300" w:rsidR="00D1030A" w:rsidRPr="0038135C" w:rsidRDefault="0087014A" w:rsidP="00AB6088">
      <w:pPr>
        <w:spacing w:before="240" w:after="240" w:line="240" w:lineRule="auto"/>
        <w:rPr>
          <w:rFonts w:cs="Arial"/>
        </w:rPr>
      </w:pPr>
      <w:r>
        <w:rPr>
          <w:b/>
          <w:lang w:val="fr-FR"/>
        </w:rPr>
        <w:t xml:space="preserve">Objectif du PAC : </w:t>
      </w:r>
      <w:r>
        <w:rPr>
          <w:lang w:val="fr-FR"/>
        </w:rPr>
        <w:t xml:space="preserve">3. </w:t>
      </w:r>
      <w:r>
        <w:rPr>
          <w:lang w:val="fr-FR"/>
        </w:rPr>
        <w:tab/>
        <w:t>Améliorer la conception de tous les systèmes de services et de soutien gouvernementaux fournis aux personnes en situation de handicap exposées à des risques de préjudice.</w:t>
      </w:r>
    </w:p>
    <w:p w14:paraId="7616F8C3" w14:textId="6BE6A636" w:rsidR="00D1030A" w:rsidRPr="0038135C" w:rsidRDefault="0087014A" w:rsidP="00AB6088">
      <w:pPr>
        <w:spacing w:before="240" w:after="240" w:line="240" w:lineRule="auto"/>
        <w:rPr>
          <w:rFonts w:cs="Arial"/>
        </w:rPr>
      </w:pPr>
      <w:r>
        <w:rPr>
          <w:b/>
          <w:lang w:val="fr-FR"/>
        </w:rPr>
        <w:t xml:space="preserve">Action : </w:t>
      </w:r>
      <w:r>
        <w:rPr>
          <w:lang w:val="fr-FR"/>
        </w:rPr>
        <w:t>3.3</w:t>
      </w:r>
      <w:r>
        <w:rPr>
          <w:lang w:val="fr-FR"/>
        </w:rPr>
        <w:tab/>
        <w:t>Initiative de réponse aux crises et aux violences domestiques sur des personnes en situation de handicap. Cette initiative fournit des fonds intermédiaires aux personnes en situation de handicap qui fuient des violences familiales et finance un poste de coordinateur des réponses aux crises et aux violences domestiques sur des personnes en situation de handicap.</w:t>
      </w:r>
    </w:p>
    <w:p w14:paraId="6A524ECB" w14:textId="7AEB3883" w:rsidR="00D1030A" w:rsidRPr="0038135C" w:rsidRDefault="0087014A" w:rsidP="00AB6088">
      <w:pPr>
        <w:spacing w:before="240" w:after="240" w:line="240" w:lineRule="auto"/>
        <w:rPr>
          <w:rFonts w:cs="Arial"/>
        </w:rPr>
      </w:pPr>
      <w:r>
        <w:rPr>
          <w:b/>
          <w:lang w:val="fr-FR"/>
        </w:rPr>
        <w:t xml:space="preserve">Indicateur(s) : </w:t>
      </w:r>
      <w:r>
        <w:rPr>
          <w:lang w:val="fr-FR"/>
        </w:rPr>
        <w:t>Nombre de personnes soutenues, et fonds intermédiaires dépensés.</w:t>
      </w:r>
    </w:p>
    <w:p w14:paraId="72A5A89F" w14:textId="36113EE6" w:rsidR="00D1030A" w:rsidRPr="0038135C" w:rsidRDefault="0087014A" w:rsidP="00AB6088">
      <w:pPr>
        <w:spacing w:before="240" w:after="240" w:line="240" w:lineRule="auto"/>
        <w:rPr>
          <w:rFonts w:cs="Arial"/>
        </w:rPr>
      </w:pPr>
      <w:r>
        <w:rPr>
          <w:b/>
          <w:lang w:val="fr-FR"/>
        </w:rPr>
        <w:t xml:space="preserve">État de l’action : </w:t>
      </w:r>
      <w:r>
        <w:rPr>
          <w:lang w:val="fr-FR"/>
        </w:rPr>
        <w:t>Terminée</w:t>
      </w:r>
    </w:p>
    <w:p w14:paraId="5842C4A9" w14:textId="301A23E9" w:rsidR="00D1030A" w:rsidRPr="0038135C" w:rsidRDefault="0087014A" w:rsidP="00AB6088">
      <w:pPr>
        <w:spacing w:before="240" w:after="240" w:line="240" w:lineRule="auto"/>
        <w:rPr>
          <w:rFonts w:cs="Arial"/>
        </w:rPr>
      </w:pPr>
      <w:r>
        <w:rPr>
          <w:b/>
          <w:lang w:val="fr-FR"/>
        </w:rPr>
        <w:t>Description :</w:t>
      </w:r>
      <w:r>
        <w:rPr>
          <w:lang w:val="fr-FR"/>
        </w:rPr>
        <w:t xml:space="preserve"> </w:t>
      </w:r>
      <w:r w:rsidR="00D1030A" w:rsidRPr="0038135C">
        <w:rPr>
          <w:rFonts w:cs="Arial"/>
        </w:rPr>
        <w:t xml:space="preserve"> </w:t>
      </w:r>
    </w:p>
    <w:p w14:paraId="6B9090F7" w14:textId="77777777" w:rsidR="0087014A" w:rsidRPr="00FF30B1" w:rsidRDefault="0087014A" w:rsidP="0087014A">
      <w:pPr>
        <w:spacing w:before="240" w:after="240" w:line="240" w:lineRule="auto"/>
        <w:rPr>
          <w:rFonts w:cs="Arial"/>
          <w:lang w:val="fr-FR"/>
        </w:rPr>
      </w:pPr>
      <w:r>
        <w:rPr>
          <w:lang w:val="fr-FR"/>
        </w:rPr>
        <w:t>L’Initiative de réponse aux crises et aux violences domestiques sur des personnes en situation de handicap a fourni une assistance concrète et immédiate à plus de 250 victimes survivantes souffrant d’un handicap en situation de crise. Ces victimes survivantes ont pu bénéficier de plus de 100 000 dollars d’aides en lien avec leur handicap pour rester en sécurité et/ou échapper à des violences familiales. Il s’est également agi de financer des travailleurs de soutien et des aidants personnels, des aides au handicap, des technologies d’assistance et des moyens de transport accessible.</w:t>
      </w:r>
    </w:p>
    <w:p w14:paraId="2416337E" w14:textId="77777777" w:rsidR="0087014A" w:rsidRPr="00FF30B1" w:rsidRDefault="0087014A" w:rsidP="0087014A">
      <w:pPr>
        <w:spacing w:before="240" w:after="240" w:line="240" w:lineRule="auto"/>
        <w:rPr>
          <w:rFonts w:cs="Arial"/>
          <w:lang w:val="fr-FR"/>
        </w:rPr>
      </w:pPr>
      <w:r>
        <w:rPr>
          <w:lang w:val="fr-FR"/>
        </w:rPr>
        <w:t>Cette initiative a également aidé les professionnels des violences familiales et ceux fournissant des services de base à proposer un soutien plus adapté et efficace aux victimes survivantes en situation de handicap grâce à un service de consultation secondaire. Ce service fournit des conseils sur la planification de la sécurité, répond aux besoins spécifiques des personnes en situation de handicap et les renvoie vers des services de soutien au handicap spécialisés.</w:t>
      </w:r>
    </w:p>
    <w:p w14:paraId="02C22180" w14:textId="77777777" w:rsidR="0087014A" w:rsidRPr="00FF30B1" w:rsidRDefault="0087014A" w:rsidP="0087014A">
      <w:pPr>
        <w:spacing w:before="240" w:after="240" w:line="240" w:lineRule="auto"/>
        <w:rPr>
          <w:rFonts w:cs="Arial"/>
          <w:lang w:val="fr-FR"/>
        </w:rPr>
      </w:pPr>
      <w:r>
        <w:rPr>
          <w:lang w:val="fr-FR"/>
        </w:rPr>
        <w:t>En outre, des fonds ont permis de financer un poste de coordinateur de réponse au handicap, pour contribuer au renforcement des capacités du secteur et à la sensibilisation par l’organisation de séances d’information et de présentations sur le handicap et les violences familiales faites aux personnes en situation de handicap à l’attention d’organisations en contact avec des victimes survivantes en situation de handicap ou leur apportant un soutien.</w:t>
      </w:r>
    </w:p>
    <w:p w14:paraId="6911D11F" w14:textId="6C8BCBDE" w:rsidR="0087014A" w:rsidRPr="0038135C" w:rsidRDefault="0087014A" w:rsidP="0087014A">
      <w:pPr>
        <w:spacing w:before="240" w:after="240" w:line="240" w:lineRule="auto"/>
        <w:rPr>
          <w:rFonts w:cs="Arial"/>
        </w:rPr>
      </w:pPr>
      <w:r>
        <w:rPr>
          <w:lang w:val="fr-FR"/>
        </w:rPr>
        <w:t>Le programme d’agent de liaison du handicap soutient également la mise en œuvre du Plan de l’autisme et du Plan décennal de santé mentale du Victoria.</w:t>
      </w:r>
    </w:p>
    <w:p w14:paraId="1182E798" w14:textId="76A2E8FD" w:rsidR="00D1030A" w:rsidRPr="0038135C" w:rsidRDefault="00206F6B" w:rsidP="00515A1C">
      <w:pPr>
        <w:pStyle w:val="Heading2"/>
      </w:pPr>
      <w:bookmarkStart w:id="38" w:name="_Toc153226845"/>
      <w:r>
        <w:rPr>
          <w:lang w:val="fr-FR"/>
        </w:rPr>
        <w:lastRenderedPageBreak/>
        <w:t>Assistance et hébergements d’urgence accessibles</w:t>
      </w:r>
      <w:bookmarkEnd w:id="38"/>
    </w:p>
    <w:p w14:paraId="2A415AAD" w14:textId="5DF580CB" w:rsidR="002A08E0" w:rsidRPr="0038135C" w:rsidRDefault="00206F6B" w:rsidP="00AB6088">
      <w:pPr>
        <w:spacing w:before="240" w:after="240" w:line="240" w:lineRule="auto"/>
        <w:rPr>
          <w:rFonts w:cs="Arial"/>
          <w:b/>
        </w:rPr>
      </w:pPr>
      <w:r>
        <w:rPr>
          <w:b/>
          <w:lang w:val="fr-FR"/>
        </w:rPr>
        <w:t xml:space="preserve">Territoire : </w:t>
      </w:r>
      <w:r>
        <w:rPr>
          <w:lang w:val="fr-FR"/>
        </w:rPr>
        <w:t>Australie-Occidentale</w:t>
      </w:r>
    </w:p>
    <w:p w14:paraId="65FB7DAB" w14:textId="779D658E" w:rsidR="00D1030A" w:rsidRPr="0038135C" w:rsidRDefault="00206F6B" w:rsidP="00AB6088">
      <w:pPr>
        <w:spacing w:before="240" w:after="240" w:line="240" w:lineRule="auto"/>
        <w:rPr>
          <w:rFonts w:cs="Arial"/>
        </w:rPr>
      </w:pPr>
      <w:r>
        <w:rPr>
          <w:b/>
          <w:lang w:val="fr-FR"/>
        </w:rPr>
        <w:t>PAC :</w:t>
      </w:r>
      <w:r>
        <w:rPr>
          <w:lang w:val="fr-FR"/>
        </w:rPr>
        <w:tab/>
        <w:t>PAC Sécurité</w:t>
      </w:r>
    </w:p>
    <w:p w14:paraId="7C1105F3" w14:textId="0A44E221" w:rsidR="00D1030A" w:rsidRPr="0038135C" w:rsidRDefault="00206F6B" w:rsidP="00AB6088">
      <w:pPr>
        <w:spacing w:before="240" w:after="240" w:line="240" w:lineRule="auto"/>
        <w:rPr>
          <w:rFonts w:cs="Arial"/>
        </w:rPr>
      </w:pPr>
      <w:r>
        <w:rPr>
          <w:b/>
          <w:lang w:val="fr-FR"/>
        </w:rPr>
        <w:t xml:space="preserve">Objectif du PAC : </w:t>
      </w:r>
      <w:r>
        <w:rPr>
          <w:lang w:val="fr-FR"/>
        </w:rPr>
        <w:t xml:space="preserve">3. </w:t>
      </w:r>
      <w:r>
        <w:rPr>
          <w:lang w:val="fr-FR"/>
        </w:rPr>
        <w:tab/>
        <w:t>Améliorer la conception de tous les systèmes de services et de soutien gouvernementaux fournis aux personnes en situation de handicap exposées à des risques de préjudice.</w:t>
      </w:r>
    </w:p>
    <w:p w14:paraId="341E2CA5" w14:textId="0A1441F6" w:rsidR="00D1030A" w:rsidRPr="0038135C" w:rsidRDefault="00206F6B" w:rsidP="00AB6088">
      <w:pPr>
        <w:spacing w:before="240" w:after="240" w:line="240" w:lineRule="auto"/>
        <w:rPr>
          <w:rFonts w:cs="Arial"/>
        </w:rPr>
      </w:pPr>
      <w:r>
        <w:rPr>
          <w:b/>
          <w:lang w:val="fr-FR"/>
        </w:rPr>
        <w:t>Action :</w:t>
      </w:r>
      <w:r>
        <w:rPr>
          <w:lang w:val="fr-FR"/>
        </w:rPr>
        <w:t xml:space="preserve"> 3.1</w:t>
      </w:r>
      <w:r>
        <w:rPr>
          <w:lang w:val="fr-FR"/>
        </w:rPr>
        <w:tab/>
        <w:t>Assistance et hébergements d’urgence accessibles</w:t>
      </w:r>
    </w:p>
    <w:p w14:paraId="04A3890A" w14:textId="161958B6" w:rsidR="00D1030A" w:rsidRPr="0038135C" w:rsidRDefault="00206F6B" w:rsidP="00AB6088">
      <w:pPr>
        <w:spacing w:before="240" w:after="240" w:line="240" w:lineRule="auto"/>
        <w:rPr>
          <w:rFonts w:cs="Arial"/>
        </w:rPr>
      </w:pPr>
      <w:r>
        <w:rPr>
          <w:b/>
          <w:lang w:val="fr-FR"/>
        </w:rPr>
        <w:t>Indicateur(s) :</w:t>
      </w:r>
      <w:r>
        <w:rPr>
          <w:lang w:val="fr-FR"/>
        </w:rPr>
        <w:t xml:space="preserve"> Mise en place du programme</w:t>
      </w:r>
    </w:p>
    <w:p w14:paraId="10CD08F8" w14:textId="30D59334" w:rsidR="00D1030A" w:rsidRPr="0038135C" w:rsidRDefault="00206F6B" w:rsidP="00AB6088">
      <w:pPr>
        <w:spacing w:before="240" w:after="240" w:line="240" w:lineRule="auto"/>
        <w:rPr>
          <w:rFonts w:cs="Arial"/>
        </w:rPr>
      </w:pPr>
      <w:r>
        <w:rPr>
          <w:b/>
          <w:lang w:val="fr-FR"/>
        </w:rPr>
        <w:t xml:space="preserve">État de l’action : </w:t>
      </w:r>
      <w:r>
        <w:rPr>
          <w:lang w:val="fr-FR"/>
        </w:rPr>
        <w:t>Terminée</w:t>
      </w:r>
      <w:r w:rsidR="00D1030A" w:rsidRPr="0038135C">
        <w:rPr>
          <w:rFonts w:cs="Arial"/>
        </w:rPr>
        <w:t xml:space="preserve"> </w:t>
      </w:r>
    </w:p>
    <w:p w14:paraId="24DDDEBF" w14:textId="2BFB46E1" w:rsidR="00D1030A" w:rsidRPr="0038135C" w:rsidRDefault="00206F6B" w:rsidP="00AB6088">
      <w:pPr>
        <w:spacing w:before="240" w:after="240" w:line="240" w:lineRule="auto"/>
        <w:rPr>
          <w:rFonts w:cs="Arial"/>
          <w:b/>
        </w:rPr>
      </w:pPr>
      <w:r>
        <w:rPr>
          <w:b/>
          <w:lang w:val="fr-FR"/>
        </w:rPr>
        <w:t>Description :</w:t>
      </w:r>
    </w:p>
    <w:p w14:paraId="38E38830" w14:textId="77777777" w:rsidR="00206F6B" w:rsidRPr="00FF30B1" w:rsidRDefault="00206F6B" w:rsidP="00206F6B">
      <w:pPr>
        <w:spacing w:before="240" w:after="240" w:line="240" w:lineRule="auto"/>
        <w:rPr>
          <w:rFonts w:cs="Arial"/>
          <w:lang w:val="fr-FR"/>
        </w:rPr>
      </w:pPr>
      <w:r>
        <w:rPr>
          <w:lang w:val="fr-FR"/>
        </w:rPr>
        <w:t xml:space="preserve">Deux nouveaux centres d’hébergements d’urgence pour les familles et les victimes de violences familiales ont ouvert leurs portes à </w:t>
      </w:r>
      <w:proofErr w:type="spellStart"/>
      <w:r>
        <w:rPr>
          <w:lang w:val="fr-FR"/>
        </w:rPr>
        <w:t>Kwinana</w:t>
      </w:r>
      <w:proofErr w:type="spellEnd"/>
      <w:r>
        <w:rPr>
          <w:lang w:val="fr-FR"/>
        </w:rPr>
        <w:t xml:space="preserve"> et dans la région de Peel en décembre 2020. L’hébergement d’urgence de la région de Peel, </w:t>
      </w:r>
      <w:proofErr w:type="spellStart"/>
      <w:r>
        <w:rPr>
          <w:lang w:val="fr-FR"/>
        </w:rPr>
        <w:t>Warlang</w:t>
      </w:r>
      <w:proofErr w:type="spellEnd"/>
      <w:r>
        <w:rPr>
          <w:lang w:val="fr-FR"/>
        </w:rPr>
        <w:t xml:space="preserve"> </w:t>
      </w:r>
      <w:proofErr w:type="spellStart"/>
      <w:r>
        <w:rPr>
          <w:lang w:val="fr-FR"/>
        </w:rPr>
        <w:t>Bidi</w:t>
      </w:r>
      <w:proofErr w:type="spellEnd"/>
      <w:r>
        <w:rPr>
          <w:lang w:val="fr-FR"/>
        </w:rPr>
        <w:t xml:space="preserve">, est le premier hébergement de ce type de l’État pour les femmes et à vocation thérapeutique. Il a été conçu avec la participation de femmes ayant vécu des situations difficiles. Il fournit des services spécialisés et centrés sur les personnes, également aux femmes qui présentent un handicap, des problèmes de santé mentale et/ou sont en prise avec l’alcool et des stupéfiants. </w:t>
      </w:r>
    </w:p>
    <w:p w14:paraId="0BEC6E56" w14:textId="77777777" w:rsidR="00206F6B" w:rsidRPr="00FF30B1" w:rsidRDefault="00206F6B" w:rsidP="00206F6B">
      <w:pPr>
        <w:spacing w:before="240" w:after="240" w:line="240" w:lineRule="auto"/>
        <w:rPr>
          <w:rFonts w:cs="Arial"/>
          <w:lang w:val="fr-FR"/>
        </w:rPr>
      </w:pPr>
      <w:r>
        <w:rPr>
          <w:lang w:val="fr-FR"/>
        </w:rPr>
        <w:t xml:space="preserve">L’hébergement d’urgence pour femmes Andrea Mia à </w:t>
      </w:r>
      <w:proofErr w:type="spellStart"/>
      <w:r>
        <w:rPr>
          <w:lang w:val="fr-FR"/>
        </w:rPr>
        <w:t>Kwinana</w:t>
      </w:r>
      <w:proofErr w:type="spellEnd"/>
      <w:r>
        <w:rPr>
          <w:lang w:val="fr-FR"/>
        </w:rPr>
        <w:t xml:space="preserve"> propose des services de soutien et d’hébergement vitaux en cas de crise. Il a été conçu pour accueillir toutes les femmes, notamment celles en situation de handicap. </w:t>
      </w:r>
    </w:p>
    <w:p w14:paraId="623C2851" w14:textId="08518501" w:rsidR="00206F6B" w:rsidRPr="0038135C" w:rsidRDefault="00206F6B" w:rsidP="00206F6B">
      <w:pPr>
        <w:spacing w:before="240" w:after="240" w:line="240" w:lineRule="auto"/>
        <w:rPr>
          <w:rFonts w:cs="Arial"/>
        </w:rPr>
      </w:pPr>
      <w:r>
        <w:rPr>
          <w:lang w:val="fr-FR"/>
        </w:rPr>
        <w:t xml:space="preserve">Depuis décembre 2021, les centres d’hébergement </w:t>
      </w:r>
      <w:proofErr w:type="spellStart"/>
      <w:r>
        <w:rPr>
          <w:lang w:val="fr-FR"/>
        </w:rPr>
        <w:t>Warlang</w:t>
      </w:r>
      <w:proofErr w:type="spellEnd"/>
      <w:r>
        <w:rPr>
          <w:lang w:val="fr-FR"/>
        </w:rPr>
        <w:t xml:space="preserve"> </w:t>
      </w:r>
      <w:proofErr w:type="spellStart"/>
      <w:r>
        <w:rPr>
          <w:lang w:val="fr-FR"/>
        </w:rPr>
        <w:t>Bidi</w:t>
      </w:r>
      <w:proofErr w:type="spellEnd"/>
      <w:r>
        <w:rPr>
          <w:lang w:val="fr-FR"/>
        </w:rPr>
        <w:t xml:space="preserve"> et Andrea Mia ont respectivement aidé 5 et 3 femmes en situation de handicap, notamment un enfant. Aucune de ces femmes n’a bénéficié du soutien d’un aidant pour accéder à l’hébergement d’urgence.</w:t>
      </w:r>
    </w:p>
    <w:p w14:paraId="523DE4BF" w14:textId="220502E8" w:rsidR="00D1030A" w:rsidRDefault="00D1030A" w:rsidP="00206F6B">
      <w:pPr>
        <w:spacing w:before="240" w:after="240" w:line="240" w:lineRule="auto"/>
      </w:pPr>
      <w:r>
        <w:br w:type="page"/>
      </w:r>
    </w:p>
    <w:p w14:paraId="0A2E6B52" w14:textId="5377C713" w:rsidR="00D1030A" w:rsidRPr="0038135C" w:rsidRDefault="00947689" w:rsidP="00515A1C">
      <w:pPr>
        <w:pStyle w:val="Heading2"/>
      </w:pPr>
      <w:bookmarkStart w:id="39" w:name="_Toc153226846"/>
      <w:r>
        <w:rPr>
          <w:lang w:val="fr-FR"/>
        </w:rPr>
        <w:lastRenderedPageBreak/>
        <w:t>Programme d’intermédiaires de l’ACT</w:t>
      </w:r>
      <w:bookmarkEnd w:id="39"/>
    </w:p>
    <w:p w14:paraId="10373019" w14:textId="0DA81834" w:rsidR="002A08E0" w:rsidRPr="0038135C" w:rsidRDefault="00947689" w:rsidP="00760AE8">
      <w:pPr>
        <w:spacing w:before="240" w:after="240" w:line="240" w:lineRule="auto"/>
        <w:rPr>
          <w:rFonts w:cs="Arial"/>
          <w:b/>
        </w:rPr>
      </w:pPr>
      <w:r>
        <w:rPr>
          <w:b/>
          <w:lang w:val="fr-FR"/>
        </w:rPr>
        <w:t xml:space="preserve">Territoire : </w:t>
      </w:r>
      <w:r>
        <w:rPr>
          <w:lang w:val="fr-FR"/>
        </w:rPr>
        <w:t>Territoire de la Capitale australienne</w:t>
      </w:r>
    </w:p>
    <w:p w14:paraId="31D7DDB1" w14:textId="3A2B9B11" w:rsidR="00D1030A" w:rsidRPr="0038135C" w:rsidRDefault="00947689" w:rsidP="00760AE8">
      <w:pPr>
        <w:spacing w:before="240" w:after="240" w:line="240" w:lineRule="auto"/>
        <w:rPr>
          <w:rFonts w:cs="Arial"/>
        </w:rPr>
      </w:pPr>
      <w:r>
        <w:rPr>
          <w:b/>
          <w:lang w:val="fr-FR"/>
        </w:rPr>
        <w:t>PAC :</w:t>
      </w:r>
      <w:r>
        <w:rPr>
          <w:lang w:val="fr-FR"/>
        </w:rPr>
        <w:tab/>
        <w:t>Sécurité</w:t>
      </w:r>
    </w:p>
    <w:p w14:paraId="41608BEB" w14:textId="2322051F" w:rsidR="00D1030A" w:rsidRPr="0038135C" w:rsidRDefault="00947689" w:rsidP="00760AE8">
      <w:pPr>
        <w:spacing w:before="240" w:after="240" w:line="240" w:lineRule="auto"/>
        <w:rPr>
          <w:rFonts w:cs="Arial"/>
        </w:rPr>
      </w:pPr>
      <w:r>
        <w:rPr>
          <w:b/>
          <w:lang w:val="fr-FR"/>
        </w:rPr>
        <w:t>Objectif du PAC</w:t>
      </w:r>
      <w:r>
        <w:rPr>
          <w:lang w:val="fr-FR"/>
        </w:rPr>
        <w:t xml:space="preserve"> : 3. </w:t>
      </w:r>
      <w:r>
        <w:rPr>
          <w:lang w:val="fr-FR"/>
        </w:rPr>
        <w:tab/>
        <w:t>Renforcer la conception de tous les systèmes de services gouvernementaux et des mesures de soutien qu’ils fournissent aux personnes en situation de handicap exposées à des risques de préjudice.</w:t>
      </w:r>
    </w:p>
    <w:p w14:paraId="2FE48E30" w14:textId="25AF5682" w:rsidR="00D1030A" w:rsidRPr="0038135C" w:rsidRDefault="00947689" w:rsidP="00760AE8">
      <w:pPr>
        <w:spacing w:before="240" w:after="240" w:line="240" w:lineRule="auto"/>
        <w:rPr>
          <w:rFonts w:cs="Arial"/>
        </w:rPr>
      </w:pPr>
      <w:r>
        <w:rPr>
          <w:b/>
          <w:lang w:val="fr-FR"/>
        </w:rPr>
        <w:t xml:space="preserve">Action : </w:t>
      </w:r>
      <w:r>
        <w:rPr>
          <w:lang w:val="fr-FR"/>
        </w:rPr>
        <w:t>3.6</w:t>
      </w:r>
      <w:r>
        <w:rPr>
          <w:lang w:val="fr-FR"/>
        </w:rPr>
        <w:tab/>
        <w:t>Programme d’intermédiaires</w:t>
      </w:r>
    </w:p>
    <w:p w14:paraId="6E2F9CC7" w14:textId="0A1FB310" w:rsidR="00D1030A" w:rsidRPr="0038135C" w:rsidRDefault="00947689" w:rsidP="00760AE8">
      <w:pPr>
        <w:spacing w:before="240" w:after="240" w:line="240" w:lineRule="auto"/>
        <w:rPr>
          <w:rFonts w:cs="Arial"/>
        </w:rPr>
      </w:pPr>
      <w:r>
        <w:rPr>
          <w:b/>
          <w:lang w:val="fr-FR"/>
        </w:rPr>
        <w:t>Indicateur(s)</w:t>
      </w:r>
      <w:r>
        <w:rPr>
          <w:lang w:val="fr-FR"/>
        </w:rPr>
        <w:t> : Le Programme d’intermédiaires fonctionne toujours actuellement.</w:t>
      </w:r>
    </w:p>
    <w:p w14:paraId="339E7A3A" w14:textId="7CE595E4" w:rsidR="00D1030A" w:rsidRPr="0038135C" w:rsidRDefault="00947689" w:rsidP="00760AE8">
      <w:pPr>
        <w:spacing w:before="240" w:after="240" w:line="240" w:lineRule="auto"/>
        <w:rPr>
          <w:rFonts w:cs="Arial"/>
        </w:rPr>
      </w:pPr>
      <w:r>
        <w:rPr>
          <w:b/>
          <w:lang w:val="fr-FR"/>
        </w:rPr>
        <w:t>État de l’action :</w:t>
      </w:r>
      <w:r>
        <w:rPr>
          <w:lang w:val="fr-FR"/>
        </w:rPr>
        <w:t xml:space="preserve"> Terminée</w:t>
      </w:r>
    </w:p>
    <w:p w14:paraId="61C3C754" w14:textId="2CD425AB" w:rsidR="00D1030A" w:rsidRPr="0038135C" w:rsidRDefault="00947689" w:rsidP="00760AE8">
      <w:pPr>
        <w:spacing w:before="240" w:after="240" w:line="240" w:lineRule="auto"/>
        <w:rPr>
          <w:rFonts w:cs="Arial"/>
        </w:rPr>
      </w:pPr>
      <w:r>
        <w:rPr>
          <w:b/>
          <w:lang w:val="fr-FR"/>
        </w:rPr>
        <w:t>Description</w:t>
      </w:r>
      <w:r>
        <w:rPr>
          <w:lang w:val="fr-FR"/>
        </w:rPr>
        <w:t> :</w:t>
      </w:r>
    </w:p>
    <w:p w14:paraId="2E5D3C94" w14:textId="77777777" w:rsidR="00947689" w:rsidRPr="00FF30B1" w:rsidRDefault="00947689" w:rsidP="00947689">
      <w:pPr>
        <w:spacing w:before="240" w:after="240" w:line="240" w:lineRule="auto"/>
        <w:rPr>
          <w:rFonts w:cs="Arial"/>
          <w:lang w:val="fr-FR"/>
        </w:rPr>
      </w:pPr>
      <w:r>
        <w:rPr>
          <w:lang w:val="fr-FR"/>
        </w:rPr>
        <w:t xml:space="preserve">Le Programme d’intermédiaires de l’ACT met à disposition des intermédiaires lors d’entretiens avec la police, au tribunal et lors d’échanges avec des professionnels de la justice dans tout le Territoire de la Capitale australienne. Au 14 juin 2023, le Programme d’intermédiaires de l’ACT avait reçu 787 demandes des services de police du Territoire, 129 de tribunaux du Territoire (Cour suprême et tribunaux de première instance) et 14 de professionnels de la justice, essentiellement de </w:t>
      </w:r>
      <w:proofErr w:type="spellStart"/>
      <w:r>
        <w:rPr>
          <w:lang w:val="fr-FR"/>
        </w:rPr>
        <w:t>Legal</w:t>
      </w:r>
      <w:proofErr w:type="spellEnd"/>
      <w:r>
        <w:rPr>
          <w:lang w:val="fr-FR"/>
        </w:rPr>
        <w:t xml:space="preserve"> </w:t>
      </w:r>
      <w:proofErr w:type="spellStart"/>
      <w:r>
        <w:rPr>
          <w:lang w:val="fr-FR"/>
        </w:rPr>
        <w:t>Aid</w:t>
      </w:r>
      <w:proofErr w:type="spellEnd"/>
      <w:r>
        <w:rPr>
          <w:lang w:val="fr-FR"/>
        </w:rPr>
        <w:t xml:space="preserve">. </w:t>
      </w:r>
    </w:p>
    <w:p w14:paraId="49E9CE82" w14:textId="77777777" w:rsidR="00947689" w:rsidRPr="00FF30B1" w:rsidRDefault="00947689" w:rsidP="00947689">
      <w:pPr>
        <w:spacing w:before="240" w:after="240" w:line="240" w:lineRule="auto"/>
        <w:rPr>
          <w:rFonts w:cs="Arial"/>
          <w:lang w:val="fr-FR"/>
        </w:rPr>
      </w:pPr>
      <w:r>
        <w:rPr>
          <w:lang w:val="fr-FR"/>
        </w:rPr>
        <w:t xml:space="preserve">Environ 57 % des demandes concernaient un témoin ayant des difficultés de communication non liées à l’âge. Il s’agissait entre autres de personnes présentant des troubles de l’apprentissage, du spectre autistique et cognitifs, des retards du langage, des handicaps physiques, des problèmes de santé mentale et des traumatismes. </w:t>
      </w:r>
    </w:p>
    <w:p w14:paraId="29A43BC7" w14:textId="77777777" w:rsidR="00947689" w:rsidRPr="00FF30B1" w:rsidRDefault="00947689" w:rsidP="00947689">
      <w:pPr>
        <w:spacing w:before="240" w:after="240" w:line="240" w:lineRule="auto"/>
        <w:rPr>
          <w:rFonts w:cs="Arial"/>
          <w:lang w:val="fr-FR"/>
        </w:rPr>
      </w:pPr>
      <w:r>
        <w:rPr>
          <w:lang w:val="fr-FR"/>
        </w:rPr>
        <w:t xml:space="preserve">Des intermédiaires dotés de l’expertise nécessaire évaluent la situation de communication et fournissent des recommandations adaptées aux services de police, aux tribunaux et aux professionnels de la justice sur les meilleures stratégies de dialogue et de présentation des éléments de preuve. </w:t>
      </w:r>
    </w:p>
    <w:p w14:paraId="12003E28" w14:textId="1C960003" w:rsidR="00947689" w:rsidRPr="0038135C" w:rsidRDefault="00947689" w:rsidP="00947689">
      <w:pPr>
        <w:spacing w:before="240" w:after="240" w:line="240" w:lineRule="auto"/>
        <w:rPr>
          <w:rFonts w:cs="Arial"/>
        </w:rPr>
      </w:pPr>
      <w:r>
        <w:rPr>
          <w:lang w:val="fr-FR"/>
        </w:rPr>
        <w:t>Le programme a su répondre à toutes les demandes (100 %) en fournissant les services d’intermédiaires compétents et adaptés et continue de le faire actuellement.</w:t>
      </w:r>
    </w:p>
    <w:p w14:paraId="0DC759C2" w14:textId="6E6386AC" w:rsidR="00D1030A" w:rsidRDefault="00D1030A">
      <w:pPr>
        <w:rPr>
          <w:rFonts w:asciiTheme="minorHAnsi" w:hAnsiTheme="minorHAnsi" w:cstheme="minorHAnsi"/>
        </w:rPr>
      </w:pPr>
      <w:r>
        <w:rPr>
          <w:rFonts w:asciiTheme="minorHAnsi" w:hAnsiTheme="minorHAnsi" w:cstheme="minorHAnsi"/>
        </w:rPr>
        <w:br w:type="page"/>
      </w:r>
    </w:p>
    <w:p w14:paraId="5F4AC7CF" w14:textId="668B09D1" w:rsidR="00D1030A" w:rsidRPr="0038135C" w:rsidRDefault="00BB2C17" w:rsidP="00515A1C">
      <w:pPr>
        <w:pStyle w:val="Heading2"/>
      </w:pPr>
      <w:bookmarkStart w:id="40" w:name="_Toc153226847"/>
      <w:r>
        <w:rPr>
          <w:lang w:val="fr-FR"/>
        </w:rPr>
        <w:lastRenderedPageBreak/>
        <w:t>Programme d’atténuation des risques face aux catastrophes inclusive du handicap</w:t>
      </w:r>
      <w:bookmarkEnd w:id="40"/>
    </w:p>
    <w:p w14:paraId="3BE9A772" w14:textId="4E269C0A" w:rsidR="002A08E0" w:rsidRPr="0038135C" w:rsidRDefault="00BB2C17" w:rsidP="00760AE8">
      <w:pPr>
        <w:spacing w:before="240" w:after="240" w:line="240" w:lineRule="auto"/>
        <w:rPr>
          <w:rFonts w:cs="Arial"/>
          <w:b/>
        </w:rPr>
      </w:pPr>
      <w:r>
        <w:rPr>
          <w:b/>
          <w:lang w:val="fr-FR"/>
        </w:rPr>
        <w:t xml:space="preserve">Territoire : </w:t>
      </w:r>
      <w:r>
        <w:rPr>
          <w:lang w:val="fr-FR"/>
        </w:rPr>
        <w:t>Agence nationale de gestion des situations d’urgence du gouvernement australien</w:t>
      </w:r>
    </w:p>
    <w:p w14:paraId="52E02BE9" w14:textId="381CB59E" w:rsidR="00D1030A" w:rsidRPr="0038135C" w:rsidRDefault="00BB2C17" w:rsidP="00760AE8">
      <w:pPr>
        <w:spacing w:before="240" w:after="240" w:line="240" w:lineRule="auto"/>
        <w:rPr>
          <w:rFonts w:cs="Arial"/>
        </w:rPr>
      </w:pPr>
      <w:r>
        <w:rPr>
          <w:b/>
          <w:lang w:val="fr-FR"/>
        </w:rPr>
        <w:t>PAC :</w:t>
      </w:r>
      <w:r>
        <w:rPr>
          <w:lang w:val="fr-FR"/>
        </w:rPr>
        <w:t xml:space="preserve"> Gestion des situations d’urgence</w:t>
      </w:r>
    </w:p>
    <w:p w14:paraId="7D017011" w14:textId="6C7A87F1" w:rsidR="00D1030A" w:rsidRPr="0038135C" w:rsidRDefault="00BB2C17" w:rsidP="00760AE8">
      <w:pPr>
        <w:spacing w:before="240" w:after="240" w:line="240" w:lineRule="auto"/>
        <w:rPr>
          <w:rFonts w:cs="Arial"/>
          <w:b/>
        </w:rPr>
      </w:pPr>
      <w:r>
        <w:rPr>
          <w:b/>
          <w:lang w:val="fr-FR"/>
        </w:rPr>
        <w:t xml:space="preserve">Objectif du PAC : </w:t>
      </w:r>
      <w:r>
        <w:rPr>
          <w:lang w:val="fr-FR"/>
        </w:rPr>
        <w:t xml:space="preserve">2. </w:t>
      </w:r>
      <w:r>
        <w:rPr>
          <w:lang w:val="fr-FR"/>
        </w:rPr>
        <w:tab/>
        <w:t>Veiller à ce que les processus inclusifs de gestion des catastrophes et des situations d’urgence, de préparation et de planification de reprise après sinistre soutiennent la santé et le bien-être des personnes en situation de handicap avant, pendant et après les situations d’urgence.</w:t>
      </w:r>
    </w:p>
    <w:p w14:paraId="3B3547FE" w14:textId="4D4F142E" w:rsidR="00D1030A" w:rsidRPr="0038135C" w:rsidRDefault="00BB2C17" w:rsidP="00760AE8">
      <w:pPr>
        <w:spacing w:before="240" w:after="240" w:line="240" w:lineRule="auto"/>
        <w:rPr>
          <w:rFonts w:cs="Arial"/>
        </w:rPr>
      </w:pPr>
      <w:r>
        <w:rPr>
          <w:b/>
          <w:lang w:val="fr-FR"/>
        </w:rPr>
        <w:t xml:space="preserve">Action : </w:t>
      </w:r>
      <w:r>
        <w:rPr>
          <w:lang w:val="fr-FR"/>
        </w:rPr>
        <w:t>2.5</w:t>
      </w:r>
      <w:r>
        <w:rPr>
          <w:lang w:val="fr-FR"/>
        </w:rPr>
        <w:tab/>
        <w:t>L’Agence nationale de gestion des situations d’urgence, intégrant l’ancienne Agence nationale de résilience et de reprise après sinistre, fournira des rapports sur les manques de ressources et les besoins insatisfaits des personnes en situation de handicap dans le cadre d’initiatives d’atténuation des risques et de reprise après sinistre par le biais de processus déjà en place avec d’autres agences.</w:t>
      </w:r>
    </w:p>
    <w:p w14:paraId="0617B305" w14:textId="1C95137D" w:rsidR="00D1030A" w:rsidRPr="0038135C" w:rsidRDefault="00BB2C17" w:rsidP="00760AE8">
      <w:pPr>
        <w:spacing w:before="240" w:after="240" w:line="240" w:lineRule="auto"/>
        <w:rPr>
          <w:rFonts w:cs="Arial"/>
        </w:rPr>
      </w:pPr>
      <w:r>
        <w:rPr>
          <w:b/>
          <w:lang w:val="fr-FR"/>
        </w:rPr>
        <w:t>Indicateur(s) :</w:t>
      </w:r>
      <w:r>
        <w:rPr>
          <w:lang w:val="fr-FR"/>
        </w:rPr>
        <w:t xml:space="preserve"> Les manques de ressources et les besoins insatisfaits des personnes en situation de handicap dans le cadre des initiatives de reprise après sinistre ou d’atténuation des risques sont signalés aux branches d’activité concernées de l’Agence nationale de gestion des situations d’urgence (qui intègre l’ancienne Agence nationale de résilience et de reprise après sinistre).</w:t>
      </w:r>
    </w:p>
    <w:p w14:paraId="563B6ED4" w14:textId="74AF5492" w:rsidR="00D1030A" w:rsidRPr="0038135C" w:rsidRDefault="00BB2C17" w:rsidP="00760AE8">
      <w:pPr>
        <w:spacing w:before="240" w:after="240" w:line="240" w:lineRule="auto"/>
        <w:rPr>
          <w:rFonts w:cs="Arial"/>
        </w:rPr>
      </w:pPr>
      <w:r>
        <w:rPr>
          <w:b/>
          <w:lang w:val="fr-FR"/>
        </w:rPr>
        <w:t xml:space="preserve">État de l’action : </w:t>
      </w:r>
      <w:r>
        <w:rPr>
          <w:lang w:val="fr-FR"/>
        </w:rPr>
        <w:t>En bonne voie</w:t>
      </w:r>
    </w:p>
    <w:p w14:paraId="411794B4" w14:textId="2B85FC3D" w:rsidR="00D1030A" w:rsidRPr="0038135C" w:rsidRDefault="00BB2C17" w:rsidP="00760AE8">
      <w:pPr>
        <w:spacing w:before="240" w:after="240" w:line="240" w:lineRule="auto"/>
        <w:rPr>
          <w:rFonts w:cs="Arial"/>
        </w:rPr>
      </w:pPr>
      <w:r>
        <w:rPr>
          <w:b/>
          <w:lang w:val="fr-FR"/>
        </w:rPr>
        <w:t>Description</w:t>
      </w:r>
      <w:r>
        <w:rPr>
          <w:lang w:val="fr-FR"/>
        </w:rPr>
        <w:t> :</w:t>
      </w:r>
    </w:p>
    <w:p w14:paraId="61314280" w14:textId="77777777" w:rsidR="00BB2C17" w:rsidRPr="00FF30B1" w:rsidRDefault="00BB2C17" w:rsidP="00BB2C17">
      <w:pPr>
        <w:spacing w:before="240" w:after="240" w:line="240" w:lineRule="auto"/>
        <w:rPr>
          <w:rFonts w:cs="Arial"/>
          <w:lang w:val="fr-FR"/>
        </w:rPr>
      </w:pPr>
      <w:r>
        <w:rPr>
          <w:lang w:val="fr-FR"/>
        </w:rPr>
        <w:t>Le 1</w:t>
      </w:r>
      <w:r>
        <w:rPr>
          <w:vertAlign w:val="superscript"/>
          <w:lang w:val="fr-FR"/>
        </w:rPr>
        <w:t>er</w:t>
      </w:r>
      <w:r>
        <w:rPr>
          <w:lang w:val="fr-FR"/>
        </w:rPr>
        <w:t xml:space="preserve"> volet du Programme d’atténuation des risques face aux catastrophes inclusive du handicap est maintenant terminé. Il consistait en une étude de délimitation de l’étendue menée à l’échelle nationale par le Centre de recherche sur le handicap de l’université de Sydney. </w:t>
      </w:r>
    </w:p>
    <w:p w14:paraId="39D101AA" w14:textId="77777777" w:rsidR="00BB2C17" w:rsidRPr="00FF30B1" w:rsidRDefault="00BB2C17" w:rsidP="00BB2C17">
      <w:pPr>
        <w:spacing w:before="240" w:after="240" w:line="240" w:lineRule="auto"/>
        <w:rPr>
          <w:rFonts w:cs="Arial"/>
          <w:lang w:val="fr-FR"/>
        </w:rPr>
      </w:pPr>
      <w:r>
        <w:rPr>
          <w:lang w:val="fr-FR"/>
        </w:rPr>
        <w:t>Cette étude est une analyse globale et nationale de l’</w:t>
      </w:r>
      <w:proofErr w:type="spellStart"/>
      <w:r>
        <w:rPr>
          <w:lang w:val="fr-FR"/>
        </w:rPr>
        <w:t>inclusivité</w:t>
      </w:r>
      <w:proofErr w:type="spellEnd"/>
      <w:r>
        <w:rPr>
          <w:lang w:val="fr-FR"/>
        </w:rPr>
        <w:t xml:space="preserve"> actuelle des plans de gestion des situations d’urgence. Elle sert de référence à une évaluation de l’homogénéité, au niveau national, des moyens d’atténuation des risques face aux catastrophes inclusive du handicap. </w:t>
      </w:r>
    </w:p>
    <w:p w14:paraId="2239B672" w14:textId="77777777" w:rsidR="00BB2C17" w:rsidRPr="00FF30B1" w:rsidRDefault="00BB2C17" w:rsidP="00BB2C17">
      <w:pPr>
        <w:spacing w:before="240" w:after="240" w:line="240" w:lineRule="auto"/>
        <w:rPr>
          <w:rFonts w:cs="Arial"/>
          <w:lang w:val="fr-FR"/>
        </w:rPr>
      </w:pPr>
      <w:r>
        <w:rPr>
          <w:lang w:val="fr-FR"/>
        </w:rPr>
        <w:t xml:space="preserve">Cette étude comprend l’analyse d’une recherche revue par les pairs de l’atténuation des risques face aux catastrophes inclusive du handicap ayant permis de générer des « cartes des lacunes » des faits probants et ressources, d’explorer la représentation du handicap dans les dispositifs de gestion des situations d’urgence et d’identifier les « bonnes pratiques » actuellement en vigueur dans le domaine de l’atténuation des risques face aux catastrophes inclusive du handicap. </w:t>
      </w:r>
    </w:p>
    <w:p w14:paraId="356238ED" w14:textId="1B18E52B" w:rsidR="00BB2C17" w:rsidRPr="0038135C" w:rsidRDefault="00BB2C17" w:rsidP="00BB2C17">
      <w:pPr>
        <w:spacing w:before="240" w:after="240" w:line="240" w:lineRule="auto"/>
        <w:rPr>
          <w:rFonts w:cs="Arial"/>
        </w:rPr>
      </w:pPr>
      <w:r>
        <w:rPr>
          <w:lang w:val="fr-FR"/>
        </w:rPr>
        <w:t>L’étude a permis d’identifier trois domaines d’action prioritaires :</w:t>
      </w:r>
    </w:p>
    <w:p w14:paraId="288F1204" w14:textId="3300AAF4" w:rsidR="00D1030A" w:rsidRPr="0038135C" w:rsidRDefault="00D12C6F" w:rsidP="00760AE8">
      <w:pPr>
        <w:pStyle w:val="ListParagraph"/>
        <w:numPr>
          <w:ilvl w:val="0"/>
          <w:numId w:val="12"/>
        </w:numPr>
        <w:spacing w:after="120" w:line="240" w:lineRule="auto"/>
        <w:ind w:left="360"/>
        <w:contextualSpacing w:val="0"/>
        <w:rPr>
          <w:rFonts w:cs="Arial"/>
        </w:rPr>
      </w:pPr>
      <w:r>
        <w:rPr>
          <w:lang w:val="fr-FR"/>
        </w:rPr>
        <w:t>plans inclusifs qui identifient les services et les ressources pouvant être mobilisés pour les personnes en situation de handicap en cas d’urgence ;</w:t>
      </w:r>
    </w:p>
    <w:p w14:paraId="13B2E132" w14:textId="3C9B4BE2" w:rsidR="00D1030A" w:rsidRPr="0038135C" w:rsidRDefault="00D12C6F" w:rsidP="00760AE8">
      <w:pPr>
        <w:pStyle w:val="ListParagraph"/>
        <w:numPr>
          <w:ilvl w:val="0"/>
          <w:numId w:val="12"/>
        </w:numPr>
        <w:spacing w:after="120" w:line="240" w:lineRule="auto"/>
        <w:ind w:left="360"/>
        <w:contextualSpacing w:val="0"/>
        <w:rPr>
          <w:rFonts w:cs="Arial"/>
        </w:rPr>
      </w:pPr>
      <w:r>
        <w:rPr>
          <w:lang w:val="fr-FR"/>
        </w:rPr>
        <w:lastRenderedPageBreak/>
        <w:t>informations inclusives accessibles à tous et à toutes, processus et outils de communication devant être revus en partenariat avec des personnes en situation de handicap ;</w:t>
      </w:r>
    </w:p>
    <w:p w14:paraId="5076086A" w14:textId="62B1CAF3" w:rsidR="00D1030A" w:rsidRPr="0038135C" w:rsidRDefault="00D12C6F" w:rsidP="00760AE8">
      <w:pPr>
        <w:pStyle w:val="ListParagraph"/>
        <w:numPr>
          <w:ilvl w:val="0"/>
          <w:numId w:val="12"/>
        </w:numPr>
        <w:spacing w:after="120" w:line="240" w:lineRule="auto"/>
        <w:ind w:left="360"/>
        <w:contextualSpacing w:val="0"/>
        <w:rPr>
          <w:rFonts w:cs="Arial"/>
        </w:rPr>
      </w:pPr>
      <w:r>
        <w:rPr>
          <w:lang w:val="fr-FR"/>
        </w:rPr>
        <w:t xml:space="preserve">pratiques inclusives levant les obstacles et permettant d’adapter les moyens de collaboration et de soutien entre secteurs au bénéfice des personnes en situation de handicap. </w:t>
      </w:r>
      <w:r w:rsidR="00D1030A" w:rsidRPr="0038135C">
        <w:rPr>
          <w:rFonts w:cs="Arial"/>
        </w:rPr>
        <w:t xml:space="preserve"> </w:t>
      </w:r>
    </w:p>
    <w:p w14:paraId="5B2DAEC3" w14:textId="5D8CFA7B" w:rsidR="00D1030A" w:rsidRPr="0038135C" w:rsidRDefault="00D12C6F" w:rsidP="00760AE8">
      <w:pPr>
        <w:spacing w:before="240" w:after="240" w:line="240" w:lineRule="auto"/>
        <w:rPr>
          <w:rFonts w:cs="Arial"/>
          <w:b/>
        </w:rPr>
      </w:pPr>
      <w:r>
        <w:rPr>
          <w:lang w:val="fr-FR"/>
        </w:rPr>
        <w:t xml:space="preserve">Cette étude va guider le prochain volet du programme d’atténuation des risques face aux catastrophes inclusive du handicap, que la NEMA (Agence nationale de gestion des situations d’urgence) entend faire progresser dans un avenir proche. </w:t>
      </w:r>
      <w:r w:rsidR="00D1030A" w:rsidRPr="0038135C">
        <w:rPr>
          <w:rFonts w:cs="Arial"/>
        </w:rPr>
        <w:t xml:space="preserve"> </w:t>
      </w:r>
    </w:p>
    <w:p w14:paraId="50B2BAE9" w14:textId="77777777" w:rsidR="001F7ED0" w:rsidRDefault="001F7ED0" w:rsidP="00760AE8">
      <w:pPr>
        <w:spacing w:before="240" w:after="240"/>
      </w:pPr>
      <w:r>
        <w:br w:type="page"/>
      </w:r>
    </w:p>
    <w:p w14:paraId="3C55E03B" w14:textId="42277E35" w:rsidR="00B875C3" w:rsidRDefault="00877E84" w:rsidP="00515A1C">
      <w:pPr>
        <w:pStyle w:val="Heading2"/>
      </w:pPr>
      <w:bookmarkStart w:id="41" w:name="_Toc153226848"/>
      <w:r>
        <w:rPr>
          <w:lang w:val="fr-FR"/>
        </w:rPr>
        <w:lastRenderedPageBreak/>
        <w:t>Présentation des avancées réalisées depuis le 3 décembre 2021</w:t>
      </w:r>
      <w:bookmarkEnd w:id="41"/>
    </w:p>
    <w:p w14:paraId="6A45EB60" w14:textId="69FEE1DE" w:rsidR="00B875C3" w:rsidRDefault="00877E84" w:rsidP="00760AE8">
      <w:pPr>
        <w:spacing w:before="240" w:after="240" w:line="240" w:lineRule="auto"/>
      </w:pPr>
      <w:r>
        <w:rPr>
          <w:lang w:val="fr-FR"/>
        </w:rPr>
        <w:t>Depuis le lancement de la Stratégie, la mise en œuvre des actions a progressé, et ce de manière globalement positive. Dans la plupart des territoires, le nombre d’actions terminées en 2022-2023 a augmenté comparé à 2021-2022.</w:t>
      </w:r>
    </w:p>
    <w:p w14:paraId="1763A682" w14:textId="7001A13E" w:rsidR="00B875C3" w:rsidRPr="00B875C3" w:rsidRDefault="00877E84" w:rsidP="00760AE8">
      <w:pPr>
        <w:spacing w:before="240" w:after="240" w:line="240" w:lineRule="auto"/>
      </w:pPr>
      <w:r>
        <w:rPr>
          <w:lang w:val="fr-FR"/>
        </w:rPr>
        <w:t>Les avancées globales des 417 PAC indiquent que :</w:t>
      </w:r>
    </w:p>
    <w:p w14:paraId="64F77A87" w14:textId="0A14118C" w:rsidR="00B875C3" w:rsidRPr="00B875C3" w:rsidRDefault="00877E84" w:rsidP="00EF7D0A">
      <w:pPr>
        <w:pStyle w:val="ListParagraph"/>
        <w:numPr>
          <w:ilvl w:val="0"/>
          <w:numId w:val="47"/>
        </w:numPr>
        <w:spacing w:before="120" w:after="0" w:line="240" w:lineRule="auto"/>
        <w:contextualSpacing w:val="0"/>
      </w:pPr>
      <w:r>
        <w:rPr>
          <w:b/>
          <w:lang w:val="fr-FR"/>
        </w:rPr>
        <w:t>354 (85 %)</w:t>
      </w:r>
      <w:r>
        <w:rPr>
          <w:lang w:val="fr-FR"/>
        </w:rPr>
        <w:t xml:space="preserve"> actions sont signalées comme terminées ou en bonne voie avec :</w:t>
      </w:r>
    </w:p>
    <w:p w14:paraId="05247AD1" w14:textId="416F0A37" w:rsidR="00B875C3" w:rsidRPr="00B875C3" w:rsidRDefault="00877E84" w:rsidP="00EF7D0A">
      <w:pPr>
        <w:pStyle w:val="ListParagraph"/>
        <w:numPr>
          <w:ilvl w:val="1"/>
          <w:numId w:val="48"/>
        </w:numPr>
        <w:spacing w:before="120" w:after="0" w:line="240" w:lineRule="auto"/>
        <w:ind w:left="720"/>
        <w:contextualSpacing w:val="0"/>
      </w:pPr>
      <w:r>
        <w:rPr>
          <w:b/>
          <w:lang w:val="fr-FR"/>
        </w:rPr>
        <w:t>144</w:t>
      </w:r>
      <w:r>
        <w:rPr>
          <w:lang w:val="fr-FR"/>
        </w:rPr>
        <w:t> </w:t>
      </w:r>
      <w:r>
        <w:rPr>
          <w:b/>
          <w:lang w:val="fr-FR"/>
        </w:rPr>
        <w:t>(35 %)</w:t>
      </w:r>
      <w:r>
        <w:rPr>
          <w:lang w:val="fr-FR"/>
        </w:rPr>
        <w:t xml:space="preserve"> actions terminées et</w:t>
      </w:r>
    </w:p>
    <w:p w14:paraId="63885B5F" w14:textId="15C06302" w:rsidR="00B875C3" w:rsidRPr="00B875C3" w:rsidRDefault="00877E84" w:rsidP="00EF7D0A">
      <w:pPr>
        <w:pStyle w:val="ListParagraph"/>
        <w:numPr>
          <w:ilvl w:val="1"/>
          <w:numId w:val="48"/>
        </w:numPr>
        <w:spacing w:before="120" w:after="0" w:line="240" w:lineRule="auto"/>
        <w:ind w:left="720"/>
        <w:contextualSpacing w:val="0"/>
      </w:pPr>
      <w:r>
        <w:rPr>
          <w:b/>
          <w:lang w:val="fr-FR"/>
        </w:rPr>
        <w:t>209</w:t>
      </w:r>
      <w:r>
        <w:rPr>
          <w:lang w:val="fr-FR"/>
        </w:rPr>
        <w:t> </w:t>
      </w:r>
      <w:r>
        <w:rPr>
          <w:b/>
          <w:lang w:val="fr-FR"/>
        </w:rPr>
        <w:t>(50 %)</w:t>
      </w:r>
      <w:r>
        <w:rPr>
          <w:lang w:val="fr-FR"/>
        </w:rPr>
        <w:t xml:space="preserve"> actions en bonne voie.</w:t>
      </w:r>
      <w:r w:rsidR="00B875C3" w:rsidRPr="00B875C3">
        <w:t xml:space="preserve">  </w:t>
      </w:r>
    </w:p>
    <w:p w14:paraId="0126353D" w14:textId="3206872D" w:rsidR="00B875C3" w:rsidRPr="00B875C3" w:rsidRDefault="00877E84" w:rsidP="00EF7D0A">
      <w:pPr>
        <w:pStyle w:val="ListParagraph"/>
        <w:numPr>
          <w:ilvl w:val="0"/>
          <w:numId w:val="47"/>
        </w:numPr>
        <w:spacing w:before="120" w:after="0" w:line="240" w:lineRule="auto"/>
        <w:contextualSpacing w:val="0"/>
      </w:pPr>
      <w:r>
        <w:rPr>
          <w:b/>
          <w:lang w:val="fr-FR"/>
        </w:rPr>
        <w:t>63 (15%)</w:t>
      </w:r>
      <w:r>
        <w:rPr>
          <w:lang w:val="fr-FR"/>
        </w:rPr>
        <w:t xml:space="preserve"> actions sont signalées comme subissant des retards, interrompues ou reportées à une date ultérieure.</w:t>
      </w:r>
    </w:p>
    <w:p w14:paraId="58D1035C" w14:textId="465E959A" w:rsidR="00B875C3" w:rsidRPr="00F045B2" w:rsidRDefault="00877E84" w:rsidP="00760AE8">
      <w:pPr>
        <w:spacing w:before="240" w:after="240"/>
        <w:rPr>
          <w:b/>
        </w:rPr>
      </w:pPr>
      <w:r>
        <w:rPr>
          <w:b/>
          <w:lang w:val="fr-FR"/>
        </w:rPr>
        <w:t>Tableau 13 : État d’avancement de toutes les actions des PAC par gouvernement et par état pour la période 2021-2023</w:t>
      </w:r>
    </w:p>
    <w:tbl>
      <w:tblPr>
        <w:tblStyle w:val="TableGrid"/>
        <w:tblW w:w="5000" w:type="pct"/>
        <w:tblCellMar>
          <w:top w:w="115" w:type="dxa"/>
          <w:bottom w:w="115" w:type="dxa"/>
        </w:tblCellMar>
        <w:tblLook w:val="04A0" w:firstRow="1" w:lastRow="0" w:firstColumn="1" w:lastColumn="0" w:noHBand="0" w:noVBand="1"/>
      </w:tblPr>
      <w:tblGrid>
        <w:gridCol w:w="1628"/>
        <w:gridCol w:w="1268"/>
        <w:gridCol w:w="1143"/>
        <w:gridCol w:w="1143"/>
        <w:gridCol w:w="1143"/>
        <w:gridCol w:w="1772"/>
        <w:gridCol w:w="1145"/>
      </w:tblGrid>
      <w:tr w:rsidR="002E6905" w:rsidRPr="00F045B2" w14:paraId="2CAF848F" w14:textId="77777777" w:rsidTr="005A5EF0">
        <w:tc>
          <w:tcPr>
            <w:tcW w:w="839" w:type="pct"/>
            <w:tcBorders>
              <w:left w:val="single" w:sz="4" w:space="0" w:color="FFFFFF" w:themeColor="background1"/>
              <w:right w:val="single" w:sz="4" w:space="0" w:color="FFFFFF" w:themeColor="background1"/>
            </w:tcBorders>
            <w:shd w:val="clear" w:color="auto" w:fill="6C1740"/>
          </w:tcPr>
          <w:p w14:paraId="56F5D0F5" w14:textId="70FC2523" w:rsidR="002E6905" w:rsidRPr="00F045B2" w:rsidRDefault="002E6905" w:rsidP="008E5982">
            <w:pPr>
              <w:rPr>
                <w:b/>
              </w:rPr>
            </w:pPr>
            <w:r w:rsidRPr="00A86D39">
              <w:rPr>
                <w:rFonts w:eastAsia="Times New Roman" w:cs="Calibri"/>
                <w:b/>
                <w:bCs/>
                <w:color w:val="FFFFFF" w:themeColor="background1"/>
                <w:sz w:val="20"/>
                <w:szCs w:val="20"/>
                <w:lang w:val="fr" w:eastAsia="en-AU"/>
              </w:rPr>
              <w:t>Gouvernement</w:t>
            </w:r>
          </w:p>
        </w:tc>
        <w:tc>
          <w:tcPr>
            <w:tcW w:w="750" w:type="pct"/>
            <w:tcBorders>
              <w:left w:val="single" w:sz="4" w:space="0" w:color="FFFFFF" w:themeColor="background1"/>
              <w:right w:val="single" w:sz="4" w:space="0" w:color="FFFFFF" w:themeColor="background1"/>
            </w:tcBorders>
            <w:shd w:val="clear" w:color="auto" w:fill="6C1740"/>
          </w:tcPr>
          <w:p w14:paraId="4BC5319F" w14:textId="1A5AC9A5" w:rsidR="002E6905" w:rsidRPr="00F045B2" w:rsidRDefault="002E6905" w:rsidP="00EF7D0A">
            <w:pPr>
              <w:jc w:val="center"/>
              <w:rPr>
                <w:b/>
              </w:rPr>
            </w:pPr>
            <w:r w:rsidRPr="00A86D39">
              <w:rPr>
                <w:rFonts w:eastAsia="Times New Roman" w:cs="Calibri"/>
                <w:b/>
                <w:bCs/>
                <w:color w:val="FFFFFF" w:themeColor="background1"/>
                <w:sz w:val="20"/>
                <w:szCs w:val="20"/>
                <w:lang w:val="fr" w:eastAsia="en-AU"/>
              </w:rPr>
              <w:t>Finalisé</w:t>
            </w:r>
          </w:p>
        </w:tc>
        <w:tc>
          <w:tcPr>
            <w:tcW w:w="682" w:type="pct"/>
            <w:tcBorders>
              <w:left w:val="single" w:sz="4" w:space="0" w:color="FFFFFF" w:themeColor="background1"/>
              <w:right w:val="single" w:sz="4" w:space="0" w:color="FFFFFF" w:themeColor="background1"/>
            </w:tcBorders>
            <w:shd w:val="clear" w:color="auto" w:fill="6C1740"/>
          </w:tcPr>
          <w:p w14:paraId="670D6CA9" w14:textId="347665B5" w:rsidR="002E6905" w:rsidRPr="00F045B2" w:rsidRDefault="002E6905" w:rsidP="008E5982">
            <w:pPr>
              <w:jc w:val="center"/>
              <w:rPr>
                <w:b/>
              </w:rPr>
            </w:pPr>
            <w:r w:rsidRPr="00A86D39">
              <w:rPr>
                <w:rFonts w:eastAsia="Times New Roman" w:cs="Calibri"/>
                <w:b/>
                <w:bCs/>
                <w:color w:val="FFFFFF" w:themeColor="background1"/>
                <w:sz w:val="20"/>
                <w:szCs w:val="20"/>
                <w:lang w:val="fr" w:eastAsia="en-AU"/>
              </w:rPr>
              <w:t>En bonne voie</w:t>
            </w:r>
          </w:p>
        </w:tc>
        <w:tc>
          <w:tcPr>
            <w:tcW w:w="682" w:type="pct"/>
            <w:tcBorders>
              <w:left w:val="single" w:sz="4" w:space="0" w:color="FFFFFF" w:themeColor="background1"/>
              <w:right w:val="single" w:sz="4" w:space="0" w:color="FFFFFF" w:themeColor="background1"/>
            </w:tcBorders>
            <w:shd w:val="clear" w:color="auto" w:fill="6C1740"/>
          </w:tcPr>
          <w:p w14:paraId="090E8FAD" w14:textId="5BE33DDD" w:rsidR="002E6905" w:rsidRPr="00F045B2" w:rsidRDefault="002E6905" w:rsidP="008E5982">
            <w:pPr>
              <w:jc w:val="center"/>
              <w:rPr>
                <w:b/>
              </w:rPr>
            </w:pPr>
            <w:r w:rsidRPr="00A86D39">
              <w:rPr>
                <w:rFonts w:eastAsia="Times New Roman" w:cs="Calibri"/>
                <w:b/>
                <w:bCs/>
                <w:color w:val="FFFFFF" w:themeColor="background1"/>
                <w:sz w:val="20"/>
                <w:szCs w:val="20"/>
                <w:lang w:val="fr" w:eastAsia="en-AU"/>
              </w:rPr>
              <w:t>Quelques retards</w:t>
            </w:r>
          </w:p>
        </w:tc>
        <w:tc>
          <w:tcPr>
            <w:tcW w:w="682" w:type="pct"/>
            <w:tcBorders>
              <w:left w:val="single" w:sz="4" w:space="0" w:color="FFFFFF" w:themeColor="background1"/>
              <w:right w:val="single" w:sz="4" w:space="0" w:color="FFFFFF" w:themeColor="background1"/>
            </w:tcBorders>
            <w:shd w:val="clear" w:color="auto" w:fill="6C1740"/>
          </w:tcPr>
          <w:p w14:paraId="0EAA9221" w14:textId="3CAC1BE8" w:rsidR="002E6905" w:rsidRPr="00F045B2" w:rsidRDefault="002E6905" w:rsidP="008E5982">
            <w:pPr>
              <w:jc w:val="center"/>
              <w:rPr>
                <w:b/>
              </w:rPr>
            </w:pPr>
            <w:r w:rsidRPr="00A86D39">
              <w:rPr>
                <w:rFonts w:eastAsia="Times New Roman" w:cs="Calibri"/>
                <w:b/>
                <w:bCs/>
                <w:color w:val="FFFFFF" w:themeColor="background1"/>
                <w:sz w:val="20"/>
                <w:szCs w:val="20"/>
                <w:lang w:val="fr" w:eastAsia="en-AU"/>
              </w:rPr>
              <w:t>En pause</w:t>
            </w:r>
          </w:p>
        </w:tc>
        <w:tc>
          <w:tcPr>
            <w:tcW w:w="682" w:type="pct"/>
            <w:tcBorders>
              <w:left w:val="single" w:sz="4" w:space="0" w:color="FFFFFF" w:themeColor="background1"/>
              <w:right w:val="single" w:sz="4" w:space="0" w:color="FFFFFF" w:themeColor="background1"/>
            </w:tcBorders>
            <w:shd w:val="clear" w:color="auto" w:fill="6C1740"/>
          </w:tcPr>
          <w:p w14:paraId="40B4AAE5" w14:textId="636980E0" w:rsidR="002E6905" w:rsidRPr="00F045B2" w:rsidRDefault="002E6905" w:rsidP="008E5982">
            <w:pPr>
              <w:jc w:val="center"/>
              <w:rPr>
                <w:b/>
              </w:rPr>
            </w:pPr>
            <w:r w:rsidRPr="00A86D39">
              <w:rPr>
                <w:rFonts w:eastAsia="Times New Roman" w:cs="Calibri"/>
                <w:b/>
                <w:bCs/>
                <w:color w:val="FFFFFF" w:themeColor="background1"/>
                <w:sz w:val="20"/>
                <w:szCs w:val="20"/>
                <w:lang w:val="fr" w:eastAsia="en-AU"/>
              </w:rPr>
              <w:t>Commencement à une date ultérieure</w:t>
            </w:r>
          </w:p>
        </w:tc>
        <w:tc>
          <w:tcPr>
            <w:tcW w:w="683" w:type="pct"/>
            <w:tcBorders>
              <w:left w:val="single" w:sz="4" w:space="0" w:color="FFFFFF" w:themeColor="background1"/>
              <w:right w:val="single" w:sz="4" w:space="0" w:color="FFFFFF" w:themeColor="background1"/>
            </w:tcBorders>
            <w:shd w:val="clear" w:color="auto" w:fill="6C1740"/>
          </w:tcPr>
          <w:p w14:paraId="7F3EF0F9" w14:textId="50828AA4" w:rsidR="002E6905" w:rsidRPr="00F045B2" w:rsidRDefault="002E6905" w:rsidP="001E7183">
            <w:pPr>
              <w:jc w:val="center"/>
              <w:rPr>
                <w:b/>
              </w:rPr>
            </w:pPr>
            <w:r w:rsidRPr="00A86D39">
              <w:rPr>
                <w:b/>
                <w:color w:val="FFFFFF" w:themeColor="background1"/>
                <w:sz w:val="20"/>
                <w:szCs w:val="20"/>
              </w:rPr>
              <w:t>Total</w:t>
            </w:r>
          </w:p>
        </w:tc>
      </w:tr>
      <w:tr w:rsidR="00B875C3" w14:paraId="0CA8A133" w14:textId="77777777" w:rsidTr="005A5EF0">
        <w:tc>
          <w:tcPr>
            <w:tcW w:w="839" w:type="pct"/>
            <w:tcBorders>
              <w:left w:val="single" w:sz="4" w:space="0" w:color="FFFFFF" w:themeColor="background1"/>
            </w:tcBorders>
          </w:tcPr>
          <w:p w14:paraId="647D1E6A" w14:textId="77777777" w:rsidR="00B875C3" w:rsidRDefault="00B875C3" w:rsidP="008E5982">
            <w:r>
              <w:t>Australian Government</w:t>
            </w:r>
          </w:p>
        </w:tc>
        <w:tc>
          <w:tcPr>
            <w:tcW w:w="750" w:type="pct"/>
          </w:tcPr>
          <w:p w14:paraId="2F04B8C0" w14:textId="71EC45A5" w:rsidR="00B875C3" w:rsidRDefault="008F4643" w:rsidP="008E5982">
            <w:pPr>
              <w:jc w:val="center"/>
            </w:pPr>
            <w:r>
              <w:t>17</w:t>
            </w:r>
          </w:p>
        </w:tc>
        <w:tc>
          <w:tcPr>
            <w:tcW w:w="682" w:type="pct"/>
          </w:tcPr>
          <w:p w14:paraId="63307B55" w14:textId="0FF19D3D" w:rsidR="00B875C3" w:rsidRDefault="009C41C7" w:rsidP="009C41C7">
            <w:pPr>
              <w:jc w:val="center"/>
            </w:pPr>
            <w:r>
              <w:t>23</w:t>
            </w:r>
          </w:p>
        </w:tc>
        <w:tc>
          <w:tcPr>
            <w:tcW w:w="682" w:type="pct"/>
          </w:tcPr>
          <w:p w14:paraId="55F8670F" w14:textId="4329E116" w:rsidR="00B875C3" w:rsidRDefault="008F4643" w:rsidP="008E5982">
            <w:pPr>
              <w:jc w:val="center"/>
            </w:pPr>
            <w:r>
              <w:t>1</w:t>
            </w:r>
            <w:r w:rsidR="009C41C7">
              <w:t>6</w:t>
            </w:r>
          </w:p>
        </w:tc>
        <w:tc>
          <w:tcPr>
            <w:tcW w:w="682" w:type="pct"/>
          </w:tcPr>
          <w:p w14:paraId="35969BF7" w14:textId="77777777" w:rsidR="00B875C3" w:rsidRDefault="00B875C3" w:rsidP="008E5982">
            <w:pPr>
              <w:jc w:val="center"/>
            </w:pPr>
            <w:r>
              <w:t>1</w:t>
            </w:r>
          </w:p>
        </w:tc>
        <w:tc>
          <w:tcPr>
            <w:tcW w:w="682" w:type="pct"/>
          </w:tcPr>
          <w:p w14:paraId="6DEA33AF" w14:textId="77777777" w:rsidR="00B875C3" w:rsidRDefault="00B875C3" w:rsidP="008E5982">
            <w:pPr>
              <w:jc w:val="center"/>
            </w:pPr>
            <w:r>
              <w:t>2</w:t>
            </w:r>
          </w:p>
        </w:tc>
        <w:tc>
          <w:tcPr>
            <w:tcW w:w="683" w:type="pct"/>
            <w:tcBorders>
              <w:right w:val="single" w:sz="4" w:space="0" w:color="FFFFFF" w:themeColor="background1"/>
            </w:tcBorders>
          </w:tcPr>
          <w:p w14:paraId="4CCDC26D" w14:textId="77777777" w:rsidR="00B875C3" w:rsidRDefault="00B875C3" w:rsidP="008E5982">
            <w:pPr>
              <w:jc w:val="center"/>
            </w:pPr>
            <w:r>
              <w:t>59</w:t>
            </w:r>
          </w:p>
        </w:tc>
      </w:tr>
      <w:tr w:rsidR="00B875C3" w14:paraId="331BF5F9" w14:textId="77777777" w:rsidTr="005A5EF0">
        <w:tc>
          <w:tcPr>
            <w:tcW w:w="839" w:type="pct"/>
            <w:tcBorders>
              <w:left w:val="single" w:sz="4" w:space="0" w:color="FFFFFF" w:themeColor="background1"/>
            </w:tcBorders>
            <w:shd w:val="clear" w:color="auto" w:fill="FAF9F8"/>
          </w:tcPr>
          <w:p w14:paraId="3C3CCD96" w14:textId="77777777" w:rsidR="00B875C3" w:rsidRDefault="00B875C3" w:rsidP="008E5982">
            <w:r>
              <w:t>NSW</w:t>
            </w:r>
          </w:p>
        </w:tc>
        <w:tc>
          <w:tcPr>
            <w:tcW w:w="750" w:type="pct"/>
            <w:shd w:val="clear" w:color="auto" w:fill="FAF9F8"/>
          </w:tcPr>
          <w:p w14:paraId="03A7C5D8" w14:textId="77777777" w:rsidR="00B875C3" w:rsidRDefault="00B875C3" w:rsidP="008E5982">
            <w:pPr>
              <w:jc w:val="center"/>
            </w:pPr>
            <w:r>
              <w:t>6</w:t>
            </w:r>
          </w:p>
        </w:tc>
        <w:tc>
          <w:tcPr>
            <w:tcW w:w="682" w:type="pct"/>
            <w:shd w:val="clear" w:color="auto" w:fill="FAF9F8"/>
          </w:tcPr>
          <w:p w14:paraId="565D947B" w14:textId="77777777" w:rsidR="00B875C3" w:rsidRDefault="00B875C3" w:rsidP="008E5982">
            <w:pPr>
              <w:jc w:val="center"/>
            </w:pPr>
            <w:r>
              <w:t>25</w:t>
            </w:r>
          </w:p>
        </w:tc>
        <w:tc>
          <w:tcPr>
            <w:tcW w:w="682" w:type="pct"/>
            <w:shd w:val="clear" w:color="auto" w:fill="FAF9F8"/>
          </w:tcPr>
          <w:p w14:paraId="5F16288B" w14:textId="77777777" w:rsidR="00B875C3" w:rsidRDefault="00B875C3" w:rsidP="008E5982">
            <w:pPr>
              <w:jc w:val="center"/>
            </w:pPr>
            <w:r>
              <w:t>12</w:t>
            </w:r>
          </w:p>
        </w:tc>
        <w:tc>
          <w:tcPr>
            <w:tcW w:w="682" w:type="pct"/>
            <w:shd w:val="clear" w:color="auto" w:fill="FAF9F8"/>
          </w:tcPr>
          <w:p w14:paraId="701E51FB" w14:textId="77777777" w:rsidR="00B875C3" w:rsidRDefault="00B875C3" w:rsidP="008E5982">
            <w:pPr>
              <w:jc w:val="center"/>
            </w:pPr>
            <w:r>
              <w:t>3</w:t>
            </w:r>
          </w:p>
        </w:tc>
        <w:tc>
          <w:tcPr>
            <w:tcW w:w="682" w:type="pct"/>
            <w:shd w:val="clear" w:color="auto" w:fill="FAF9F8"/>
          </w:tcPr>
          <w:p w14:paraId="563C0331" w14:textId="77777777" w:rsidR="00B875C3" w:rsidRDefault="00B875C3" w:rsidP="008E5982">
            <w:pPr>
              <w:jc w:val="center"/>
            </w:pPr>
            <w:r>
              <w:t>0</w:t>
            </w:r>
          </w:p>
        </w:tc>
        <w:tc>
          <w:tcPr>
            <w:tcW w:w="683" w:type="pct"/>
            <w:tcBorders>
              <w:right w:val="single" w:sz="4" w:space="0" w:color="FFFFFF" w:themeColor="background1"/>
            </w:tcBorders>
            <w:shd w:val="clear" w:color="auto" w:fill="FAF9F8"/>
          </w:tcPr>
          <w:p w14:paraId="57535620" w14:textId="77777777" w:rsidR="00B875C3" w:rsidRDefault="00B875C3" w:rsidP="008E5982">
            <w:pPr>
              <w:jc w:val="center"/>
            </w:pPr>
            <w:r>
              <w:t>46</w:t>
            </w:r>
          </w:p>
        </w:tc>
      </w:tr>
      <w:tr w:rsidR="00B875C3" w14:paraId="2022C9B4" w14:textId="77777777" w:rsidTr="005A5EF0">
        <w:tc>
          <w:tcPr>
            <w:tcW w:w="839" w:type="pct"/>
            <w:tcBorders>
              <w:left w:val="single" w:sz="4" w:space="0" w:color="FFFFFF" w:themeColor="background1"/>
            </w:tcBorders>
          </w:tcPr>
          <w:p w14:paraId="52B81DF5" w14:textId="77777777" w:rsidR="00B875C3" w:rsidRDefault="00B875C3" w:rsidP="008E5982">
            <w:r>
              <w:t>VIC</w:t>
            </w:r>
          </w:p>
        </w:tc>
        <w:tc>
          <w:tcPr>
            <w:tcW w:w="750" w:type="pct"/>
          </w:tcPr>
          <w:p w14:paraId="7C622B4C" w14:textId="77777777" w:rsidR="00B875C3" w:rsidRDefault="00B875C3" w:rsidP="008E5982">
            <w:pPr>
              <w:jc w:val="center"/>
            </w:pPr>
            <w:r>
              <w:t>18</w:t>
            </w:r>
          </w:p>
        </w:tc>
        <w:tc>
          <w:tcPr>
            <w:tcW w:w="682" w:type="pct"/>
          </w:tcPr>
          <w:p w14:paraId="5D240702" w14:textId="77777777" w:rsidR="00B875C3" w:rsidRDefault="00B875C3" w:rsidP="008E5982">
            <w:pPr>
              <w:jc w:val="center"/>
            </w:pPr>
            <w:r w:rsidRPr="006C235A">
              <w:t>30</w:t>
            </w:r>
          </w:p>
        </w:tc>
        <w:tc>
          <w:tcPr>
            <w:tcW w:w="682" w:type="pct"/>
          </w:tcPr>
          <w:p w14:paraId="4A2DB011" w14:textId="77777777" w:rsidR="00B875C3" w:rsidRDefault="00B875C3" w:rsidP="008E5982">
            <w:pPr>
              <w:jc w:val="center"/>
            </w:pPr>
            <w:r>
              <w:t>2</w:t>
            </w:r>
          </w:p>
        </w:tc>
        <w:tc>
          <w:tcPr>
            <w:tcW w:w="682" w:type="pct"/>
          </w:tcPr>
          <w:p w14:paraId="55C85BEF" w14:textId="77777777" w:rsidR="00B875C3" w:rsidRDefault="00B875C3" w:rsidP="008E5982">
            <w:pPr>
              <w:jc w:val="center"/>
            </w:pPr>
            <w:r>
              <w:t>0</w:t>
            </w:r>
          </w:p>
        </w:tc>
        <w:tc>
          <w:tcPr>
            <w:tcW w:w="682" w:type="pct"/>
          </w:tcPr>
          <w:p w14:paraId="027BBEEA" w14:textId="77777777" w:rsidR="00B875C3" w:rsidRDefault="00B875C3" w:rsidP="008E5982">
            <w:pPr>
              <w:jc w:val="center"/>
            </w:pPr>
            <w:r>
              <w:t>0</w:t>
            </w:r>
          </w:p>
        </w:tc>
        <w:tc>
          <w:tcPr>
            <w:tcW w:w="683" w:type="pct"/>
            <w:tcBorders>
              <w:right w:val="single" w:sz="4" w:space="0" w:color="FFFFFF" w:themeColor="background1"/>
            </w:tcBorders>
          </w:tcPr>
          <w:p w14:paraId="6057B760" w14:textId="77777777" w:rsidR="00B875C3" w:rsidRDefault="00B875C3" w:rsidP="008E5982">
            <w:pPr>
              <w:jc w:val="center"/>
            </w:pPr>
            <w:r>
              <w:t>50</w:t>
            </w:r>
          </w:p>
        </w:tc>
      </w:tr>
      <w:tr w:rsidR="00B875C3" w14:paraId="46448FAF" w14:textId="77777777" w:rsidTr="005A5EF0">
        <w:tc>
          <w:tcPr>
            <w:tcW w:w="839" w:type="pct"/>
            <w:tcBorders>
              <w:left w:val="single" w:sz="4" w:space="0" w:color="FFFFFF" w:themeColor="background1"/>
            </w:tcBorders>
            <w:shd w:val="clear" w:color="auto" w:fill="FAF9F8"/>
          </w:tcPr>
          <w:p w14:paraId="71A0B11D" w14:textId="77777777" w:rsidR="00B875C3" w:rsidRDefault="00B875C3" w:rsidP="008E5982">
            <w:r>
              <w:t>QLD</w:t>
            </w:r>
          </w:p>
        </w:tc>
        <w:tc>
          <w:tcPr>
            <w:tcW w:w="750" w:type="pct"/>
            <w:shd w:val="clear" w:color="auto" w:fill="FAF9F8"/>
          </w:tcPr>
          <w:p w14:paraId="3CB7A49D" w14:textId="77777777" w:rsidR="00B875C3" w:rsidRDefault="00B875C3" w:rsidP="008E5982">
            <w:pPr>
              <w:jc w:val="center"/>
            </w:pPr>
            <w:r>
              <w:t>23</w:t>
            </w:r>
          </w:p>
        </w:tc>
        <w:tc>
          <w:tcPr>
            <w:tcW w:w="682" w:type="pct"/>
            <w:shd w:val="clear" w:color="auto" w:fill="FAF9F8"/>
          </w:tcPr>
          <w:p w14:paraId="6C32F745" w14:textId="77777777" w:rsidR="00B875C3" w:rsidRDefault="00B875C3" w:rsidP="008E5982">
            <w:pPr>
              <w:jc w:val="center"/>
            </w:pPr>
            <w:r>
              <w:t>28</w:t>
            </w:r>
          </w:p>
        </w:tc>
        <w:tc>
          <w:tcPr>
            <w:tcW w:w="682" w:type="pct"/>
            <w:shd w:val="clear" w:color="auto" w:fill="FAF9F8"/>
          </w:tcPr>
          <w:p w14:paraId="7A4502E8" w14:textId="77777777" w:rsidR="00B875C3" w:rsidRDefault="00B875C3" w:rsidP="008E5982">
            <w:pPr>
              <w:jc w:val="center"/>
            </w:pPr>
            <w:r>
              <w:t>4</w:t>
            </w:r>
          </w:p>
        </w:tc>
        <w:tc>
          <w:tcPr>
            <w:tcW w:w="682" w:type="pct"/>
            <w:shd w:val="clear" w:color="auto" w:fill="FAF9F8"/>
          </w:tcPr>
          <w:p w14:paraId="448D6D66" w14:textId="77777777" w:rsidR="00B875C3" w:rsidRDefault="00B875C3" w:rsidP="008E5982">
            <w:pPr>
              <w:jc w:val="center"/>
            </w:pPr>
            <w:r>
              <w:t>0</w:t>
            </w:r>
          </w:p>
        </w:tc>
        <w:tc>
          <w:tcPr>
            <w:tcW w:w="682" w:type="pct"/>
            <w:shd w:val="clear" w:color="auto" w:fill="FAF9F8"/>
          </w:tcPr>
          <w:p w14:paraId="00AACA49" w14:textId="77777777" w:rsidR="00B875C3" w:rsidRDefault="00B875C3" w:rsidP="008E5982">
            <w:pPr>
              <w:jc w:val="center"/>
            </w:pPr>
            <w:r>
              <w:t>0</w:t>
            </w:r>
          </w:p>
        </w:tc>
        <w:tc>
          <w:tcPr>
            <w:tcW w:w="683" w:type="pct"/>
            <w:tcBorders>
              <w:right w:val="single" w:sz="4" w:space="0" w:color="FFFFFF" w:themeColor="background1"/>
            </w:tcBorders>
            <w:shd w:val="clear" w:color="auto" w:fill="FAF9F8"/>
          </w:tcPr>
          <w:p w14:paraId="331EF909" w14:textId="77777777" w:rsidR="00B875C3" w:rsidRDefault="00B875C3" w:rsidP="008E5982">
            <w:pPr>
              <w:jc w:val="center"/>
            </w:pPr>
            <w:r>
              <w:t>55</w:t>
            </w:r>
          </w:p>
        </w:tc>
      </w:tr>
      <w:tr w:rsidR="00B875C3" w14:paraId="60DB4B8F" w14:textId="77777777" w:rsidTr="005A5EF0">
        <w:tc>
          <w:tcPr>
            <w:tcW w:w="839" w:type="pct"/>
            <w:tcBorders>
              <w:left w:val="single" w:sz="4" w:space="0" w:color="FFFFFF" w:themeColor="background1"/>
            </w:tcBorders>
          </w:tcPr>
          <w:p w14:paraId="4F490181" w14:textId="77777777" w:rsidR="00B875C3" w:rsidRDefault="00B875C3" w:rsidP="008E5982">
            <w:r>
              <w:t>WA</w:t>
            </w:r>
          </w:p>
        </w:tc>
        <w:tc>
          <w:tcPr>
            <w:tcW w:w="750" w:type="pct"/>
          </w:tcPr>
          <w:p w14:paraId="3ECB9A9D" w14:textId="77777777" w:rsidR="00B875C3" w:rsidRDefault="00B875C3" w:rsidP="008E5982">
            <w:pPr>
              <w:jc w:val="center"/>
            </w:pPr>
            <w:r>
              <w:t>10</w:t>
            </w:r>
          </w:p>
        </w:tc>
        <w:tc>
          <w:tcPr>
            <w:tcW w:w="682" w:type="pct"/>
          </w:tcPr>
          <w:p w14:paraId="23F75054" w14:textId="77777777" w:rsidR="00B875C3" w:rsidRDefault="00B875C3" w:rsidP="008E5982">
            <w:pPr>
              <w:jc w:val="center"/>
            </w:pPr>
            <w:r>
              <w:t>20</w:t>
            </w:r>
          </w:p>
        </w:tc>
        <w:tc>
          <w:tcPr>
            <w:tcW w:w="682" w:type="pct"/>
          </w:tcPr>
          <w:p w14:paraId="61D17171" w14:textId="77777777" w:rsidR="00B875C3" w:rsidRDefault="00B875C3" w:rsidP="008E5982">
            <w:pPr>
              <w:jc w:val="center"/>
            </w:pPr>
            <w:r>
              <w:t>1</w:t>
            </w:r>
          </w:p>
        </w:tc>
        <w:tc>
          <w:tcPr>
            <w:tcW w:w="682" w:type="pct"/>
          </w:tcPr>
          <w:p w14:paraId="3AF9EE78" w14:textId="77777777" w:rsidR="00B875C3" w:rsidRDefault="00B875C3" w:rsidP="008E5982">
            <w:pPr>
              <w:jc w:val="center"/>
            </w:pPr>
            <w:r>
              <w:t>0</w:t>
            </w:r>
          </w:p>
        </w:tc>
        <w:tc>
          <w:tcPr>
            <w:tcW w:w="682" w:type="pct"/>
          </w:tcPr>
          <w:p w14:paraId="213E3315" w14:textId="77777777" w:rsidR="00B875C3" w:rsidRDefault="00B875C3" w:rsidP="008E5982">
            <w:pPr>
              <w:jc w:val="center"/>
            </w:pPr>
            <w:r>
              <w:t>0</w:t>
            </w:r>
          </w:p>
        </w:tc>
        <w:tc>
          <w:tcPr>
            <w:tcW w:w="683" w:type="pct"/>
            <w:tcBorders>
              <w:right w:val="single" w:sz="4" w:space="0" w:color="FFFFFF" w:themeColor="background1"/>
            </w:tcBorders>
          </w:tcPr>
          <w:p w14:paraId="6A3A7D06" w14:textId="77777777" w:rsidR="00B875C3" w:rsidRDefault="00B875C3" w:rsidP="008E5982">
            <w:pPr>
              <w:jc w:val="center"/>
            </w:pPr>
            <w:r>
              <w:t>31</w:t>
            </w:r>
          </w:p>
        </w:tc>
      </w:tr>
      <w:tr w:rsidR="00B875C3" w14:paraId="77B63654" w14:textId="77777777" w:rsidTr="005A5EF0">
        <w:tc>
          <w:tcPr>
            <w:tcW w:w="839" w:type="pct"/>
            <w:tcBorders>
              <w:left w:val="single" w:sz="4" w:space="0" w:color="FFFFFF" w:themeColor="background1"/>
            </w:tcBorders>
            <w:shd w:val="clear" w:color="auto" w:fill="FAF9F8"/>
          </w:tcPr>
          <w:p w14:paraId="57EE9ADE" w14:textId="77777777" w:rsidR="00B875C3" w:rsidRDefault="00B875C3" w:rsidP="008E5982">
            <w:r>
              <w:t>SA</w:t>
            </w:r>
          </w:p>
        </w:tc>
        <w:tc>
          <w:tcPr>
            <w:tcW w:w="750" w:type="pct"/>
            <w:shd w:val="clear" w:color="auto" w:fill="FAF9F8"/>
          </w:tcPr>
          <w:p w14:paraId="77B82264" w14:textId="77777777" w:rsidR="00B875C3" w:rsidRDefault="00B875C3" w:rsidP="008E5982">
            <w:pPr>
              <w:jc w:val="center"/>
            </w:pPr>
            <w:r>
              <w:t>28</w:t>
            </w:r>
          </w:p>
        </w:tc>
        <w:tc>
          <w:tcPr>
            <w:tcW w:w="682" w:type="pct"/>
            <w:shd w:val="clear" w:color="auto" w:fill="FAF9F8"/>
          </w:tcPr>
          <w:p w14:paraId="6E0C5E2C" w14:textId="77777777" w:rsidR="00B875C3" w:rsidRDefault="00B875C3" w:rsidP="008E5982">
            <w:pPr>
              <w:jc w:val="center"/>
            </w:pPr>
            <w:r>
              <w:t>31</w:t>
            </w:r>
          </w:p>
        </w:tc>
        <w:tc>
          <w:tcPr>
            <w:tcW w:w="682" w:type="pct"/>
            <w:shd w:val="clear" w:color="auto" w:fill="FAF9F8"/>
          </w:tcPr>
          <w:p w14:paraId="6B85A3F6" w14:textId="77777777" w:rsidR="00B875C3" w:rsidRDefault="00B875C3" w:rsidP="008E5982">
            <w:pPr>
              <w:jc w:val="center"/>
            </w:pPr>
            <w:r>
              <w:t>7</w:t>
            </w:r>
          </w:p>
        </w:tc>
        <w:tc>
          <w:tcPr>
            <w:tcW w:w="682" w:type="pct"/>
            <w:shd w:val="clear" w:color="auto" w:fill="FAF9F8"/>
          </w:tcPr>
          <w:p w14:paraId="00EFF674" w14:textId="77777777" w:rsidR="00B875C3" w:rsidRDefault="00B875C3" w:rsidP="008E5982">
            <w:pPr>
              <w:jc w:val="center"/>
            </w:pPr>
            <w:r>
              <w:t>2</w:t>
            </w:r>
          </w:p>
        </w:tc>
        <w:tc>
          <w:tcPr>
            <w:tcW w:w="682" w:type="pct"/>
            <w:shd w:val="clear" w:color="auto" w:fill="FAF9F8"/>
          </w:tcPr>
          <w:p w14:paraId="10CE6AC7" w14:textId="77777777" w:rsidR="00B875C3" w:rsidRDefault="00B875C3" w:rsidP="008E5982">
            <w:pPr>
              <w:jc w:val="center"/>
            </w:pPr>
            <w:r>
              <w:t>1</w:t>
            </w:r>
          </w:p>
        </w:tc>
        <w:tc>
          <w:tcPr>
            <w:tcW w:w="683" w:type="pct"/>
            <w:tcBorders>
              <w:right w:val="single" w:sz="4" w:space="0" w:color="FFFFFF" w:themeColor="background1"/>
            </w:tcBorders>
            <w:shd w:val="clear" w:color="auto" w:fill="FAF9F8"/>
          </w:tcPr>
          <w:p w14:paraId="59E31555" w14:textId="77777777" w:rsidR="00B875C3" w:rsidRDefault="00B875C3" w:rsidP="008E5982">
            <w:pPr>
              <w:jc w:val="center"/>
            </w:pPr>
            <w:r>
              <w:t>69</w:t>
            </w:r>
          </w:p>
        </w:tc>
      </w:tr>
      <w:tr w:rsidR="00B875C3" w14:paraId="3699CAA8" w14:textId="77777777" w:rsidTr="005A5EF0">
        <w:tc>
          <w:tcPr>
            <w:tcW w:w="839" w:type="pct"/>
            <w:tcBorders>
              <w:left w:val="single" w:sz="4" w:space="0" w:color="FFFFFF" w:themeColor="background1"/>
            </w:tcBorders>
          </w:tcPr>
          <w:p w14:paraId="244F31F3" w14:textId="77777777" w:rsidR="00B875C3" w:rsidRDefault="00B875C3" w:rsidP="008E5982">
            <w:r>
              <w:t>TAS</w:t>
            </w:r>
          </w:p>
        </w:tc>
        <w:tc>
          <w:tcPr>
            <w:tcW w:w="750" w:type="pct"/>
          </w:tcPr>
          <w:p w14:paraId="0D3BED74" w14:textId="77777777" w:rsidR="00B875C3" w:rsidRDefault="00B875C3" w:rsidP="008E5982">
            <w:pPr>
              <w:jc w:val="center"/>
            </w:pPr>
            <w:r>
              <w:t>8</w:t>
            </w:r>
          </w:p>
        </w:tc>
        <w:tc>
          <w:tcPr>
            <w:tcW w:w="682" w:type="pct"/>
          </w:tcPr>
          <w:p w14:paraId="4F113B21" w14:textId="77777777" w:rsidR="00B875C3" w:rsidRDefault="00B875C3" w:rsidP="008E5982">
            <w:pPr>
              <w:jc w:val="center"/>
            </w:pPr>
            <w:r>
              <w:t>13</w:t>
            </w:r>
          </w:p>
        </w:tc>
        <w:tc>
          <w:tcPr>
            <w:tcW w:w="682" w:type="pct"/>
          </w:tcPr>
          <w:p w14:paraId="63163F79" w14:textId="77777777" w:rsidR="00B875C3" w:rsidRDefault="00B875C3" w:rsidP="008E5982">
            <w:pPr>
              <w:jc w:val="center"/>
            </w:pPr>
            <w:r>
              <w:t>8</w:t>
            </w:r>
          </w:p>
        </w:tc>
        <w:tc>
          <w:tcPr>
            <w:tcW w:w="682" w:type="pct"/>
          </w:tcPr>
          <w:p w14:paraId="678DE0AB" w14:textId="77777777" w:rsidR="00B875C3" w:rsidRDefault="00B875C3" w:rsidP="008E5982">
            <w:pPr>
              <w:jc w:val="center"/>
            </w:pPr>
            <w:r>
              <w:t>0</w:t>
            </w:r>
          </w:p>
        </w:tc>
        <w:tc>
          <w:tcPr>
            <w:tcW w:w="682" w:type="pct"/>
          </w:tcPr>
          <w:p w14:paraId="48F0E68C" w14:textId="77777777" w:rsidR="00B875C3" w:rsidRDefault="00B875C3" w:rsidP="008E5982">
            <w:pPr>
              <w:jc w:val="center"/>
            </w:pPr>
            <w:r>
              <w:t>0</w:t>
            </w:r>
          </w:p>
        </w:tc>
        <w:tc>
          <w:tcPr>
            <w:tcW w:w="683" w:type="pct"/>
            <w:tcBorders>
              <w:right w:val="single" w:sz="4" w:space="0" w:color="FFFFFF" w:themeColor="background1"/>
            </w:tcBorders>
          </w:tcPr>
          <w:p w14:paraId="5CC96E50" w14:textId="77777777" w:rsidR="00B875C3" w:rsidRDefault="00B875C3" w:rsidP="008E5982">
            <w:pPr>
              <w:jc w:val="center"/>
            </w:pPr>
            <w:r>
              <w:t>29</w:t>
            </w:r>
          </w:p>
        </w:tc>
      </w:tr>
      <w:tr w:rsidR="00B875C3" w14:paraId="64139BC4" w14:textId="77777777" w:rsidTr="005A5EF0">
        <w:tc>
          <w:tcPr>
            <w:tcW w:w="839" w:type="pct"/>
            <w:tcBorders>
              <w:left w:val="single" w:sz="4" w:space="0" w:color="FFFFFF" w:themeColor="background1"/>
            </w:tcBorders>
            <w:shd w:val="clear" w:color="auto" w:fill="FAF9F8"/>
          </w:tcPr>
          <w:p w14:paraId="45004F78" w14:textId="77777777" w:rsidR="00B875C3" w:rsidRDefault="00B875C3" w:rsidP="008E5982">
            <w:r>
              <w:t>ACT</w:t>
            </w:r>
          </w:p>
        </w:tc>
        <w:tc>
          <w:tcPr>
            <w:tcW w:w="750" w:type="pct"/>
            <w:shd w:val="clear" w:color="auto" w:fill="FAF9F8"/>
          </w:tcPr>
          <w:p w14:paraId="37F59087" w14:textId="77777777" w:rsidR="00B875C3" w:rsidRDefault="00B875C3" w:rsidP="008E5982">
            <w:pPr>
              <w:jc w:val="center"/>
            </w:pPr>
            <w:r>
              <w:t>25</w:t>
            </w:r>
          </w:p>
        </w:tc>
        <w:tc>
          <w:tcPr>
            <w:tcW w:w="682" w:type="pct"/>
            <w:shd w:val="clear" w:color="auto" w:fill="FAF9F8"/>
          </w:tcPr>
          <w:p w14:paraId="62B64E07" w14:textId="77777777" w:rsidR="00B875C3" w:rsidRDefault="00B875C3" w:rsidP="008E5982">
            <w:pPr>
              <w:jc w:val="center"/>
            </w:pPr>
            <w:r>
              <w:t>12</w:t>
            </w:r>
          </w:p>
        </w:tc>
        <w:tc>
          <w:tcPr>
            <w:tcW w:w="682" w:type="pct"/>
            <w:shd w:val="clear" w:color="auto" w:fill="FAF9F8"/>
          </w:tcPr>
          <w:p w14:paraId="06DC4B39" w14:textId="77777777" w:rsidR="00B875C3" w:rsidRDefault="00B875C3" w:rsidP="008E5982">
            <w:pPr>
              <w:jc w:val="center"/>
            </w:pPr>
            <w:r>
              <w:t>3</w:t>
            </w:r>
          </w:p>
        </w:tc>
        <w:tc>
          <w:tcPr>
            <w:tcW w:w="682" w:type="pct"/>
            <w:shd w:val="clear" w:color="auto" w:fill="FAF9F8"/>
          </w:tcPr>
          <w:p w14:paraId="4C3E73AB" w14:textId="77777777" w:rsidR="00B875C3" w:rsidRDefault="00B875C3" w:rsidP="008E5982">
            <w:pPr>
              <w:jc w:val="center"/>
            </w:pPr>
            <w:r>
              <w:t>0</w:t>
            </w:r>
          </w:p>
        </w:tc>
        <w:tc>
          <w:tcPr>
            <w:tcW w:w="682" w:type="pct"/>
            <w:shd w:val="clear" w:color="auto" w:fill="FAF9F8"/>
          </w:tcPr>
          <w:p w14:paraId="12E8362C" w14:textId="77777777" w:rsidR="00B875C3" w:rsidRDefault="00B875C3" w:rsidP="008E5982">
            <w:pPr>
              <w:jc w:val="center"/>
            </w:pPr>
            <w:r>
              <w:t>0</w:t>
            </w:r>
          </w:p>
        </w:tc>
        <w:tc>
          <w:tcPr>
            <w:tcW w:w="683" w:type="pct"/>
            <w:tcBorders>
              <w:right w:val="single" w:sz="4" w:space="0" w:color="FFFFFF" w:themeColor="background1"/>
            </w:tcBorders>
            <w:shd w:val="clear" w:color="auto" w:fill="FAF9F8"/>
          </w:tcPr>
          <w:p w14:paraId="717301A9" w14:textId="77777777" w:rsidR="00B875C3" w:rsidRDefault="00B875C3" w:rsidP="008E5982">
            <w:pPr>
              <w:jc w:val="center"/>
            </w:pPr>
            <w:r>
              <w:t>40</w:t>
            </w:r>
          </w:p>
        </w:tc>
      </w:tr>
      <w:tr w:rsidR="00B875C3" w14:paraId="446DE525" w14:textId="77777777" w:rsidTr="005A5EF0">
        <w:tc>
          <w:tcPr>
            <w:tcW w:w="839" w:type="pct"/>
            <w:tcBorders>
              <w:left w:val="single" w:sz="4" w:space="0" w:color="FFFFFF" w:themeColor="background1"/>
            </w:tcBorders>
          </w:tcPr>
          <w:p w14:paraId="5F4B9348" w14:textId="77777777" w:rsidR="00B875C3" w:rsidRDefault="00B875C3" w:rsidP="008E5982">
            <w:r>
              <w:t>NT</w:t>
            </w:r>
          </w:p>
        </w:tc>
        <w:tc>
          <w:tcPr>
            <w:tcW w:w="750" w:type="pct"/>
          </w:tcPr>
          <w:p w14:paraId="715E0C44" w14:textId="77777777" w:rsidR="00B875C3" w:rsidRDefault="00B875C3" w:rsidP="008E5982">
            <w:pPr>
              <w:jc w:val="center"/>
            </w:pPr>
            <w:r>
              <w:t>9</w:t>
            </w:r>
          </w:p>
        </w:tc>
        <w:tc>
          <w:tcPr>
            <w:tcW w:w="682" w:type="pct"/>
          </w:tcPr>
          <w:p w14:paraId="4009881C" w14:textId="77777777" w:rsidR="00B875C3" w:rsidRDefault="00B875C3" w:rsidP="008E5982">
            <w:pPr>
              <w:jc w:val="center"/>
            </w:pPr>
            <w:r>
              <w:t>27</w:t>
            </w:r>
          </w:p>
        </w:tc>
        <w:tc>
          <w:tcPr>
            <w:tcW w:w="682" w:type="pct"/>
          </w:tcPr>
          <w:p w14:paraId="48B77A4E" w14:textId="77777777" w:rsidR="00B875C3" w:rsidRDefault="00B875C3" w:rsidP="008E5982">
            <w:pPr>
              <w:jc w:val="center"/>
            </w:pPr>
            <w:r>
              <w:t>1</w:t>
            </w:r>
          </w:p>
        </w:tc>
        <w:tc>
          <w:tcPr>
            <w:tcW w:w="682" w:type="pct"/>
          </w:tcPr>
          <w:p w14:paraId="41DBDDE6" w14:textId="77777777" w:rsidR="00B875C3" w:rsidRDefault="00B875C3" w:rsidP="008E5982">
            <w:pPr>
              <w:jc w:val="center"/>
            </w:pPr>
            <w:r>
              <w:t>1</w:t>
            </w:r>
          </w:p>
        </w:tc>
        <w:tc>
          <w:tcPr>
            <w:tcW w:w="682" w:type="pct"/>
          </w:tcPr>
          <w:p w14:paraId="2ADC990C" w14:textId="77777777" w:rsidR="00B875C3" w:rsidRDefault="00B875C3" w:rsidP="008E5982">
            <w:pPr>
              <w:jc w:val="center"/>
            </w:pPr>
            <w:r>
              <w:t>0</w:t>
            </w:r>
          </w:p>
        </w:tc>
        <w:tc>
          <w:tcPr>
            <w:tcW w:w="683" w:type="pct"/>
            <w:tcBorders>
              <w:right w:val="single" w:sz="4" w:space="0" w:color="FFFFFF" w:themeColor="background1"/>
            </w:tcBorders>
          </w:tcPr>
          <w:p w14:paraId="6BE828B0" w14:textId="77777777" w:rsidR="00B875C3" w:rsidRDefault="00B875C3" w:rsidP="008E5982">
            <w:pPr>
              <w:jc w:val="center"/>
            </w:pPr>
            <w:r>
              <w:t>38</w:t>
            </w:r>
          </w:p>
        </w:tc>
      </w:tr>
      <w:tr w:rsidR="00B875C3" w14:paraId="4017E826" w14:textId="77777777" w:rsidTr="005A5EF0">
        <w:tc>
          <w:tcPr>
            <w:tcW w:w="839" w:type="pct"/>
            <w:tcBorders>
              <w:left w:val="single" w:sz="4" w:space="0" w:color="FFFFFF" w:themeColor="background1"/>
              <w:bottom w:val="single" w:sz="4" w:space="0" w:color="FFFFFF" w:themeColor="background1"/>
            </w:tcBorders>
            <w:shd w:val="clear" w:color="auto" w:fill="E4E9F3"/>
          </w:tcPr>
          <w:p w14:paraId="46FC83FF" w14:textId="20A48842" w:rsidR="00B875C3" w:rsidRPr="00E004AD" w:rsidRDefault="005F6C74" w:rsidP="008E5982">
            <w:pPr>
              <w:rPr>
                <w:b/>
              </w:rPr>
            </w:pPr>
            <w:r w:rsidRPr="004F4004">
              <w:rPr>
                <w:rFonts w:eastAsia="Times New Roman" w:cs="Calibri"/>
                <w:b/>
                <w:bCs/>
                <w:color w:val="000000"/>
                <w:lang w:val="fr" w:eastAsia="en-AU"/>
              </w:rPr>
              <w:t>Total national</w:t>
            </w:r>
          </w:p>
        </w:tc>
        <w:tc>
          <w:tcPr>
            <w:tcW w:w="750" w:type="pct"/>
            <w:tcBorders>
              <w:bottom w:val="single" w:sz="4" w:space="0" w:color="FFFFFF" w:themeColor="background1"/>
            </w:tcBorders>
            <w:shd w:val="clear" w:color="auto" w:fill="E4E9F3"/>
          </w:tcPr>
          <w:p w14:paraId="6060B962" w14:textId="0346532D" w:rsidR="00B875C3" w:rsidRPr="00E004AD" w:rsidRDefault="00B875C3" w:rsidP="008E5982">
            <w:pPr>
              <w:jc w:val="center"/>
              <w:rPr>
                <w:b/>
              </w:rPr>
            </w:pPr>
            <w:r>
              <w:rPr>
                <w:b/>
              </w:rPr>
              <w:t>14</w:t>
            </w:r>
            <w:r w:rsidR="00C43D7A">
              <w:rPr>
                <w:b/>
              </w:rPr>
              <w:t>4</w:t>
            </w:r>
          </w:p>
        </w:tc>
        <w:tc>
          <w:tcPr>
            <w:tcW w:w="682" w:type="pct"/>
            <w:tcBorders>
              <w:bottom w:val="single" w:sz="4" w:space="0" w:color="FFFFFF" w:themeColor="background1"/>
            </w:tcBorders>
            <w:shd w:val="clear" w:color="auto" w:fill="E4E9F3"/>
          </w:tcPr>
          <w:p w14:paraId="79B4C614" w14:textId="38ACDE1D" w:rsidR="00B875C3" w:rsidRPr="00E004AD" w:rsidRDefault="00C43D7A" w:rsidP="008E5982">
            <w:pPr>
              <w:jc w:val="center"/>
              <w:rPr>
                <w:b/>
              </w:rPr>
            </w:pPr>
            <w:r>
              <w:rPr>
                <w:b/>
              </w:rPr>
              <w:t>2</w:t>
            </w:r>
            <w:r w:rsidR="009C41C7">
              <w:rPr>
                <w:b/>
              </w:rPr>
              <w:t>09</w:t>
            </w:r>
          </w:p>
        </w:tc>
        <w:tc>
          <w:tcPr>
            <w:tcW w:w="682" w:type="pct"/>
            <w:tcBorders>
              <w:bottom w:val="single" w:sz="4" w:space="0" w:color="FFFFFF" w:themeColor="background1"/>
            </w:tcBorders>
            <w:shd w:val="clear" w:color="auto" w:fill="E4E9F3"/>
          </w:tcPr>
          <w:p w14:paraId="271FF989" w14:textId="5AD1BF32" w:rsidR="00B875C3" w:rsidRPr="00E004AD" w:rsidRDefault="00C43D7A" w:rsidP="008E5982">
            <w:pPr>
              <w:jc w:val="center"/>
              <w:rPr>
                <w:b/>
              </w:rPr>
            </w:pPr>
            <w:r>
              <w:rPr>
                <w:b/>
              </w:rPr>
              <w:t>5</w:t>
            </w:r>
            <w:r w:rsidR="009C41C7">
              <w:rPr>
                <w:b/>
              </w:rPr>
              <w:t>4</w:t>
            </w:r>
          </w:p>
        </w:tc>
        <w:tc>
          <w:tcPr>
            <w:tcW w:w="682" w:type="pct"/>
            <w:tcBorders>
              <w:bottom w:val="single" w:sz="4" w:space="0" w:color="FFFFFF" w:themeColor="background1"/>
            </w:tcBorders>
            <w:shd w:val="clear" w:color="auto" w:fill="E4E9F3"/>
          </w:tcPr>
          <w:p w14:paraId="10B4B173" w14:textId="77777777" w:rsidR="00B875C3" w:rsidRPr="00E004AD" w:rsidRDefault="00B875C3" w:rsidP="008E5982">
            <w:pPr>
              <w:jc w:val="center"/>
              <w:rPr>
                <w:b/>
              </w:rPr>
            </w:pPr>
            <w:r>
              <w:rPr>
                <w:b/>
              </w:rPr>
              <w:t>7</w:t>
            </w:r>
          </w:p>
        </w:tc>
        <w:tc>
          <w:tcPr>
            <w:tcW w:w="682" w:type="pct"/>
            <w:tcBorders>
              <w:bottom w:val="single" w:sz="4" w:space="0" w:color="FFFFFF" w:themeColor="background1"/>
            </w:tcBorders>
            <w:shd w:val="clear" w:color="auto" w:fill="E4E9F3"/>
          </w:tcPr>
          <w:p w14:paraId="7F08307C" w14:textId="77777777" w:rsidR="00B875C3" w:rsidRPr="00E004AD" w:rsidRDefault="00B875C3" w:rsidP="008E5982">
            <w:pPr>
              <w:jc w:val="center"/>
              <w:rPr>
                <w:b/>
              </w:rPr>
            </w:pPr>
            <w:r>
              <w:rPr>
                <w:b/>
              </w:rPr>
              <w:t>3</w:t>
            </w:r>
          </w:p>
        </w:tc>
        <w:tc>
          <w:tcPr>
            <w:tcW w:w="683" w:type="pct"/>
            <w:tcBorders>
              <w:bottom w:val="single" w:sz="4" w:space="0" w:color="FFFFFF" w:themeColor="background1"/>
              <w:right w:val="single" w:sz="4" w:space="0" w:color="FFFFFF" w:themeColor="background1"/>
            </w:tcBorders>
            <w:shd w:val="clear" w:color="auto" w:fill="E4E9F3"/>
          </w:tcPr>
          <w:p w14:paraId="78390F96" w14:textId="77777777" w:rsidR="00B875C3" w:rsidRPr="00E004AD" w:rsidRDefault="00B875C3" w:rsidP="008E5982">
            <w:pPr>
              <w:jc w:val="center"/>
              <w:rPr>
                <w:b/>
              </w:rPr>
            </w:pPr>
            <w:r>
              <w:rPr>
                <w:b/>
              </w:rPr>
              <w:t>417</w:t>
            </w:r>
          </w:p>
        </w:tc>
      </w:tr>
    </w:tbl>
    <w:p w14:paraId="21D03EBA" w14:textId="3B8EFAE5" w:rsidR="00B875C3" w:rsidRPr="00F045B2" w:rsidRDefault="00F54F3B" w:rsidP="00911917">
      <w:pPr>
        <w:spacing w:before="240" w:after="240"/>
        <w:rPr>
          <w:b/>
        </w:rPr>
      </w:pPr>
      <w:r>
        <w:rPr>
          <w:b/>
          <w:lang w:val="fr-FR"/>
        </w:rPr>
        <w:t>Tableau 14 : État d’avancement de toutes les actions des PAC par PAC et état pour la période 2021-2023</w:t>
      </w:r>
    </w:p>
    <w:tbl>
      <w:tblPr>
        <w:tblStyle w:val="TableGrid"/>
        <w:tblW w:w="5000" w:type="pct"/>
        <w:tblCellMar>
          <w:top w:w="115" w:type="dxa"/>
          <w:bottom w:w="115" w:type="dxa"/>
        </w:tblCellMar>
        <w:tblLook w:val="04A0" w:firstRow="1" w:lastRow="0" w:firstColumn="1" w:lastColumn="0" w:noHBand="0" w:noVBand="1"/>
      </w:tblPr>
      <w:tblGrid>
        <w:gridCol w:w="1525"/>
        <w:gridCol w:w="1253"/>
        <w:gridCol w:w="1173"/>
        <w:gridCol w:w="1173"/>
        <w:gridCol w:w="1174"/>
        <w:gridCol w:w="1772"/>
        <w:gridCol w:w="1172"/>
      </w:tblGrid>
      <w:tr w:rsidR="002E6905" w14:paraId="23B90123" w14:textId="77777777" w:rsidTr="002E6905">
        <w:tc>
          <w:tcPr>
            <w:tcW w:w="812" w:type="pct"/>
            <w:tcBorders>
              <w:left w:val="single" w:sz="4" w:space="0" w:color="FFFFFF" w:themeColor="background1"/>
              <w:right w:val="single" w:sz="4" w:space="0" w:color="FFFFFF" w:themeColor="background1"/>
            </w:tcBorders>
            <w:shd w:val="clear" w:color="auto" w:fill="6C1740"/>
          </w:tcPr>
          <w:p w14:paraId="540ADE83" w14:textId="1C066E3C" w:rsidR="002E6905" w:rsidRPr="00212F83" w:rsidRDefault="002E6905" w:rsidP="008E5982">
            <w:pPr>
              <w:rPr>
                <w:b/>
              </w:rPr>
            </w:pPr>
            <w:r w:rsidRPr="00580A70">
              <w:rPr>
                <w:rFonts w:eastAsia="Times New Roman" w:cs="Calibri"/>
                <w:b/>
                <w:bCs/>
                <w:color w:val="FFFFFF" w:themeColor="background1"/>
                <w:lang w:val="fr" w:eastAsia="en-AU"/>
              </w:rPr>
              <w:t>Objectif</w:t>
            </w:r>
          </w:p>
        </w:tc>
        <w:tc>
          <w:tcPr>
            <w:tcW w:w="680" w:type="pct"/>
            <w:tcBorders>
              <w:left w:val="single" w:sz="4" w:space="0" w:color="FFFFFF" w:themeColor="background1"/>
              <w:right w:val="single" w:sz="4" w:space="0" w:color="FFFFFF" w:themeColor="background1"/>
            </w:tcBorders>
            <w:shd w:val="clear" w:color="auto" w:fill="6C1740"/>
          </w:tcPr>
          <w:p w14:paraId="400723D4" w14:textId="0118A536" w:rsidR="002E6905" w:rsidRPr="00212F83" w:rsidRDefault="002E6905" w:rsidP="008E5982">
            <w:pPr>
              <w:jc w:val="center"/>
              <w:rPr>
                <w:b/>
              </w:rPr>
            </w:pPr>
            <w:r w:rsidRPr="00A86D39">
              <w:rPr>
                <w:rFonts w:eastAsia="Times New Roman" w:cs="Calibri"/>
                <w:b/>
                <w:bCs/>
                <w:color w:val="FFFFFF" w:themeColor="background1"/>
                <w:sz w:val="20"/>
                <w:szCs w:val="20"/>
                <w:lang w:val="fr" w:eastAsia="en-AU"/>
              </w:rPr>
              <w:t>Finalisé</w:t>
            </w:r>
          </w:p>
        </w:tc>
        <w:tc>
          <w:tcPr>
            <w:tcW w:w="637" w:type="pct"/>
            <w:tcBorders>
              <w:left w:val="single" w:sz="4" w:space="0" w:color="FFFFFF" w:themeColor="background1"/>
              <w:right w:val="single" w:sz="4" w:space="0" w:color="FFFFFF" w:themeColor="background1"/>
            </w:tcBorders>
            <w:shd w:val="clear" w:color="auto" w:fill="6C1740"/>
          </w:tcPr>
          <w:p w14:paraId="6CF6467E" w14:textId="313852E7" w:rsidR="002E6905" w:rsidRPr="00212F83" w:rsidRDefault="002E6905" w:rsidP="008E5982">
            <w:pPr>
              <w:jc w:val="center"/>
              <w:rPr>
                <w:b/>
              </w:rPr>
            </w:pPr>
            <w:r w:rsidRPr="00A86D39">
              <w:rPr>
                <w:rFonts w:eastAsia="Times New Roman" w:cs="Calibri"/>
                <w:b/>
                <w:bCs/>
                <w:color w:val="FFFFFF" w:themeColor="background1"/>
                <w:sz w:val="20"/>
                <w:szCs w:val="20"/>
                <w:lang w:val="fr" w:eastAsia="en-AU"/>
              </w:rPr>
              <w:t>En bonne voie</w:t>
            </w:r>
          </w:p>
        </w:tc>
        <w:tc>
          <w:tcPr>
            <w:tcW w:w="637" w:type="pct"/>
            <w:tcBorders>
              <w:left w:val="single" w:sz="4" w:space="0" w:color="FFFFFF" w:themeColor="background1"/>
              <w:right w:val="single" w:sz="4" w:space="0" w:color="FFFFFF" w:themeColor="background1"/>
            </w:tcBorders>
            <w:shd w:val="clear" w:color="auto" w:fill="6C1740"/>
          </w:tcPr>
          <w:p w14:paraId="3EFB3EBE" w14:textId="6B4F59B1" w:rsidR="002E6905" w:rsidRPr="00212F83" w:rsidRDefault="002E6905" w:rsidP="008E5982">
            <w:pPr>
              <w:jc w:val="center"/>
              <w:rPr>
                <w:b/>
              </w:rPr>
            </w:pPr>
            <w:r w:rsidRPr="00A86D39">
              <w:rPr>
                <w:rFonts w:eastAsia="Times New Roman" w:cs="Calibri"/>
                <w:b/>
                <w:bCs/>
                <w:color w:val="FFFFFF" w:themeColor="background1"/>
                <w:sz w:val="20"/>
                <w:szCs w:val="20"/>
                <w:lang w:val="fr" w:eastAsia="en-AU"/>
              </w:rPr>
              <w:t>Quelques retards</w:t>
            </w:r>
          </w:p>
        </w:tc>
        <w:tc>
          <w:tcPr>
            <w:tcW w:w="637" w:type="pct"/>
            <w:tcBorders>
              <w:left w:val="single" w:sz="4" w:space="0" w:color="FFFFFF" w:themeColor="background1"/>
              <w:right w:val="single" w:sz="4" w:space="0" w:color="FFFFFF" w:themeColor="background1"/>
            </w:tcBorders>
            <w:shd w:val="clear" w:color="auto" w:fill="6C1740"/>
          </w:tcPr>
          <w:p w14:paraId="47A2D950" w14:textId="0E964CC3" w:rsidR="002E6905" w:rsidRPr="00212F83" w:rsidRDefault="002E6905" w:rsidP="008E5982">
            <w:pPr>
              <w:jc w:val="center"/>
              <w:rPr>
                <w:b/>
              </w:rPr>
            </w:pPr>
            <w:r w:rsidRPr="00A86D39">
              <w:rPr>
                <w:rFonts w:eastAsia="Times New Roman" w:cs="Calibri"/>
                <w:b/>
                <w:bCs/>
                <w:color w:val="FFFFFF" w:themeColor="background1"/>
                <w:sz w:val="20"/>
                <w:szCs w:val="20"/>
                <w:lang w:val="fr" w:eastAsia="en-AU"/>
              </w:rPr>
              <w:t>En pause</w:t>
            </w:r>
          </w:p>
        </w:tc>
        <w:tc>
          <w:tcPr>
            <w:tcW w:w="959" w:type="pct"/>
            <w:tcBorders>
              <w:left w:val="single" w:sz="4" w:space="0" w:color="FFFFFF" w:themeColor="background1"/>
              <w:right w:val="single" w:sz="4" w:space="0" w:color="FFFFFF" w:themeColor="background1"/>
            </w:tcBorders>
            <w:shd w:val="clear" w:color="auto" w:fill="6C1740"/>
          </w:tcPr>
          <w:p w14:paraId="4D77A72E" w14:textId="4FA7868A" w:rsidR="002E6905" w:rsidRPr="00212F83" w:rsidRDefault="002E6905" w:rsidP="008E5982">
            <w:pPr>
              <w:jc w:val="center"/>
              <w:rPr>
                <w:b/>
              </w:rPr>
            </w:pPr>
            <w:r w:rsidRPr="00A86D39">
              <w:rPr>
                <w:rFonts w:eastAsia="Times New Roman" w:cs="Calibri"/>
                <w:b/>
                <w:bCs/>
                <w:color w:val="FFFFFF" w:themeColor="background1"/>
                <w:sz w:val="20"/>
                <w:szCs w:val="20"/>
                <w:lang w:val="fr" w:eastAsia="en-AU"/>
              </w:rPr>
              <w:t xml:space="preserve">Commencement à une date </w:t>
            </w:r>
            <w:r w:rsidRPr="00A86D39">
              <w:rPr>
                <w:rFonts w:eastAsia="Times New Roman" w:cs="Calibri"/>
                <w:b/>
                <w:bCs/>
                <w:color w:val="FFFFFF" w:themeColor="background1"/>
                <w:sz w:val="20"/>
                <w:szCs w:val="20"/>
                <w:lang w:val="fr" w:eastAsia="en-AU"/>
              </w:rPr>
              <w:lastRenderedPageBreak/>
              <w:t>ultérieure</w:t>
            </w:r>
          </w:p>
        </w:tc>
        <w:tc>
          <w:tcPr>
            <w:tcW w:w="637" w:type="pct"/>
            <w:tcBorders>
              <w:left w:val="single" w:sz="4" w:space="0" w:color="FFFFFF" w:themeColor="background1"/>
              <w:right w:val="single" w:sz="4" w:space="0" w:color="FFFFFF" w:themeColor="background1"/>
            </w:tcBorders>
            <w:shd w:val="clear" w:color="auto" w:fill="6C1740"/>
          </w:tcPr>
          <w:p w14:paraId="025576BE" w14:textId="21E64E62" w:rsidR="002E6905" w:rsidRPr="00212F83" w:rsidRDefault="002E6905" w:rsidP="008E5982">
            <w:pPr>
              <w:jc w:val="center"/>
              <w:rPr>
                <w:b/>
              </w:rPr>
            </w:pPr>
            <w:r w:rsidRPr="00A86D39">
              <w:rPr>
                <w:b/>
                <w:color w:val="FFFFFF" w:themeColor="background1"/>
                <w:sz w:val="20"/>
                <w:szCs w:val="20"/>
              </w:rPr>
              <w:lastRenderedPageBreak/>
              <w:t>Total</w:t>
            </w:r>
          </w:p>
        </w:tc>
      </w:tr>
      <w:tr w:rsidR="002E6905" w14:paraId="6E8E4859" w14:textId="77777777" w:rsidTr="002E6905">
        <w:tc>
          <w:tcPr>
            <w:tcW w:w="812" w:type="pct"/>
            <w:tcBorders>
              <w:left w:val="single" w:sz="4" w:space="0" w:color="FFFFFF" w:themeColor="background1"/>
            </w:tcBorders>
            <w:vAlign w:val="bottom"/>
          </w:tcPr>
          <w:p w14:paraId="0B6D5258" w14:textId="5002DD81" w:rsidR="002E6905" w:rsidRPr="002E6905" w:rsidRDefault="002E6905" w:rsidP="008E5982">
            <w:r w:rsidRPr="002E6905">
              <w:rPr>
                <w:rFonts w:eastAsia="Times New Roman" w:cs="Calibri"/>
                <w:bCs/>
                <w:color w:val="000000"/>
                <w:lang w:val="el" w:eastAsia="en-AU"/>
              </w:rPr>
              <w:lastRenderedPageBreak/>
              <w:t>Απασχόληση</w:t>
            </w:r>
          </w:p>
        </w:tc>
        <w:tc>
          <w:tcPr>
            <w:tcW w:w="680" w:type="pct"/>
          </w:tcPr>
          <w:p w14:paraId="7BFCAE0A" w14:textId="77777777" w:rsidR="002E6905" w:rsidRDefault="002E6905" w:rsidP="008E5982">
            <w:pPr>
              <w:jc w:val="center"/>
            </w:pPr>
            <w:r>
              <w:t>27</w:t>
            </w:r>
          </w:p>
        </w:tc>
        <w:tc>
          <w:tcPr>
            <w:tcW w:w="637" w:type="pct"/>
          </w:tcPr>
          <w:p w14:paraId="27ADBF0E" w14:textId="746DFB24" w:rsidR="002E6905" w:rsidRDefault="002E6905" w:rsidP="008E5982">
            <w:pPr>
              <w:jc w:val="center"/>
            </w:pPr>
            <w:r>
              <w:t>47</w:t>
            </w:r>
          </w:p>
        </w:tc>
        <w:tc>
          <w:tcPr>
            <w:tcW w:w="637" w:type="pct"/>
          </w:tcPr>
          <w:p w14:paraId="4F8734A8" w14:textId="3A487975" w:rsidR="002E6905" w:rsidRDefault="002E6905" w:rsidP="008E5982">
            <w:pPr>
              <w:jc w:val="center"/>
            </w:pPr>
            <w:r>
              <w:t>9</w:t>
            </w:r>
          </w:p>
        </w:tc>
        <w:tc>
          <w:tcPr>
            <w:tcW w:w="637" w:type="pct"/>
          </w:tcPr>
          <w:p w14:paraId="10FBF032" w14:textId="77777777" w:rsidR="002E6905" w:rsidRDefault="002E6905" w:rsidP="008E5982">
            <w:pPr>
              <w:jc w:val="center"/>
            </w:pPr>
            <w:r>
              <w:t>0</w:t>
            </w:r>
          </w:p>
        </w:tc>
        <w:tc>
          <w:tcPr>
            <w:tcW w:w="959" w:type="pct"/>
          </w:tcPr>
          <w:p w14:paraId="2C3A5581" w14:textId="77777777" w:rsidR="002E6905" w:rsidRDefault="002E6905" w:rsidP="008E5982">
            <w:pPr>
              <w:jc w:val="center"/>
            </w:pPr>
            <w:r>
              <w:t>0</w:t>
            </w:r>
          </w:p>
        </w:tc>
        <w:tc>
          <w:tcPr>
            <w:tcW w:w="637" w:type="pct"/>
            <w:tcBorders>
              <w:right w:val="single" w:sz="4" w:space="0" w:color="FFFFFF" w:themeColor="background1"/>
            </w:tcBorders>
          </w:tcPr>
          <w:p w14:paraId="54EEF733" w14:textId="77777777" w:rsidR="002E6905" w:rsidRDefault="002E6905" w:rsidP="008E5982">
            <w:pPr>
              <w:jc w:val="center"/>
            </w:pPr>
            <w:r>
              <w:t>83</w:t>
            </w:r>
          </w:p>
        </w:tc>
      </w:tr>
      <w:tr w:rsidR="002E6905" w14:paraId="5590DF27" w14:textId="77777777" w:rsidTr="002E6905">
        <w:tc>
          <w:tcPr>
            <w:tcW w:w="812" w:type="pct"/>
            <w:tcBorders>
              <w:left w:val="single" w:sz="4" w:space="0" w:color="FFFFFF" w:themeColor="background1"/>
            </w:tcBorders>
            <w:shd w:val="clear" w:color="auto" w:fill="FAF9F8"/>
            <w:vAlign w:val="bottom"/>
          </w:tcPr>
          <w:p w14:paraId="637A82F4" w14:textId="0E20B10F" w:rsidR="002E6905" w:rsidRPr="002E6905" w:rsidRDefault="002E6905" w:rsidP="008E5982">
            <w:r w:rsidRPr="002E6905">
              <w:rPr>
                <w:rFonts w:eastAsia="Times New Roman" w:cs="Calibri"/>
                <w:bCs/>
                <w:color w:val="000000"/>
                <w:lang w:val="el" w:eastAsia="en-AU"/>
              </w:rPr>
              <w:t>Στάση της Κοινότητας</w:t>
            </w:r>
          </w:p>
        </w:tc>
        <w:tc>
          <w:tcPr>
            <w:tcW w:w="680" w:type="pct"/>
            <w:shd w:val="clear" w:color="auto" w:fill="FAF9F8"/>
          </w:tcPr>
          <w:p w14:paraId="6DFEB7F5" w14:textId="09684E35" w:rsidR="002E6905" w:rsidRDefault="002E6905" w:rsidP="008E5982">
            <w:pPr>
              <w:jc w:val="center"/>
            </w:pPr>
            <w:r>
              <w:t>25</w:t>
            </w:r>
          </w:p>
        </w:tc>
        <w:tc>
          <w:tcPr>
            <w:tcW w:w="637" w:type="pct"/>
            <w:shd w:val="clear" w:color="auto" w:fill="FAF9F8"/>
          </w:tcPr>
          <w:p w14:paraId="5FE432BB" w14:textId="018CEC6C" w:rsidR="002E6905" w:rsidRDefault="002E6905" w:rsidP="008E5982">
            <w:pPr>
              <w:jc w:val="center"/>
            </w:pPr>
            <w:r>
              <w:t>33</w:t>
            </w:r>
          </w:p>
        </w:tc>
        <w:tc>
          <w:tcPr>
            <w:tcW w:w="637" w:type="pct"/>
            <w:shd w:val="clear" w:color="auto" w:fill="FAF9F8"/>
          </w:tcPr>
          <w:p w14:paraId="507B0C2B" w14:textId="3304BED5" w:rsidR="002E6905" w:rsidRDefault="002E6905" w:rsidP="008E5982">
            <w:pPr>
              <w:jc w:val="center"/>
            </w:pPr>
            <w:r>
              <w:t>10</w:t>
            </w:r>
          </w:p>
        </w:tc>
        <w:tc>
          <w:tcPr>
            <w:tcW w:w="637" w:type="pct"/>
            <w:shd w:val="clear" w:color="auto" w:fill="FAF9F8"/>
          </w:tcPr>
          <w:p w14:paraId="1B8EBE77" w14:textId="77777777" w:rsidR="002E6905" w:rsidRDefault="002E6905" w:rsidP="008E5982">
            <w:pPr>
              <w:jc w:val="center"/>
            </w:pPr>
            <w:r>
              <w:t>0</w:t>
            </w:r>
          </w:p>
        </w:tc>
        <w:tc>
          <w:tcPr>
            <w:tcW w:w="959" w:type="pct"/>
            <w:shd w:val="clear" w:color="auto" w:fill="FAF9F8"/>
          </w:tcPr>
          <w:p w14:paraId="4E2DA3D6" w14:textId="77777777" w:rsidR="002E6905" w:rsidRDefault="002E6905" w:rsidP="008E5982">
            <w:pPr>
              <w:jc w:val="center"/>
            </w:pPr>
            <w:r>
              <w:t>0</w:t>
            </w:r>
          </w:p>
        </w:tc>
        <w:tc>
          <w:tcPr>
            <w:tcW w:w="637" w:type="pct"/>
            <w:tcBorders>
              <w:right w:val="single" w:sz="4" w:space="0" w:color="FFFFFF" w:themeColor="background1"/>
            </w:tcBorders>
            <w:shd w:val="clear" w:color="auto" w:fill="FAF9F8"/>
          </w:tcPr>
          <w:p w14:paraId="47F322F5" w14:textId="77777777" w:rsidR="002E6905" w:rsidRDefault="002E6905" w:rsidP="008E5982">
            <w:pPr>
              <w:jc w:val="center"/>
            </w:pPr>
            <w:r>
              <w:t>68</w:t>
            </w:r>
          </w:p>
        </w:tc>
      </w:tr>
      <w:tr w:rsidR="002E6905" w14:paraId="78D0ADCE" w14:textId="77777777" w:rsidTr="002E6905">
        <w:tc>
          <w:tcPr>
            <w:tcW w:w="812" w:type="pct"/>
            <w:tcBorders>
              <w:left w:val="single" w:sz="4" w:space="0" w:color="FFFFFF" w:themeColor="background1"/>
            </w:tcBorders>
            <w:vAlign w:val="bottom"/>
          </w:tcPr>
          <w:p w14:paraId="31CDC651" w14:textId="719190E1" w:rsidR="002E6905" w:rsidRPr="002E6905" w:rsidRDefault="002E6905" w:rsidP="008E5982">
            <w:r w:rsidRPr="002E6905">
              <w:rPr>
                <w:rFonts w:eastAsia="Times New Roman" w:cs="Calibri"/>
                <w:bCs/>
                <w:color w:val="000000"/>
                <w:lang w:val="el" w:eastAsia="en-AU"/>
              </w:rPr>
              <w:t>Πρώιμη Παιδική Ηλικία</w:t>
            </w:r>
          </w:p>
        </w:tc>
        <w:tc>
          <w:tcPr>
            <w:tcW w:w="680" w:type="pct"/>
          </w:tcPr>
          <w:p w14:paraId="3E3DE186" w14:textId="149D7796" w:rsidR="002E6905" w:rsidRDefault="002E6905" w:rsidP="008E5982">
            <w:pPr>
              <w:jc w:val="center"/>
            </w:pPr>
            <w:r>
              <w:t>22</w:t>
            </w:r>
          </w:p>
        </w:tc>
        <w:tc>
          <w:tcPr>
            <w:tcW w:w="637" w:type="pct"/>
          </w:tcPr>
          <w:p w14:paraId="6701B22F" w14:textId="3BA0D800" w:rsidR="002E6905" w:rsidRDefault="002E6905" w:rsidP="008E5982">
            <w:pPr>
              <w:jc w:val="center"/>
            </w:pPr>
            <w:r>
              <w:t>43</w:t>
            </w:r>
          </w:p>
        </w:tc>
        <w:tc>
          <w:tcPr>
            <w:tcW w:w="637" w:type="pct"/>
          </w:tcPr>
          <w:p w14:paraId="471DB37A" w14:textId="248B54FD" w:rsidR="002E6905" w:rsidRDefault="002E6905" w:rsidP="008E5982">
            <w:pPr>
              <w:jc w:val="center"/>
            </w:pPr>
            <w:r>
              <w:t>7</w:t>
            </w:r>
          </w:p>
        </w:tc>
        <w:tc>
          <w:tcPr>
            <w:tcW w:w="637" w:type="pct"/>
          </w:tcPr>
          <w:p w14:paraId="597B3991" w14:textId="77777777" w:rsidR="002E6905" w:rsidRDefault="002E6905" w:rsidP="008E5982">
            <w:pPr>
              <w:jc w:val="center"/>
            </w:pPr>
            <w:r>
              <w:t>3</w:t>
            </w:r>
          </w:p>
        </w:tc>
        <w:tc>
          <w:tcPr>
            <w:tcW w:w="959" w:type="pct"/>
          </w:tcPr>
          <w:p w14:paraId="675C5F3E" w14:textId="77777777" w:rsidR="002E6905" w:rsidRDefault="002E6905" w:rsidP="008E5982">
            <w:pPr>
              <w:jc w:val="center"/>
            </w:pPr>
            <w:r>
              <w:t>1</w:t>
            </w:r>
          </w:p>
        </w:tc>
        <w:tc>
          <w:tcPr>
            <w:tcW w:w="637" w:type="pct"/>
            <w:tcBorders>
              <w:right w:val="single" w:sz="4" w:space="0" w:color="FFFFFF" w:themeColor="background1"/>
            </w:tcBorders>
          </w:tcPr>
          <w:p w14:paraId="5DBEB91E" w14:textId="77777777" w:rsidR="002E6905" w:rsidRDefault="002E6905" w:rsidP="008E5982">
            <w:pPr>
              <w:jc w:val="center"/>
            </w:pPr>
            <w:r>
              <w:t>76</w:t>
            </w:r>
          </w:p>
        </w:tc>
      </w:tr>
      <w:tr w:rsidR="002E6905" w14:paraId="678E0046" w14:textId="77777777" w:rsidTr="002E6905">
        <w:tc>
          <w:tcPr>
            <w:tcW w:w="812" w:type="pct"/>
            <w:tcBorders>
              <w:left w:val="single" w:sz="4" w:space="0" w:color="FFFFFF" w:themeColor="background1"/>
            </w:tcBorders>
            <w:shd w:val="clear" w:color="auto" w:fill="FAF9F8"/>
            <w:vAlign w:val="bottom"/>
          </w:tcPr>
          <w:p w14:paraId="78A8A5FA" w14:textId="79AEBF98" w:rsidR="002E6905" w:rsidRPr="002E6905" w:rsidRDefault="002E6905" w:rsidP="008E5982">
            <w:r w:rsidRPr="002E6905">
              <w:rPr>
                <w:rFonts w:eastAsia="Times New Roman" w:cs="Calibri"/>
                <w:bCs/>
                <w:color w:val="000000"/>
                <w:lang w:val="el" w:eastAsia="en-AU"/>
              </w:rPr>
              <w:t>Ασφάλεια</w:t>
            </w:r>
          </w:p>
        </w:tc>
        <w:tc>
          <w:tcPr>
            <w:tcW w:w="680" w:type="pct"/>
            <w:shd w:val="clear" w:color="auto" w:fill="FAF9F8"/>
          </w:tcPr>
          <w:p w14:paraId="78F4689E" w14:textId="77777777" w:rsidR="002E6905" w:rsidRDefault="002E6905" w:rsidP="008E5982">
            <w:pPr>
              <w:jc w:val="center"/>
            </w:pPr>
            <w:r>
              <w:t>49</w:t>
            </w:r>
          </w:p>
        </w:tc>
        <w:tc>
          <w:tcPr>
            <w:tcW w:w="637" w:type="pct"/>
            <w:shd w:val="clear" w:color="auto" w:fill="FAF9F8"/>
          </w:tcPr>
          <w:p w14:paraId="535E7EE4" w14:textId="77777777" w:rsidR="002E6905" w:rsidRDefault="002E6905" w:rsidP="008E5982">
            <w:pPr>
              <w:jc w:val="center"/>
            </w:pPr>
            <w:r>
              <w:t>52</w:t>
            </w:r>
          </w:p>
        </w:tc>
        <w:tc>
          <w:tcPr>
            <w:tcW w:w="637" w:type="pct"/>
            <w:shd w:val="clear" w:color="auto" w:fill="FAF9F8"/>
          </w:tcPr>
          <w:p w14:paraId="6B36D6A7" w14:textId="77777777" w:rsidR="002E6905" w:rsidRDefault="002E6905" w:rsidP="008E5982">
            <w:pPr>
              <w:jc w:val="center"/>
            </w:pPr>
            <w:r>
              <w:t>25</w:t>
            </w:r>
          </w:p>
        </w:tc>
        <w:tc>
          <w:tcPr>
            <w:tcW w:w="637" w:type="pct"/>
            <w:shd w:val="clear" w:color="auto" w:fill="FAF9F8"/>
          </w:tcPr>
          <w:p w14:paraId="31D5BF1A" w14:textId="77777777" w:rsidR="002E6905" w:rsidRDefault="002E6905" w:rsidP="008E5982">
            <w:pPr>
              <w:jc w:val="center"/>
            </w:pPr>
            <w:r>
              <w:t>4</w:t>
            </w:r>
          </w:p>
        </w:tc>
        <w:tc>
          <w:tcPr>
            <w:tcW w:w="959" w:type="pct"/>
            <w:shd w:val="clear" w:color="auto" w:fill="FAF9F8"/>
          </w:tcPr>
          <w:p w14:paraId="70111ACA" w14:textId="77777777" w:rsidR="002E6905" w:rsidRDefault="002E6905" w:rsidP="008E5982">
            <w:pPr>
              <w:jc w:val="center"/>
            </w:pPr>
            <w:r>
              <w:t>2</w:t>
            </w:r>
          </w:p>
        </w:tc>
        <w:tc>
          <w:tcPr>
            <w:tcW w:w="637" w:type="pct"/>
            <w:tcBorders>
              <w:right w:val="single" w:sz="4" w:space="0" w:color="FFFFFF" w:themeColor="background1"/>
            </w:tcBorders>
            <w:shd w:val="clear" w:color="auto" w:fill="FAF9F8"/>
          </w:tcPr>
          <w:p w14:paraId="5B3DA91F" w14:textId="77777777" w:rsidR="002E6905" w:rsidRDefault="002E6905" w:rsidP="008E5982">
            <w:pPr>
              <w:jc w:val="center"/>
            </w:pPr>
            <w:r>
              <w:t>132</w:t>
            </w:r>
          </w:p>
        </w:tc>
      </w:tr>
      <w:tr w:rsidR="002E6905" w14:paraId="5EC5808A" w14:textId="77777777" w:rsidTr="002E6905">
        <w:tc>
          <w:tcPr>
            <w:tcW w:w="812" w:type="pct"/>
            <w:tcBorders>
              <w:left w:val="single" w:sz="4" w:space="0" w:color="FFFFFF" w:themeColor="background1"/>
            </w:tcBorders>
            <w:vAlign w:val="bottom"/>
          </w:tcPr>
          <w:p w14:paraId="4DAD5A7D" w14:textId="551100A7" w:rsidR="002E6905" w:rsidRPr="002E6905" w:rsidRDefault="002E6905" w:rsidP="008E5982">
            <w:r w:rsidRPr="002E6905">
              <w:rPr>
                <w:rFonts w:eastAsia="Times New Roman" w:cs="Calibri"/>
                <w:bCs/>
                <w:color w:val="000000"/>
                <w:lang w:val="el" w:eastAsia="en-AU"/>
              </w:rPr>
              <w:t>Διαχείριση Περιστατικών Έκτακτης Ανάγκης</w:t>
            </w:r>
          </w:p>
        </w:tc>
        <w:tc>
          <w:tcPr>
            <w:tcW w:w="680" w:type="pct"/>
          </w:tcPr>
          <w:p w14:paraId="0E755E2E" w14:textId="77777777" w:rsidR="002E6905" w:rsidRDefault="002E6905" w:rsidP="008E5982">
            <w:pPr>
              <w:jc w:val="center"/>
            </w:pPr>
            <w:r>
              <w:t>21</w:t>
            </w:r>
          </w:p>
        </w:tc>
        <w:tc>
          <w:tcPr>
            <w:tcW w:w="637" w:type="pct"/>
          </w:tcPr>
          <w:p w14:paraId="47AACC59" w14:textId="77777777" w:rsidR="002E6905" w:rsidRDefault="002E6905" w:rsidP="008E5982">
            <w:pPr>
              <w:jc w:val="center"/>
            </w:pPr>
            <w:r>
              <w:t>34</w:t>
            </w:r>
          </w:p>
        </w:tc>
        <w:tc>
          <w:tcPr>
            <w:tcW w:w="637" w:type="pct"/>
          </w:tcPr>
          <w:p w14:paraId="7E6E50AA" w14:textId="77777777" w:rsidR="002E6905" w:rsidRDefault="002E6905" w:rsidP="008E5982">
            <w:pPr>
              <w:jc w:val="center"/>
            </w:pPr>
            <w:r>
              <w:t>3</w:t>
            </w:r>
          </w:p>
        </w:tc>
        <w:tc>
          <w:tcPr>
            <w:tcW w:w="637" w:type="pct"/>
          </w:tcPr>
          <w:p w14:paraId="69197DE5" w14:textId="77777777" w:rsidR="002E6905" w:rsidRDefault="002E6905" w:rsidP="008E5982">
            <w:pPr>
              <w:jc w:val="center"/>
            </w:pPr>
            <w:r>
              <w:t>0</w:t>
            </w:r>
          </w:p>
        </w:tc>
        <w:tc>
          <w:tcPr>
            <w:tcW w:w="959" w:type="pct"/>
          </w:tcPr>
          <w:p w14:paraId="11FFA903" w14:textId="77777777" w:rsidR="002E6905" w:rsidRDefault="002E6905" w:rsidP="008E5982">
            <w:pPr>
              <w:jc w:val="center"/>
            </w:pPr>
            <w:r>
              <w:t>0</w:t>
            </w:r>
          </w:p>
        </w:tc>
        <w:tc>
          <w:tcPr>
            <w:tcW w:w="637" w:type="pct"/>
            <w:tcBorders>
              <w:right w:val="single" w:sz="4" w:space="0" w:color="FFFFFF" w:themeColor="background1"/>
            </w:tcBorders>
          </w:tcPr>
          <w:p w14:paraId="1803A45F" w14:textId="77777777" w:rsidR="002E6905" w:rsidRDefault="002E6905" w:rsidP="008E5982">
            <w:pPr>
              <w:jc w:val="center"/>
            </w:pPr>
            <w:r>
              <w:t>58</w:t>
            </w:r>
          </w:p>
        </w:tc>
      </w:tr>
      <w:tr w:rsidR="002E6905" w14:paraId="54E3F3FD" w14:textId="77777777" w:rsidTr="002E6905">
        <w:tc>
          <w:tcPr>
            <w:tcW w:w="812" w:type="pct"/>
            <w:tcBorders>
              <w:left w:val="single" w:sz="4" w:space="0" w:color="FFFFFF" w:themeColor="background1"/>
            </w:tcBorders>
            <w:shd w:val="clear" w:color="auto" w:fill="E4E9F3"/>
            <w:vAlign w:val="bottom"/>
          </w:tcPr>
          <w:p w14:paraId="59E11888" w14:textId="6FD77D3F" w:rsidR="002E6905" w:rsidRPr="00E004AD" w:rsidRDefault="002E6905" w:rsidP="008E5982">
            <w:pPr>
              <w:rPr>
                <w:b/>
              </w:rPr>
            </w:pPr>
            <w:r w:rsidRPr="00B67C4E">
              <w:rPr>
                <w:rFonts w:eastAsia="Times New Roman" w:cs="Calibri"/>
                <w:b/>
                <w:bCs/>
                <w:color w:val="000000"/>
                <w:lang w:val="el" w:eastAsia="en-AU"/>
              </w:rPr>
              <w:t>Σύνολο</w:t>
            </w:r>
          </w:p>
        </w:tc>
        <w:tc>
          <w:tcPr>
            <w:tcW w:w="680" w:type="pct"/>
            <w:shd w:val="clear" w:color="auto" w:fill="E4E9F3"/>
          </w:tcPr>
          <w:p w14:paraId="2B76F08D" w14:textId="5607FB40" w:rsidR="002E6905" w:rsidRPr="00E004AD" w:rsidRDefault="002E6905" w:rsidP="008E5982">
            <w:pPr>
              <w:jc w:val="center"/>
              <w:rPr>
                <w:b/>
              </w:rPr>
            </w:pPr>
            <w:r>
              <w:rPr>
                <w:b/>
              </w:rPr>
              <w:t>144</w:t>
            </w:r>
          </w:p>
        </w:tc>
        <w:tc>
          <w:tcPr>
            <w:tcW w:w="637" w:type="pct"/>
            <w:shd w:val="clear" w:color="auto" w:fill="E4E9F3"/>
          </w:tcPr>
          <w:p w14:paraId="0CF70E38" w14:textId="10483159" w:rsidR="002E6905" w:rsidRPr="00E004AD" w:rsidRDefault="002E6905" w:rsidP="008E5982">
            <w:pPr>
              <w:jc w:val="center"/>
              <w:rPr>
                <w:b/>
              </w:rPr>
            </w:pPr>
            <w:r>
              <w:rPr>
                <w:b/>
              </w:rPr>
              <w:t>209</w:t>
            </w:r>
          </w:p>
        </w:tc>
        <w:tc>
          <w:tcPr>
            <w:tcW w:w="637" w:type="pct"/>
            <w:shd w:val="clear" w:color="auto" w:fill="E4E9F3"/>
          </w:tcPr>
          <w:p w14:paraId="7CE92845" w14:textId="3C99E917" w:rsidR="002E6905" w:rsidRPr="00E004AD" w:rsidRDefault="002E6905" w:rsidP="008E5982">
            <w:pPr>
              <w:jc w:val="center"/>
              <w:rPr>
                <w:b/>
              </w:rPr>
            </w:pPr>
            <w:r>
              <w:rPr>
                <w:b/>
              </w:rPr>
              <w:t>54</w:t>
            </w:r>
          </w:p>
        </w:tc>
        <w:tc>
          <w:tcPr>
            <w:tcW w:w="637" w:type="pct"/>
            <w:shd w:val="clear" w:color="auto" w:fill="E4E9F3"/>
          </w:tcPr>
          <w:p w14:paraId="17BAEC89" w14:textId="77777777" w:rsidR="002E6905" w:rsidRPr="00E004AD" w:rsidRDefault="002E6905" w:rsidP="008E5982">
            <w:pPr>
              <w:jc w:val="center"/>
              <w:rPr>
                <w:b/>
              </w:rPr>
            </w:pPr>
            <w:r>
              <w:rPr>
                <w:b/>
              </w:rPr>
              <w:t>7</w:t>
            </w:r>
          </w:p>
        </w:tc>
        <w:tc>
          <w:tcPr>
            <w:tcW w:w="959" w:type="pct"/>
            <w:shd w:val="clear" w:color="auto" w:fill="E4E9F3"/>
          </w:tcPr>
          <w:p w14:paraId="7910F4D8" w14:textId="77777777" w:rsidR="002E6905" w:rsidRPr="00E004AD" w:rsidRDefault="002E6905" w:rsidP="008E5982">
            <w:pPr>
              <w:jc w:val="center"/>
              <w:rPr>
                <w:b/>
              </w:rPr>
            </w:pPr>
            <w:r>
              <w:rPr>
                <w:b/>
              </w:rPr>
              <w:t>3</w:t>
            </w:r>
          </w:p>
        </w:tc>
        <w:tc>
          <w:tcPr>
            <w:tcW w:w="637" w:type="pct"/>
            <w:tcBorders>
              <w:right w:val="single" w:sz="4" w:space="0" w:color="FFFFFF" w:themeColor="background1"/>
            </w:tcBorders>
            <w:shd w:val="clear" w:color="auto" w:fill="E4E9F3"/>
          </w:tcPr>
          <w:p w14:paraId="1A8E01B3" w14:textId="77777777" w:rsidR="002E6905" w:rsidRPr="00E004AD" w:rsidRDefault="002E6905" w:rsidP="008E5982">
            <w:pPr>
              <w:jc w:val="center"/>
              <w:rPr>
                <w:b/>
              </w:rPr>
            </w:pPr>
            <w:r>
              <w:rPr>
                <w:b/>
              </w:rPr>
              <w:t>417</w:t>
            </w:r>
          </w:p>
        </w:tc>
      </w:tr>
      <w:tr w:rsidR="002E6905" w14:paraId="434C7C47" w14:textId="77777777" w:rsidTr="002E6905">
        <w:tc>
          <w:tcPr>
            <w:tcW w:w="812" w:type="pct"/>
            <w:tcBorders>
              <w:left w:val="single" w:sz="4" w:space="0" w:color="FFFFFF" w:themeColor="background1"/>
              <w:bottom w:val="single" w:sz="4" w:space="0" w:color="FFFFFF" w:themeColor="background1"/>
            </w:tcBorders>
            <w:vAlign w:val="bottom"/>
          </w:tcPr>
          <w:p w14:paraId="48140115" w14:textId="716916AC" w:rsidR="002E6905" w:rsidRPr="00E004AD" w:rsidRDefault="002E6905" w:rsidP="008E5982">
            <w:pPr>
              <w:rPr>
                <w:b/>
              </w:rPr>
            </w:pPr>
            <w:r w:rsidRPr="00B67C4E">
              <w:rPr>
                <w:rFonts w:eastAsia="Times New Roman" w:cs="Calibri"/>
                <w:b/>
                <w:bCs/>
                <w:color w:val="000000"/>
                <w:lang w:val="el" w:eastAsia="en-AU"/>
              </w:rPr>
              <w:t>Ποσοστό</w:t>
            </w:r>
          </w:p>
        </w:tc>
        <w:tc>
          <w:tcPr>
            <w:tcW w:w="680" w:type="pct"/>
            <w:tcBorders>
              <w:bottom w:val="single" w:sz="4" w:space="0" w:color="FFFFFF" w:themeColor="background1"/>
            </w:tcBorders>
          </w:tcPr>
          <w:p w14:paraId="427A6A1B" w14:textId="28ED0EE3" w:rsidR="002E6905" w:rsidRPr="00E004AD" w:rsidRDefault="002E6905" w:rsidP="00C43D7A">
            <w:pPr>
              <w:jc w:val="center"/>
              <w:rPr>
                <w:b/>
              </w:rPr>
            </w:pPr>
            <w:r>
              <w:rPr>
                <w:b/>
              </w:rPr>
              <w:t>35%</w:t>
            </w:r>
          </w:p>
        </w:tc>
        <w:tc>
          <w:tcPr>
            <w:tcW w:w="637" w:type="pct"/>
            <w:tcBorders>
              <w:bottom w:val="single" w:sz="4" w:space="0" w:color="FFFFFF" w:themeColor="background1"/>
            </w:tcBorders>
          </w:tcPr>
          <w:p w14:paraId="6D4561BA" w14:textId="77777777" w:rsidR="002E6905" w:rsidRPr="00E004AD" w:rsidRDefault="002E6905" w:rsidP="008E5982">
            <w:pPr>
              <w:jc w:val="center"/>
              <w:rPr>
                <w:b/>
              </w:rPr>
            </w:pPr>
            <w:r>
              <w:rPr>
                <w:b/>
              </w:rPr>
              <w:t>50%</w:t>
            </w:r>
          </w:p>
        </w:tc>
        <w:tc>
          <w:tcPr>
            <w:tcW w:w="637" w:type="pct"/>
            <w:tcBorders>
              <w:bottom w:val="single" w:sz="4" w:space="0" w:color="FFFFFF" w:themeColor="background1"/>
            </w:tcBorders>
          </w:tcPr>
          <w:p w14:paraId="19C30732" w14:textId="2960DEBA" w:rsidR="002E6905" w:rsidRPr="00E004AD" w:rsidRDefault="002E6905" w:rsidP="00400E39">
            <w:pPr>
              <w:jc w:val="center"/>
              <w:rPr>
                <w:b/>
              </w:rPr>
            </w:pPr>
            <w:r>
              <w:rPr>
                <w:b/>
              </w:rPr>
              <w:t>13%</w:t>
            </w:r>
          </w:p>
        </w:tc>
        <w:tc>
          <w:tcPr>
            <w:tcW w:w="637" w:type="pct"/>
            <w:tcBorders>
              <w:bottom w:val="single" w:sz="4" w:space="0" w:color="FFFFFF" w:themeColor="background1"/>
            </w:tcBorders>
          </w:tcPr>
          <w:p w14:paraId="69F7CEEC" w14:textId="77777777" w:rsidR="002E6905" w:rsidRPr="00E004AD" w:rsidRDefault="002E6905" w:rsidP="008E5982">
            <w:pPr>
              <w:jc w:val="center"/>
              <w:rPr>
                <w:b/>
              </w:rPr>
            </w:pPr>
            <w:r>
              <w:rPr>
                <w:b/>
              </w:rPr>
              <w:t>2%</w:t>
            </w:r>
          </w:p>
        </w:tc>
        <w:tc>
          <w:tcPr>
            <w:tcW w:w="959" w:type="pct"/>
            <w:tcBorders>
              <w:bottom w:val="single" w:sz="4" w:space="0" w:color="FFFFFF" w:themeColor="background1"/>
            </w:tcBorders>
          </w:tcPr>
          <w:p w14:paraId="62CA11B1" w14:textId="77777777" w:rsidR="002E6905" w:rsidRPr="00E004AD" w:rsidRDefault="002E6905" w:rsidP="008E5982">
            <w:pPr>
              <w:jc w:val="center"/>
              <w:rPr>
                <w:b/>
              </w:rPr>
            </w:pPr>
            <w:r>
              <w:rPr>
                <w:b/>
              </w:rPr>
              <w:t>1%</w:t>
            </w:r>
          </w:p>
        </w:tc>
        <w:tc>
          <w:tcPr>
            <w:tcW w:w="637" w:type="pct"/>
            <w:tcBorders>
              <w:bottom w:val="single" w:sz="4" w:space="0" w:color="FFFFFF" w:themeColor="background1"/>
              <w:right w:val="single" w:sz="4" w:space="0" w:color="FFFFFF" w:themeColor="background1"/>
            </w:tcBorders>
          </w:tcPr>
          <w:p w14:paraId="7D15AAF5" w14:textId="77777777" w:rsidR="002E6905" w:rsidRPr="00E004AD" w:rsidRDefault="002E6905" w:rsidP="008E5982">
            <w:pPr>
              <w:jc w:val="center"/>
              <w:rPr>
                <w:b/>
              </w:rPr>
            </w:pPr>
          </w:p>
        </w:tc>
      </w:tr>
    </w:tbl>
    <w:p w14:paraId="6848929F" w14:textId="65C213A6" w:rsidR="00B875C3" w:rsidRPr="004B6F53" w:rsidRDefault="00F54F3B" w:rsidP="002E47A1">
      <w:pPr>
        <w:spacing w:before="240" w:after="240"/>
        <w:rPr>
          <w:sz w:val="20"/>
          <w:szCs w:val="20"/>
        </w:rPr>
      </w:pPr>
      <w:r>
        <w:rPr>
          <w:sz w:val="20"/>
          <w:lang w:val="fr-FR"/>
        </w:rPr>
        <w:t>Remarque : les pourcentages étant arrondis, ils ne sont pas toujours égaux à 100.</w:t>
      </w:r>
      <w:r w:rsidR="00B875C3" w:rsidRPr="004B6F53">
        <w:rPr>
          <w:sz w:val="20"/>
          <w:szCs w:val="20"/>
        </w:rPr>
        <w:t xml:space="preserve"> </w:t>
      </w:r>
    </w:p>
    <w:sectPr w:rsidR="00B875C3" w:rsidRPr="004B6F53" w:rsidSect="00BE6FD4">
      <w:footerReference w:type="default" r:id="rId22"/>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AE330" w14:textId="77777777" w:rsidR="00504E88" w:rsidRDefault="00504E88" w:rsidP="00B04ED8">
      <w:pPr>
        <w:spacing w:after="0" w:line="240" w:lineRule="auto"/>
      </w:pPr>
      <w:r>
        <w:separator/>
      </w:r>
    </w:p>
  </w:endnote>
  <w:endnote w:type="continuationSeparator" w:id="0">
    <w:p w14:paraId="42740353" w14:textId="77777777" w:rsidR="00504E88" w:rsidRDefault="00504E88"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504E88" w:rsidRPr="008D68E6" w:rsidRDefault="00504E88" w:rsidP="000842DE">
        <w:pPr>
          <w:pStyle w:val="Footer"/>
          <w:pBdr>
            <w:top w:val="single" w:sz="24" w:space="1" w:color="E5E8F2"/>
          </w:pBdr>
          <w:jc w:val="right"/>
          <w:rPr>
            <w:rFonts w:ascii="Calibri" w:hAnsi="Calibri" w:cs="Calibri"/>
            <w:color w:val="939698"/>
            <w:sz w:val="20"/>
            <w:szCs w:val="20"/>
          </w:rPr>
        </w:pPr>
      </w:p>
      <w:p w14:paraId="58322F3C" w14:textId="725F8C96" w:rsidR="00504E88" w:rsidRPr="008D68E6" w:rsidRDefault="00504E88" w:rsidP="000842DE">
        <w:pPr>
          <w:pStyle w:val="Footer"/>
          <w:pBdr>
            <w:top w:val="single" w:sz="24" w:space="1" w:color="E5E8F2"/>
          </w:pBdr>
          <w:jc w:val="right"/>
          <w:rPr>
            <w:rFonts w:ascii="Calibri" w:hAnsi="Calibri" w:cs="Calibri"/>
            <w:sz w:val="20"/>
            <w:szCs w:val="20"/>
          </w:rPr>
        </w:pPr>
        <w:r w:rsidRPr="005D49DC">
          <w:rPr>
            <w:rFonts w:ascii="Calibri" w:hAnsi="Calibri" w:cs="Calibri"/>
            <w:color w:val="000000" w:themeColor="text1"/>
            <w:sz w:val="20"/>
            <w:szCs w:val="20"/>
          </w:rPr>
          <w:t xml:space="preserve">Rapport </w:t>
        </w:r>
        <w:proofErr w:type="spellStart"/>
        <w:r w:rsidRPr="005D49DC">
          <w:rPr>
            <w:rFonts w:ascii="Calibri" w:hAnsi="Calibri" w:cs="Calibri"/>
            <w:color w:val="000000" w:themeColor="text1"/>
            <w:sz w:val="20"/>
            <w:szCs w:val="20"/>
          </w:rPr>
          <w:t>sur</w:t>
        </w:r>
        <w:proofErr w:type="spellEnd"/>
        <w:r w:rsidRPr="005D49DC">
          <w:rPr>
            <w:rFonts w:ascii="Calibri" w:hAnsi="Calibri" w:cs="Calibri"/>
            <w:color w:val="000000" w:themeColor="text1"/>
            <w:sz w:val="20"/>
            <w:szCs w:val="20"/>
          </w:rPr>
          <w:t xml:space="preserve"> les Plans </w:t>
        </w:r>
        <w:proofErr w:type="spellStart"/>
        <w:r w:rsidRPr="005D49DC">
          <w:rPr>
            <w:rFonts w:ascii="Calibri" w:hAnsi="Calibri" w:cs="Calibri"/>
            <w:color w:val="000000" w:themeColor="text1"/>
            <w:sz w:val="20"/>
            <w:szCs w:val="20"/>
          </w:rPr>
          <w:t>d’actions</w:t>
        </w:r>
        <w:proofErr w:type="spellEnd"/>
        <w:r w:rsidRPr="005D49DC">
          <w:rPr>
            <w:rFonts w:ascii="Calibri" w:hAnsi="Calibri" w:cs="Calibri"/>
            <w:color w:val="000000" w:themeColor="text1"/>
            <w:sz w:val="20"/>
            <w:szCs w:val="20"/>
          </w:rPr>
          <w:t xml:space="preserve"> </w:t>
        </w:r>
        <w:proofErr w:type="spellStart"/>
        <w:r w:rsidRPr="005D49DC">
          <w:rPr>
            <w:rFonts w:ascii="Calibri" w:hAnsi="Calibri" w:cs="Calibri"/>
            <w:color w:val="000000" w:themeColor="text1"/>
            <w:sz w:val="20"/>
            <w:szCs w:val="20"/>
          </w:rPr>
          <w:t>ciblés</w:t>
        </w:r>
        <w:proofErr w:type="spellEnd"/>
        <w:r w:rsidRPr="005D49DC">
          <w:rPr>
            <w:rFonts w:ascii="Calibri" w:hAnsi="Calibri" w:cs="Calibri"/>
            <w:color w:val="000000" w:themeColor="text1"/>
            <w:sz w:val="20"/>
            <w:szCs w:val="20"/>
          </w:rPr>
          <w:t>, 1</w:t>
        </w:r>
        <w:r w:rsidRPr="005D49DC">
          <w:rPr>
            <w:rFonts w:ascii="Calibri" w:hAnsi="Calibri" w:cs="Calibri"/>
            <w:color w:val="000000" w:themeColor="text1"/>
            <w:sz w:val="20"/>
            <w:szCs w:val="20"/>
            <w:vertAlign w:val="superscript"/>
          </w:rPr>
          <w:t>er</w:t>
        </w:r>
        <w:r w:rsidRPr="005D49DC">
          <w:rPr>
            <w:rFonts w:ascii="Calibri" w:hAnsi="Calibri" w:cs="Calibri"/>
            <w:color w:val="000000" w:themeColor="text1"/>
            <w:sz w:val="20"/>
            <w:szCs w:val="20"/>
          </w:rPr>
          <w:t xml:space="preserve"> </w:t>
        </w:r>
        <w:proofErr w:type="spellStart"/>
        <w:r w:rsidRPr="005D49DC">
          <w:rPr>
            <w:rFonts w:ascii="Calibri" w:hAnsi="Calibri" w:cs="Calibri"/>
            <w:color w:val="000000" w:themeColor="text1"/>
            <w:sz w:val="20"/>
            <w:szCs w:val="20"/>
          </w:rPr>
          <w:t>juillet</w:t>
        </w:r>
        <w:proofErr w:type="spellEnd"/>
        <w:r w:rsidRPr="005D49DC">
          <w:rPr>
            <w:rFonts w:ascii="Calibri" w:hAnsi="Calibri" w:cs="Calibri"/>
            <w:color w:val="000000" w:themeColor="text1"/>
            <w:sz w:val="20"/>
            <w:szCs w:val="20"/>
          </w:rPr>
          <w:t xml:space="preserve"> 2022 - 30 </w:t>
        </w:r>
        <w:proofErr w:type="spellStart"/>
        <w:r w:rsidRPr="005D49DC">
          <w:rPr>
            <w:rFonts w:ascii="Calibri" w:hAnsi="Calibri" w:cs="Calibri"/>
            <w:color w:val="000000" w:themeColor="text1"/>
            <w:sz w:val="20"/>
            <w:szCs w:val="20"/>
          </w:rPr>
          <w:t>juin</w:t>
        </w:r>
        <w:proofErr w:type="spellEnd"/>
        <w:r w:rsidRPr="005D49DC">
          <w:rPr>
            <w:rFonts w:ascii="Calibri" w:hAnsi="Calibri" w:cs="Calibri"/>
            <w:color w:val="000000" w:themeColor="text1"/>
            <w:sz w:val="20"/>
            <w:szCs w:val="20"/>
          </w:rPr>
          <w:t xml:space="preserve">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DF1353">
          <w:rPr>
            <w:rFonts w:ascii="Calibri" w:hAnsi="Calibri" w:cs="Calibri"/>
            <w:noProof/>
            <w:sz w:val="20"/>
            <w:szCs w:val="20"/>
          </w:rPr>
          <w:t>II</w:t>
        </w:r>
        <w:r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504E88" w:rsidRPr="008D68E6" w:rsidRDefault="00504E88" w:rsidP="000842DE">
        <w:pPr>
          <w:pStyle w:val="Footer"/>
          <w:pBdr>
            <w:top w:val="single" w:sz="24" w:space="1" w:color="E5E8F2"/>
          </w:pBdr>
          <w:jc w:val="right"/>
          <w:rPr>
            <w:rFonts w:ascii="Calibri" w:hAnsi="Calibri" w:cs="Calibri"/>
            <w:color w:val="939698"/>
            <w:sz w:val="20"/>
            <w:szCs w:val="20"/>
          </w:rPr>
        </w:pPr>
      </w:p>
      <w:p w14:paraId="1814014A" w14:textId="5E7AE6DE" w:rsidR="00504E88" w:rsidRPr="008D68E6" w:rsidRDefault="00504E88" w:rsidP="000842DE">
        <w:pPr>
          <w:pStyle w:val="Footer"/>
          <w:pBdr>
            <w:top w:val="single" w:sz="24" w:space="1" w:color="E5E8F2"/>
          </w:pBdr>
          <w:jc w:val="right"/>
          <w:rPr>
            <w:rFonts w:ascii="Calibri" w:hAnsi="Calibri" w:cs="Calibri"/>
            <w:sz w:val="20"/>
            <w:szCs w:val="20"/>
          </w:rPr>
        </w:pPr>
        <w:r w:rsidRPr="005D49DC">
          <w:rPr>
            <w:rFonts w:ascii="Calibri" w:hAnsi="Calibri" w:cs="Calibri"/>
            <w:color w:val="000000" w:themeColor="text1"/>
            <w:sz w:val="20"/>
            <w:szCs w:val="20"/>
          </w:rPr>
          <w:t xml:space="preserve">Rapport </w:t>
        </w:r>
        <w:proofErr w:type="spellStart"/>
        <w:r w:rsidRPr="005D49DC">
          <w:rPr>
            <w:rFonts w:ascii="Calibri" w:hAnsi="Calibri" w:cs="Calibri"/>
            <w:color w:val="000000" w:themeColor="text1"/>
            <w:sz w:val="20"/>
            <w:szCs w:val="20"/>
          </w:rPr>
          <w:t>sur</w:t>
        </w:r>
        <w:proofErr w:type="spellEnd"/>
        <w:r w:rsidRPr="005D49DC">
          <w:rPr>
            <w:rFonts w:ascii="Calibri" w:hAnsi="Calibri" w:cs="Calibri"/>
            <w:color w:val="000000" w:themeColor="text1"/>
            <w:sz w:val="20"/>
            <w:szCs w:val="20"/>
          </w:rPr>
          <w:t xml:space="preserve"> les Plans </w:t>
        </w:r>
        <w:proofErr w:type="spellStart"/>
        <w:r w:rsidRPr="005D49DC">
          <w:rPr>
            <w:rFonts w:ascii="Calibri" w:hAnsi="Calibri" w:cs="Calibri"/>
            <w:color w:val="000000" w:themeColor="text1"/>
            <w:sz w:val="20"/>
            <w:szCs w:val="20"/>
          </w:rPr>
          <w:t>d’actions</w:t>
        </w:r>
        <w:proofErr w:type="spellEnd"/>
        <w:r w:rsidRPr="005D49DC">
          <w:rPr>
            <w:rFonts w:ascii="Calibri" w:hAnsi="Calibri" w:cs="Calibri"/>
            <w:color w:val="000000" w:themeColor="text1"/>
            <w:sz w:val="20"/>
            <w:szCs w:val="20"/>
          </w:rPr>
          <w:t xml:space="preserve"> </w:t>
        </w:r>
        <w:proofErr w:type="spellStart"/>
        <w:r w:rsidRPr="005D49DC">
          <w:rPr>
            <w:rFonts w:ascii="Calibri" w:hAnsi="Calibri" w:cs="Calibri"/>
            <w:color w:val="000000" w:themeColor="text1"/>
            <w:sz w:val="20"/>
            <w:szCs w:val="20"/>
          </w:rPr>
          <w:t>ciblés</w:t>
        </w:r>
        <w:proofErr w:type="spellEnd"/>
        <w:r w:rsidRPr="005D49DC">
          <w:rPr>
            <w:rFonts w:ascii="Calibri" w:hAnsi="Calibri" w:cs="Calibri"/>
            <w:color w:val="000000" w:themeColor="text1"/>
            <w:sz w:val="20"/>
            <w:szCs w:val="20"/>
          </w:rPr>
          <w:t>, 1</w:t>
        </w:r>
        <w:r w:rsidRPr="005D49DC">
          <w:rPr>
            <w:rFonts w:ascii="Calibri" w:hAnsi="Calibri" w:cs="Calibri"/>
            <w:color w:val="000000" w:themeColor="text1"/>
            <w:sz w:val="20"/>
            <w:szCs w:val="20"/>
            <w:vertAlign w:val="superscript"/>
          </w:rPr>
          <w:t>er</w:t>
        </w:r>
        <w:r w:rsidRPr="005D49DC">
          <w:rPr>
            <w:rFonts w:ascii="Calibri" w:hAnsi="Calibri" w:cs="Calibri"/>
            <w:color w:val="000000" w:themeColor="text1"/>
            <w:sz w:val="20"/>
            <w:szCs w:val="20"/>
          </w:rPr>
          <w:t xml:space="preserve"> </w:t>
        </w:r>
        <w:proofErr w:type="spellStart"/>
        <w:r w:rsidRPr="005D49DC">
          <w:rPr>
            <w:rFonts w:ascii="Calibri" w:hAnsi="Calibri" w:cs="Calibri"/>
            <w:color w:val="000000" w:themeColor="text1"/>
            <w:sz w:val="20"/>
            <w:szCs w:val="20"/>
          </w:rPr>
          <w:t>juillet</w:t>
        </w:r>
        <w:proofErr w:type="spellEnd"/>
        <w:r w:rsidRPr="005D49DC">
          <w:rPr>
            <w:rFonts w:ascii="Calibri" w:hAnsi="Calibri" w:cs="Calibri"/>
            <w:color w:val="000000" w:themeColor="text1"/>
            <w:sz w:val="20"/>
            <w:szCs w:val="20"/>
          </w:rPr>
          <w:t xml:space="preserve"> 2022 - 30 </w:t>
        </w:r>
        <w:proofErr w:type="spellStart"/>
        <w:r w:rsidRPr="005D49DC">
          <w:rPr>
            <w:rFonts w:ascii="Calibri" w:hAnsi="Calibri" w:cs="Calibri"/>
            <w:color w:val="000000" w:themeColor="text1"/>
            <w:sz w:val="20"/>
            <w:szCs w:val="20"/>
          </w:rPr>
          <w:t>juin</w:t>
        </w:r>
        <w:proofErr w:type="spellEnd"/>
        <w:r w:rsidRPr="005D49DC">
          <w:rPr>
            <w:rFonts w:ascii="Calibri" w:hAnsi="Calibri" w:cs="Calibri"/>
            <w:color w:val="000000" w:themeColor="text1"/>
            <w:sz w:val="20"/>
            <w:szCs w:val="20"/>
          </w:rPr>
          <w:t xml:space="preserve">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DF1353">
          <w:rPr>
            <w:rFonts w:ascii="Calibri" w:hAnsi="Calibri" w:cs="Calibri"/>
            <w:noProof/>
            <w:sz w:val="20"/>
            <w:szCs w:val="20"/>
          </w:rPr>
          <w:t>5</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B50E7" w14:textId="77777777" w:rsidR="00504E88" w:rsidRDefault="00504E88" w:rsidP="00B04ED8">
      <w:pPr>
        <w:spacing w:after="0" w:line="240" w:lineRule="auto"/>
      </w:pPr>
      <w:r>
        <w:separator/>
      </w:r>
    </w:p>
  </w:footnote>
  <w:footnote w:type="continuationSeparator" w:id="0">
    <w:p w14:paraId="6D32BA53" w14:textId="77777777" w:rsidR="00504E88" w:rsidRDefault="00504E88" w:rsidP="00B04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9601F6"/>
    <w:multiLevelType w:val="hybridMultilevel"/>
    <w:tmpl w:val="AC5CB138"/>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294255B"/>
    <w:multiLevelType w:val="hybridMultilevel"/>
    <w:tmpl w:val="8E527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896010"/>
    <w:multiLevelType w:val="hybridMultilevel"/>
    <w:tmpl w:val="180041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AB31D7"/>
    <w:multiLevelType w:val="hybridMultilevel"/>
    <w:tmpl w:val="7E28294C"/>
    <w:lvl w:ilvl="0" w:tplc="EADEDFB2">
      <w:start w:val="1"/>
      <w:numFmt w:val="bullet"/>
      <w:lvlText w:val=""/>
      <w:lvlJc w:val="left"/>
      <w:pPr>
        <w:ind w:left="720" w:hanging="360"/>
      </w:pPr>
      <w:rPr>
        <w:rFonts w:ascii="Symbol" w:hAnsi="Symbol" w:hint="default"/>
      </w:rPr>
    </w:lvl>
    <w:lvl w:ilvl="1" w:tplc="51BE354C">
      <w:start w:val="1"/>
      <w:numFmt w:val="bullet"/>
      <w:lvlText w:val="o"/>
      <w:lvlJc w:val="left"/>
      <w:pPr>
        <w:ind w:left="1440" w:hanging="360"/>
      </w:pPr>
      <w:rPr>
        <w:rFonts w:ascii="Courier New" w:hAnsi="Courier New" w:cs="Courier New" w:hint="default"/>
      </w:rPr>
    </w:lvl>
    <w:lvl w:ilvl="2" w:tplc="2C74E9EE">
      <w:start w:val="1"/>
      <w:numFmt w:val="bullet"/>
      <w:lvlText w:val=""/>
      <w:lvlJc w:val="left"/>
      <w:pPr>
        <w:ind w:left="2160" w:hanging="360"/>
      </w:pPr>
      <w:rPr>
        <w:rFonts w:ascii="Symbol" w:hAnsi="Symbol" w:hint="default"/>
      </w:rPr>
    </w:lvl>
    <w:lvl w:ilvl="3" w:tplc="099CE940" w:tentative="1">
      <w:start w:val="1"/>
      <w:numFmt w:val="bullet"/>
      <w:lvlText w:val=""/>
      <w:lvlJc w:val="left"/>
      <w:pPr>
        <w:ind w:left="2880" w:hanging="360"/>
      </w:pPr>
      <w:rPr>
        <w:rFonts w:ascii="Symbol" w:hAnsi="Symbol" w:hint="default"/>
      </w:rPr>
    </w:lvl>
    <w:lvl w:ilvl="4" w:tplc="DEA64928" w:tentative="1">
      <w:start w:val="1"/>
      <w:numFmt w:val="bullet"/>
      <w:lvlText w:val="o"/>
      <w:lvlJc w:val="left"/>
      <w:pPr>
        <w:ind w:left="3600" w:hanging="360"/>
      </w:pPr>
      <w:rPr>
        <w:rFonts w:ascii="Courier New" w:hAnsi="Courier New" w:cs="Courier New" w:hint="default"/>
      </w:rPr>
    </w:lvl>
    <w:lvl w:ilvl="5" w:tplc="D292AF6C" w:tentative="1">
      <w:start w:val="1"/>
      <w:numFmt w:val="bullet"/>
      <w:lvlText w:val=""/>
      <w:lvlJc w:val="left"/>
      <w:pPr>
        <w:ind w:left="4320" w:hanging="360"/>
      </w:pPr>
      <w:rPr>
        <w:rFonts w:ascii="Wingdings" w:hAnsi="Wingdings" w:hint="default"/>
      </w:rPr>
    </w:lvl>
    <w:lvl w:ilvl="6" w:tplc="6978B444" w:tentative="1">
      <w:start w:val="1"/>
      <w:numFmt w:val="bullet"/>
      <w:lvlText w:val=""/>
      <w:lvlJc w:val="left"/>
      <w:pPr>
        <w:ind w:left="5040" w:hanging="360"/>
      </w:pPr>
      <w:rPr>
        <w:rFonts w:ascii="Symbol" w:hAnsi="Symbol" w:hint="default"/>
      </w:rPr>
    </w:lvl>
    <w:lvl w:ilvl="7" w:tplc="20B40D9A" w:tentative="1">
      <w:start w:val="1"/>
      <w:numFmt w:val="bullet"/>
      <w:lvlText w:val="o"/>
      <w:lvlJc w:val="left"/>
      <w:pPr>
        <w:ind w:left="5760" w:hanging="360"/>
      </w:pPr>
      <w:rPr>
        <w:rFonts w:ascii="Courier New" w:hAnsi="Courier New" w:cs="Courier New" w:hint="default"/>
      </w:rPr>
    </w:lvl>
    <w:lvl w:ilvl="8" w:tplc="218418F2" w:tentative="1">
      <w:start w:val="1"/>
      <w:numFmt w:val="bullet"/>
      <w:lvlText w:val=""/>
      <w:lvlJc w:val="left"/>
      <w:pPr>
        <w:ind w:left="6480" w:hanging="360"/>
      </w:pPr>
      <w:rPr>
        <w:rFonts w:ascii="Wingdings" w:hAnsi="Wingdings" w:hint="default"/>
      </w:rPr>
    </w:lvl>
  </w:abstractNum>
  <w:abstractNum w:abstractNumId="6">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0B29513E"/>
    <w:multiLevelType w:val="hybridMultilevel"/>
    <w:tmpl w:val="B10E1982"/>
    <w:lvl w:ilvl="0" w:tplc="FFFFFFFF">
      <w:numFmt w:val="bullet"/>
      <w:lvlText w:val="•"/>
      <w:lvlJc w:val="left"/>
      <w:pPr>
        <w:ind w:left="720" w:hanging="360"/>
      </w:pPr>
      <w:rPr>
        <w:rFonts w:ascii="Calibri" w:eastAsiaTheme="minorHAnsi" w:hAnsi="Calibri" w:cs="Calibri" w:hint="default"/>
      </w:rPr>
    </w:lvl>
    <w:lvl w:ilvl="1" w:tplc="AF76C34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DC611E9"/>
    <w:multiLevelType w:val="hybridMultilevel"/>
    <w:tmpl w:val="E0082D8C"/>
    <w:lvl w:ilvl="0" w:tplc="4D448276">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DD25280"/>
    <w:multiLevelType w:val="hybridMultilevel"/>
    <w:tmpl w:val="BF1A0322"/>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AA02EF"/>
    <w:multiLevelType w:val="hybridMultilevel"/>
    <w:tmpl w:val="8162EEA4"/>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2114FC1"/>
    <w:multiLevelType w:val="hybridMultilevel"/>
    <w:tmpl w:val="BC00D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2601B6"/>
    <w:multiLevelType w:val="hybridMultilevel"/>
    <w:tmpl w:val="AB44F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5964E36"/>
    <w:multiLevelType w:val="hybridMultilevel"/>
    <w:tmpl w:val="46A0C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5EF35B3"/>
    <w:multiLevelType w:val="hybridMultilevel"/>
    <w:tmpl w:val="1642218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18BA4DB1"/>
    <w:multiLevelType w:val="hybridMultilevel"/>
    <w:tmpl w:val="79B6C0D6"/>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A3A64F9"/>
    <w:multiLevelType w:val="hybridMultilevel"/>
    <w:tmpl w:val="E56C0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7C15515"/>
    <w:multiLevelType w:val="hybridMultilevel"/>
    <w:tmpl w:val="917CB626"/>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B675A48"/>
    <w:multiLevelType w:val="hybridMultilevel"/>
    <w:tmpl w:val="A8F2E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182672"/>
    <w:multiLevelType w:val="hybridMultilevel"/>
    <w:tmpl w:val="1892D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7E2BCD"/>
    <w:multiLevelType w:val="hybridMultilevel"/>
    <w:tmpl w:val="38628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3B8813BF"/>
    <w:multiLevelType w:val="hybridMultilevel"/>
    <w:tmpl w:val="8C68F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29">
    <w:nsid w:val="419C3443"/>
    <w:multiLevelType w:val="hybridMultilevel"/>
    <w:tmpl w:val="3D84615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3D1596C"/>
    <w:multiLevelType w:val="hybridMultilevel"/>
    <w:tmpl w:val="40BE1F1A"/>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F791D06"/>
    <w:multiLevelType w:val="hybridMultilevel"/>
    <w:tmpl w:val="1014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E57EFF"/>
    <w:multiLevelType w:val="hybridMultilevel"/>
    <w:tmpl w:val="C5BE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37">
    <w:nsid w:val="5BF2188F"/>
    <w:multiLevelType w:val="hybridMultilevel"/>
    <w:tmpl w:val="1F3E00D8"/>
    <w:lvl w:ilvl="0" w:tplc="97D43EBC">
      <w:start w:val="1"/>
      <w:numFmt w:val="bullet"/>
      <w:lvlText w:val=""/>
      <w:lvlJc w:val="left"/>
      <w:pPr>
        <w:ind w:left="720" w:hanging="360"/>
      </w:pPr>
      <w:rPr>
        <w:rFonts w:ascii="Symbol" w:hAnsi="Symbol" w:hint="default"/>
      </w:rPr>
    </w:lvl>
    <w:lvl w:ilvl="1" w:tplc="4052FFB0" w:tentative="1">
      <w:start w:val="1"/>
      <w:numFmt w:val="bullet"/>
      <w:lvlText w:val="o"/>
      <w:lvlJc w:val="left"/>
      <w:pPr>
        <w:ind w:left="1440" w:hanging="360"/>
      </w:pPr>
      <w:rPr>
        <w:rFonts w:ascii="Courier New" w:hAnsi="Courier New" w:cs="Courier New" w:hint="default"/>
      </w:rPr>
    </w:lvl>
    <w:lvl w:ilvl="2" w:tplc="A8600AE2" w:tentative="1">
      <w:start w:val="1"/>
      <w:numFmt w:val="bullet"/>
      <w:lvlText w:val=""/>
      <w:lvlJc w:val="left"/>
      <w:pPr>
        <w:ind w:left="2160" w:hanging="360"/>
      </w:pPr>
      <w:rPr>
        <w:rFonts w:ascii="Wingdings" w:hAnsi="Wingdings" w:hint="default"/>
      </w:rPr>
    </w:lvl>
    <w:lvl w:ilvl="3" w:tplc="D86C63A0" w:tentative="1">
      <w:start w:val="1"/>
      <w:numFmt w:val="bullet"/>
      <w:lvlText w:val=""/>
      <w:lvlJc w:val="left"/>
      <w:pPr>
        <w:ind w:left="2880" w:hanging="360"/>
      </w:pPr>
      <w:rPr>
        <w:rFonts w:ascii="Symbol" w:hAnsi="Symbol" w:hint="default"/>
      </w:rPr>
    </w:lvl>
    <w:lvl w:ilvl="4" w:tplc="6900BAFE" w:tentative="1">
      <w:start w:val="1"/>
      <w:numFmt w:val="bullet"/>
      <w:lvlText w:val="o"/>
      <w:lvlJc w:val="left"/>
      <w:pPr>
        <w:ind w:left="3600" w:hanging="360"/>
      </w:pPr>
      <w:rPr>
        <w:rFonts w:ascii="Courier New" w:hAnsi="Courier New" w:cs="Courier New" w:hint="default"/>
      </w:rPr>
    </w:lvl>
    <w:lvl w:ilvl="5" w:tplc="2904CC20" w:tentative="1">
      <w:start w:val="1"/>
      <w:numFmt w:val="bullet"/>
      <w:lvlText w:val=""/>
      <w:lvlJc w:val="left"/>
      <w:pPr>
        <w:ind w:left="4320" w:hanging="360"/>
      </w:pPr>
      <w:rPr>
        <w:rFonts w:ascii="Wingdings" w:hAnsi="Wingdings" w:hint="default"/>
      </w:rPr>
    </w:lvl>
    <w:lvl w:ilvl="6" w:tplc="5F9EADAA" w:tentative="1">
      <w:start w:val="1"/>
      <w:numFmt w:val="bullet"/>
      <w:lvlText w:val=""/>
      <w:lvlJc w:val="left"/>
      <w:pPr>
        <w:ind w:left="5040" w:hanging="360"/>
      </w:pPr>
      <w:rPr>
        <w:rFonts w:ascii="Symbol" w:hAnsi="Symbol" w:hint="default"/>
      </w:rPr>
    </w:lvl>
    <w:lvl w:ilvl="7" w:tplc="E640BEBE" w:tentative="1">
      <w:start w:val="1"/>
      <w:numFmt w:val="bullet"/>
      <w:lvlText w:val="o"/>
      <w:lvlJc w:val="left"/>
      <w:pPr>
        <w:ind w:left="5760" w:hanging="360"/>
      </w:pPr>
      <w:rPr>
        <w:rFonts w:ascii="Courier New" w:hAnsi="Courier New" w:cs="Courier New" w:hint="default"/>
      </w:rPr>
    </w:lvl>
    <w:lvl w:ilvl="8" w:tplc="F4B6A24A" w:tentative="1">
      <w:start w:val="1"/>
      <w:numFmt w:val="bullet"/>
      <w:lvlText w:val=""/>
      <w:lvlJc w:val="left"/>
      <w:pPr>
        <w:ind w:left="6480" w:hanging="360"/>
      </w:pPr>
      <w:rPr>
        <w:rFonts w:ascii="Wingdings" w:hAnsi="Wingdings" w:hint="default"/>
      </w:rPr>
    </w:lvl>
  </w:abstractNum>
  <w:abstractNum w:abstractNumId="38">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146060C"/>
    <w:multiLevelType w:val="hybridMultilevel"/>
    <w:tmpl w:val="B11AA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6C96DDA"/>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44">
    <w:nsid w:val="6E14509E"/>
    <w:multiLevelType w:val="hybridMultilevel"/>
    <w:tmpl w:val="224AC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3BC4F9B"/>
    <w:multiLevelType w:val="hybridMultilevel"/>
    <w:tmpl w:val="49B28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D3A6C53"/>
    <w:multiLevelType w:val="hybridMultilevel"/>
    <w:tmpl w:val="ED661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8"/>
  </w:num>
  <w:num w:numId="4">
    <w:abstractNumId w:val="40"/>
  </w:num>
  <w:num w:numId="5">
    <w:abstractNumId w:val="4"/>
  </w:num>
  <w:num w:numId="6">
    <w:abstractNumId w:val="24"/>
  </w:num>
  <w:num w:numId="7">
    <w:abstractNumId w:val="38"/>
  </w:num>
  <w:num w:numId="8">
    <w:abstractNumId w:val="2"/>
  </w:num>
  <w:num w:numId="9">
    <w:abstractNumId w:val="47"/>
  </w:num>
  <w:num w:numId="10">
    <w:abstractNumId w:val="10"/>
  </w:num>
  <w:num w:numId="11">
    <w:abstractNumId w:val="19"/>
  </w:num>
  <w:num w:numId="12">
    <w:abstractNumId w:val="0"/>
  </w:num>
  <w:num w:numId="13">
    <w:abstractNumId w:val="31"/>
  </w:num>
  <w:num w:numId="14">
    <w:abstractNumId w:val="45"/>
  </w:num>
  <w:num w:numId="15">
    <w:abstractNumId w:val="34"/>
  </w:num>
  <w:num w:numId="16">
    <w:abstractNumId w:val="44"/>
  </w:num>
  <w:num w:numId="17">
    <w:abstractNumId w:val="15"/>
  </w:num>
  <w:num w:numId="18">
    <w:abstractNumId w:val="33"/>
  </w:num>
  <w:num w:numId="19">
    <w:abstractNumId w:val="46"/>
  </w:num>
  <w:num w:numId="20">
    <w:abstractNumId w:val="25"/>
  </w:num>
  <w:num w:numId="21">
    <w:abstractNumId w:val="12"/>
  </w:num>
  <w:num w:numId="22">
    <w:abstractNumId w:val="27"/>
  </w:num>
  <w:num w:numId="23">
    <w:abstractNumId w:val="13"/>
  </w:num>
  <w:num w:numId="24">
    <w:abstractNumId w:val="14"/>
  </w:num>
  <w:num w:numId="25">
    <w:abstractNumId w:val="20"/>
  </w:num>
  <w:num w:numId="26">
    <w:abstractNumId w:val="39"/>
  </w:num>
  <w:num w:numId="27">
    <w:abstractNumId w:val="6"/>
  </w:num>
  <w:num w:numId="28">
    <w:abstractNumId w:val="36"/>
  </w:num>
  <w:num w:numId="29">
    <w:abstractNumId w:val="28"/>
  </w:num>
  <w:num w:numId="30">
    <w:abstractNumId w:val="43"/>
  </w:num>
  <w:num w:numId="31">
    <w:abstractNumId w:val="5"/>
  </w:num>
  <w:num w:numId="32">
    <w:abstractNumId w:val="37"/>
  </w:num>
  <w:num w:numId="33">
    <w:abstractNumId w:val="18"/>
  </w:num>
  <w:num w:numId="34">
    <w:abstractNumId w:val="32"/>
  </w:num>
  <w:num w:numId="35">
    <w:abstractNumId w:val="22"/>
  </w:num>
  <w:num w:numId="36">
    <w:abstractNumId w:val="41"/>
  </w:num>
  <w:num w:numId="37">
    <w:abstractNumId w:val="7"/>
  </w:num>
  <w:num w:numId="38">
    <w:abstractNumId w:val="3"/>
  </w:num>
  <w:num w:numId="39">
    <w:abstractNumId w:val="11"/>
  </w:num>
  <w:num w:numId="40">
    <w:abstractNumId w:val="29"/>
  </w:num>
  <w:num w:numId="41">
    <w:abstractNumId w:val="30"/>
  </w:num>
  <w:num w:numId="42">
    <w:abstractNumId w:val="1"/>
  </w:num>
  <w:num w:numId="43">
    <w:abstractNumId w:val="42"/>
  </w:num>
  <w:num w:numId="44">
    <w:abstractNumId w:val="17"/>
  </w:num>
  <w:num w:numId="45">
    <w:abstractNumId w:val="21"/>
  </w:num>
  <w:num w:numId="46">
    <w:abstractNumId w:val="23"/>
  </w:num>
  <w:num w:numId="47">
    <w:abstractNumId w:val="1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F"/>
    <w:rsid w:val="00005633"/>
    <w:rsid w:val="00007D26"/>
    <w:rsid w:val="0002461F"/>
    <w:rsid w:val="00027964"/>
    <w:rsid w:val="00032380"/>
    <w:rsid w:val="00053248"/>
    <w:rsid w:val="00054AF7"/>
    <w:rsid w:val="00062609"/>
    <w:rsid w:val="00064185"/>
    <w:rsid w:val="00065963"/>
    <w:rsid w:val="00072BB5"/>
    <w:rsid w:val="000744B1"/>
    <w:rsid w:val="0008159F"/>
    <w:rsid w:val="000842DE"/>
    <w:rsid w:val="0008481A"/>
    <w:rsid w:val="0008481B"/>
    <w:rsid w:val="00087F54"/>
    <w:rsid w:val="000A4D76"/>
    <w:rsid w:val="000B1E9C"/>
    <w:rsid w:val="000B4C34"/>
    <w:rsid w:val="000B7567"/>
    <w:rsid w:val="000C06E7"/>
    <w:rsid w:val="000C25D7"/>
    <w:rsid w:val="000C44A7"/>
    <w:rsid w:val="000D121A"/>
    <w:rsid w:val="000D5363"/>
    <w:rsid w:val="000D6E43"/>
    <w:rsid w:val="000D7F17"/>
    <w:rsid w:val="000E74AC"/>
    <w:rsid w:val="000F3573"/>
    <w:rsid w:val="000F5749"/>
    <w:rsid w:val="000F751D"/>
    <w:rsid w:val="00107A64"/>
    <w:rsid w:val="001227BC"/>
    <w:rsid w:val="00130F7F"/>
    <w:rsid w:val="001314C7"/>
    <w:rsid w:val="00135FDA"/>
    <w:rsid w:val="00136C9D"/>
    <w:rsid w:val="00145C35"/>
    <w:rsid w:val="001625BD"/>
    <w:rsid w:val="00162A80"/>
    <w:rsid w:val="00177013"/>
    <w:rsid w:val="00196D08"/>
    <w:rsid w:val="0019781B"/>
    <w:rsid w:val="001A27A6"/>
    <w:rsid w:val="001B075A"/>
    <w:rsid w:val="001B3C6F"/>
    <w:rsid w:val="001B5646"/>
    <w:rsid w:val="001B6060"/>
    <w:rsid w:val="001B610F"/>
    <w:rsid w:val="001C161B"/>
    <w:rsid w:val="001C3DE7"/>
    <w:rsid w:val="001D17A1"/>
    <w:rsid w:val="001D3579"/>
    <w:rsid w:val="001E4795"/>
    <w:rsid w:val="001E4818"/>
    <w:rsid w:val="001E630D"/>
    <w:rsid w:val="001E7183"/>
    <w:rsid w:val="001E74CA"/>
    <w:rsid w:val="001F5099"/>
    <w:rsid w:val="001F78E6"/>
    <w:rsid w:val="001F7ED0"/>
    <w:rsid w:val="00201F28"/>
    <w:rsid w:val="00202040"/>
    <w:rsid w:val="002032F9"/>
    <w:rsid w:val="0020422A"/>
    <w:rsid w:val="00206F6B"/>
    <w:rsid w:val="00212F83"/>
    <w:rsid w:val="0021579C"/>
    <w:rsid w:val="0022371C"/>
    <w:rsid w:val="00227B7A"/>
    <w:rsid w:val="0025126E"/>
    <w:rsid w:val="00254EB9"/>
    <w:rsid w:val="00266F93"/>
    <w:rsid w:val="0027296F"/>
    <w:rsid w:val="00284DC9"/>
    <w:rsid w:val="00287BA9"/>
    <w:rsid w:val="00290077"/>
    <w:rsid w:val="002966CC"/>
    <w:rsid w:val="002A08E0"/>
    <w:rsid w:val="002A249B"/>
    <w:rsid w:val="002B5535"/>
    <w:rsid w:val="002B643D"/>
    <w:rsid w:val="002C06AC"/>
    <w:rsid w:val="002D06EB"/>
    <w:rsid w:val="002D737D"/>
    <w:rsid w:val="002E006C"/>
    <w:rsid w:val="002E425E"/>
    <w:rsid w:val="002E47A1"/>
    <w:rsid w:val="002E6905"/>
    <w:rsid w:val="002F1F4A"/>
    <w:rsid w:val="002F2B66"/>
    <w:rsid w:val="002F5011"/>
    <w:rsid w:val="002F6749"/>
    <w:rsid w:val="00301B44"/>
    <w:rsid w:val="003021F3"/>
    <w:rsid w:val="003107A5"/>
    <w:rsid w:val="00312236"/>
    <w:rsid w:val="003134DE"/>
    <w:rsid w:val="003248A6"/>
    <w:rsid w:val="0033276D"/>
    <w:rsid w:val="003352AB"/>
    <w:rsid w:val="003427CF"/>
    <w:rsid w:val="0034572C"/>
    <w:rsid w:val="00351C54"/>
    <w:rsid w:val="00352D81"/>
    <w:rsid w:val="00377CBF"/>
    <w:rsid w:val="0038135C"/>
    <w:rsid w:val="00383F5E"/>
    <w:rsid w:val="00386718"/>
    <w:rsid w:val="0039316A"/>
    <w:rsid w:val="00396DD5"/>
    <w:rsid w:val="003A0737"/>
    <w:rsid w:val="003A22E4"/>
    <w:rsid w:val="003A3B48"/>
    <w:rsid w:val="003B2BB8"/>
    <w:rsid w:val="003B39B7"/>
    <w:rsid w:val="003B5130"/>
    <w:rsid w:val="003D1E44"/>
    <w:rsid w:val="003D34FF"/>
    <w:rsid w:val="003F709D"/>
    <w:rsid w:val="003F7BC7"/>
    <w:rsid w:val="00400E39"/>
    <w:rsid w:val="004026D3"/>
    <w:rsid w:val="0040482C"/>
    <w:rsid w:val="004072D9"/>
    <w:rsid w:val="00410B2F"/>
    <w:rsid w:val="00425D83"/>
    <w:rsid w:val="004322DB"/>
    <w:rsid w:val="0043653D"/>
    <w:rsid w:val="00447A17"/>
    <w:rsid w:val="0045248C"/>
    <w:rsid w:val="004549C9"/>
    <w:rsid w:val="004612B7"/>
    <w:rsid w:val="004633FC"/>
    <w:rsid w:val="00464AAF"/>
    <w:rsid w:val="004651A6"/>
    <w:rsid w:val="00467F3C"/>
    <w:rsid w:val="00476629"/>
    <w:rsid w:val="00477F8C"/>
    <w:rsid w:val="00482017"/>
    <w:rsid w:val="00484296"/>
    <w:rsid w:val="00484946"/>
    <w:rsid w:val="00493BEE"/>
    <w:rsid w:val="00495E6E"/>
    <w:rsid w:val="004A309F"/>
    <w:rsid w:val="004A3B33"/>
    <w:rsid w:val="004A67AD"/>
    <w:rsid w:val="004B0FB6"/>
    <w:rsid w:val="004B2693"/>
    <w:rsid w:val="004B2C9F"/>
    <w:rsid w:val="004B54CA"/>
    <w:rsid w:val="004B6F53"/>
    <w:rsid w:val="004C46C4"/>
    <w:rsid w:val="004C5FEB"/>
    <w:rsid w:val="004E1AE7"/>
    <w:rsid w:val="004E1FBE"/>
    <w:rsid w:val="004E5CBF"/>
    <w:rsid w:val="0050007E"/>
    <w:rsid w:val="00504E88"/>
    <w:rsid w:val="005143E5"/>
    <w:rsid w:val="00515A1C"/>
    <w:rsid w:val="0052131B"/>
    <w:rsid w:val="00521BBA"/>
    <w:rsid w:val="00522599"/>
    <w:rsid w:val="00532A9C"/>
    <w:rsid w:val="0054117B"/>
    <w:rsid w:val="005519F1"/>
    <w:rsid w:val="00553E97"/>
    <w:rsid w:val="00553F2D"/>
    <w:rsid w:val="00555D0D"/>
    <w:rsid w:val="00562A42"/>
    <w:rsid w:val="0056574F"/>
    <w:rsid w:val="00580A70"/>
    <w:rsid w:val="00590FBF"/>
    <w:rsid w:val="00592559"/>
    <w:rsid w:val="00597A09"/>
    <w:rsid w:val="00597BB3"/>
    <w:rsid w:val="005A3CD0"/>
    <w:rsid w:val="005A5EF0"/>
    <w:rsid w:val="005B0633"/>
    <w:rsid w:val="005B0673"/>
    <w:rsid w:val="005C27A7"/>
    <w:rsid w:val="005C3AA9"/>
    <w:rsid w:val="005D3B9F"/>
    <w:rsid w:val="005D4273"/>
    <w:rsid w:val="005D49DC"/>
    <w:rsid w:val="005D68BD"/>
    <w:rsid w:val="005E02B3"/>
    <w:rsid w:val="005E3263"/>
    <w:rsid w:val="005E747A"/>
    <w:rsid w:val="005F6C74"/>
    <w:rsid w:val="006018B0"/>
    <w:rsid w:val="00607E39"/>
    <w:rsid w:val="00614918"/>
    <w:rsid w:val="00614E5D"/>
    <w:rsid w:val="00615ADD"/>
    <w:rsid w:val="00620C2B"/>
    <w:rsid w:val="00621FC5"/>
    <w:rsid w:val="0062390E"/>
    <w:rsid w:val="00625B5F"/>
    <w:rsid w:val="00630348"/>
    <w:rsid w:val="006317DE"/>
    <w:rsid w:val="00633BB5"/>
    <w:rsid w:val="00637B02"/>
    <w:rsid w:val="0065053A"/>
    <w:rsid w:val="00650C36"/>
    <w:rsid w:val="0065293D"/>
    <w:rsid w:val="0066071F"/>
    <w:rsid w:val="00660DE2"/>
    <w:rsid w:val="00661910"/>
    <w:rsid w:val="00663326"/>
    <w:rsid w:val="00663DE1"/>
    <w:rsid w:val="00666008"/>
    <w:rsid w:val="00675944"/>
    <w:rsid w:val="00675AC5"/>
    <w:rsid w:val="00676F55"/>
    <w:rsid w:val="00683A84"/>
    <w:rsid w:val="006877D0"/>
    <w:rsid w:val="00697A0E"/>
    <w:rsid w:val="00697A46"/>
    <w:rsid w:val="006A2536"/>
    <w:rsid w:val="006A2FF7"/>
    <w:rsid w:val="006A4CE7"/>
    <w:rsid w:val="006A571F"/>
    <w:rsid w:val="006B3368"/>
    <w:rsid w:val="006B5759"/>
    <w:rsid w:val="006C235A"/>
    <w:rsid w:val="006C5387"/>
    <w:rsid w:val="006C6BD6"/>
    <w:rsid w:val="006F78DE"/>
    <w:rsid w:val="00700443"/>
    <w:rsid w:val="00700533"/>
    <w:rsid w:val="00701D36"/>
    <w:rsid w:val="00704C2A"/>
    <w:rsid w:val="0070518D"/>
    <w:rsid w:val="00707333"/>
    <w:rsid w:val="00717108"/>
    <w:rsid w:val="007266CF"/>
    <w:rsid w:val="00742FDD"/>
    <w:rsid w:val="00746D97"/>
    <w:rsid w:val="00752358"/>
    <w:rsid w:val="00760043"/>
    <w:rsid w:val="00760AE8"/>
    <w:rsid w:val="00771D4B"/>
    <w:rsid w:val="00775A9C"/>
    <w:rsid w:val="00782F12"/>
    <w:rsid w:val="00785261"/>
    <w:rsid w:val="00785761"/>
    <w:rsid w:val="00790F7E"/>
    <w:rsid w:val="00796D5F"/>
    <w:rsid w:val="007B0256"/>
    <w:rsid w:val="007B48CB"/>
    <w:rsid w:val="007B7648"/>
    <w:rsid w:val="007C1530"/>
    <w:rsid w:val="007C1D91"/>
    <w:rsid w:val="007C317B"/>
    <w:rsid w:val="007C3B10"/>
    <w:rsid w:val="007C7A07"/>
    <w:rsid w:val="007D62C7"/>
    <w:rsid w:val="007E0007"/>
    <w:rsid w:val="007E28AB"/>
    <w:rsid w:val="007E700B"/>
    <w:rsid w:val="007F1217"/>
    <w:rsid w:val="007F55CC"/>
    <w:rsid w:val="00811A04"/>
    <w:rsid w:val="00822121"/>
    <w:rsid w:val="00822AA8"/>
    <w:rsid w:val="0083177B"/>
    <w:rsid w:val="0083240B"/>
    <w:rsid w:val="00833A15"/>
    <w:rsid w:val="00834A05"/>
    <w:rsid w:val="008363E4"/>
    <w:rsid w:val="00844C34"/>
    <w:rsid w:val="0086049F"/>
    <w:rsid w:val="00860871"/>
    <w:rsid w:val="008647FD"/>
    <w:rsid w:val="00866510"/>
    <w:rsid w:val="0087014A"/>
    <w:rsid w:val="008719CE"/>
    <w:rsid w:val="00876B1E"/>
    <w:rsid w:val="00876DB3"/>
    <w:rsid w:val="00877E84"/>
    <w:rsid w:val="008807F6"/>
    <w:rsid w:val="00880C9C"/>
    <w:rsid w:val="00881AEF"/>
    <w:rsid w:val="00883D2F"/>
    <w:rsid w:val="00891577"/>
    <w:rsid w:val="00894899"/>
    <w:rsid w:val="008A4CD4"/>
    <w:rsid w:val="008B10A4"/>
    <w:rsid w:val="008B1FC9"/>
    <w:rsid w:val="008B2382"/>
    <w:rsid w:val="008B3570"/>
    <w:rsid w:val="008B4038"/>
    <w:rsid w:val="008B4370"/>
    <w:rsid w:val="008C13A0"/>
    <w:rsid w:val="008D2F4D"/>
    <w:rsid w:val="008D3A5A"/>
    <w:rsid w:val="008D667D"/>
    <w:rsid w:val="008E35C9"/>
    <w:rsid w:val="008E5649"/>
    <w:rsid w:val="008E5982"/>
    <w:rsid w:val="008E5C12"/>
    <w:rsid w:val="008F0D96"/>
    <w:rsid w:val="008F4643"/>
    <w:rsid w:val="008F68C2"/>
    <w:rsid w:val="008F6B08"/>
    <w:rsid w:val="008F6E78"/>
    <w:rsid w:val="008F6F1F"/>
    <w:rsid w:val="00905E0D"/>
    <w:rsid w:val="00910D74"/>
    <w:rsid w:val="00911917"/>
    <w:rsid w:val="0091697C"/>
    <w:rsid w:val="009225F0"/>
    <w:rsid w:val="00927B49"/>
    <w:rsid w:val="0093462C"/>
    <w:rsid w:val="00943ECD"/>
    <w:rsid w:val="0094489E"/>
    <w:rsid w:val="0094729C"/>
    <w:rsid w:val="00947689"/>
    <w:rsid w:val="0095107F"/>
    <w:rsid w:val="009520D1"/>
    <w:rsid w:val="00953795"/>
    <w:rsid w:val="009538AF"/>
    <w:rsid w:val="00955BEE"/>
    <w:rsid w:val="00956724"/>
    <w:rsid w:val="00957224"/>
    <w:rsid w:val="00957332"/>
    <w:rsid w:val="00965650"/>
    <w:rsid w:val="00965A28"/>
    <w:rsid w:val="00972C6C"/>
    <w:rsid w:val="00973FD8"/>
    <w:rsid w:val="00974189"/>
    <w:rsid w:val="00975396"/>
    <w:rsid w:val="00975E94"/>
    <w:rsid w:val="00981BB6"/>
    <w:rsid w:val="0098332A"/>
    <w:rsid w:val="00987DFB"/>
    <w:rsid w:val="009906C7"/>
    <w:rsid w:val="00992001"/>
    <w:rsid w:val="009A0DF2"/>
    <w:rsid w:val="009A1B43"/>
    <w:rsid w:val="009A28E1"/>
    <w:rsid w:val="009A7B66"/>
    <w:rsid w:val="009B3614"/>
    <w:rsid w:val="009B4CF4"/>
    <w:rsid w:val="009B5AB0"/>
    <w:rsid w:val="009B6D9E"/>
    <w:rsid w:val="009C002F"/>
    <w:rsid w:val="009C2313"/>
    <w:rsid w:val="009C41C7"/>
    <w:rsid w:val="009C718A"/>
    <w:rsid w:val="009D6C94"/>
    <w:rsid w:val="009E5875"/>
    <w:rsid w:val="009F07CE"/>
    <w:rsid w:val="009F397E"/>
    <w:rsid w:val="009F3F61"/>
    <w:rsid w:val="00A0186B"/>
    <w:rsid w:val="00A028A9"/>
    <w:rsid w:val="00A037CD"/>
    <w:rsid w:val="00A1587C"/>
    <w:rsid w:val="00A34148"/>
    <w:rsid w:val="00A448FC"/>
    <w:rsid w:val="00A4570B"/>
    <w:rsid w:val="00A505E0"/>
    <w:rsid w:val="00A5142F"/>
    <w:rsid w:val="00A54DB9"/>
    <w:rsid w:val="00A55F73"/>
    <w:rsid w:val="00A606B0"/>
    <w:rsid w:val="00A64017"/>
    <w:rsid w:val="00A64246"/>
    <w:rsid w:val="00A668A0"/>
    <w:rsid w:val="00A732EA"/>
    <w:rsid w:val="00A73BFB"/>
    <w:rsid w:val="00A80F5E"/>
    <w:rsid w:val="00A831D6"/>
    <w:rsid w:val="00A849D5"/>
    <w:rsid w:val="00A85829"/>
    <w:rsid w:val="00A86D39"/>
    <w:rsid w:val="00A92DF2"/>
    <w:rsid w:val="00A933CF"/>
    <w:rsid w:val="00A945F3"/>
    <w:rsid w:val="00A9499A"/>
    <w:rsid w:val="00A951EA"/>
    <w:rsid w:val="00AB6088"/>
    <w:rsid w:val="00AC045F"/>
    <w:rsid w:val="00AC121B"/>
    <w:rsid w:val="00AE45D6"/>
    <w:rsid w:val="00AE6A1C"/>
    <w:rsid w:val="00AF62FC"/>
    <w:rsid w:val="00AF7156"/>
    <w:rsid w:val="00AF7CD8"/>
    <w:rsid w:val="00B01B09"/>
    <w:rsid w:val="00B02929"/>
    <w:rsid w:val="00B04ED8"/>
    <w:rsid w:val="00B12B54"/>
    <w:rsid w:val="00B1361C"/>
    <w:rsid w:val="00B13F2D"/>
    <w:rsid w:val="00B20A23"/>
    <w:rsid w:val="00B2491E"/>
    <w:rsid w:val="00B30536"/>
    <w:rsid w:val="00B3627B"/>
    <w:rsid w:val="00B40549"/>
    <w:rsid w:val="00B6490B"/>
    <w:rsid w:val="00B71893"/>
    <w:rsid w:val="00B71B33"/>
    <w:rsid w:val="00B80D9A"/>
    <w:rsid w:val="00B82AB0"/>
    <w:rsid w:val="00B86A62"/>
    <w:rsid w:val="00B875C3"/>
    <w:rsid w:val="00B9145F"/>
    <w:rsid w:val="00B91E3E"/>
    <w:rsid w:val="00B96816"/>
    <w:rsid w:val="00BA22A2"/>
    <w:rsid w:val="00BA2DB9"/>
    <w:rsid w:val="00BA533A"/>
    <w:rsid w:val="00BB264E"/>
    <w:rsid w:val="00BB2C17"/>
    <w:rsid w:val="00BC0387"/>
    <w:rsid w:val="00BC18E2"/>
    <w:rsid w:val="00BC3170"/>
    <w:rsid w:val="00BD0381"/>
    <w:rsid w:val="00BD605B"/>
    <w:rsid w:val="00BE3F25"/>
    <w:rsid w:val="00BE6FD4"/>
    <w:rsid w:val="00BE7148"/>
    <w:rsid w:val="00BF0891"/>
    <w:rsid w:val="00BF2555"/>
    <w:rsid w:val="00BF7157"/>
    <w:rsid w:val="00C03686"/>
    <w:rsid w:val="00C04529"/>
    <w:rsid w:val="00C050E7"/>
    <w:rsid w:val="00C127C7"/>
    <w:rsid w:val="00C13499"/>
    <w:rsid w:val="00C15FC4"/>
    <w:rsid w:val="00C20450"/>
    <w:rsid w:val="00C21A30"/>
    <w:rsid w:val="00C243F4"/>
    <w:rsid w:val="00C27677"/>
    <w:rsid w:val="00C3543C"/>
    <w:rsid w:val="00C36938"/>
    <w:rsid w:val="00C37A73"/>
    <w:rsid w:val="00C410EF"/>
    <w:rsid w:val="00C41CE0"/>
    <w:rsid w:val="00C43A94"/>
    <w:rsid w:val="00C43D7A"/>
    <w:rsid w:val="00C50630"/>
    <w:rsid w:val="00C53AF2"/>
    <w:rsid w:val="00C53C40"/>
    <w:rsid w:val="00C54F98"/>
    <w:rsid w:val="00C62233"/>
    <w:rsid w:val="00C7373C"/>
    <w:rsid w:val="00C755B9"/>
    <w:rsid w:val="00C84DD7"/>
    <w:rsid w:val="00C92349"/>
    <w:rsid w:val="00CA612E"/>
    <w:rsid w:val="00CA6879"/>
    <w:rsid w:val="00CB5863"/>
    <w:rsid w:val="00CC1683"/>
    <w:rsid w:val="00CC6483"/>
    <w:rsid w:val="00CD3466"/>
    <w:rsid w:val="00CD3C88"/>
    <w:rsid w:val="00CE0F4D"/>
    <w:rsid w:val="00CF23FD"/>
    <w:rsid w:val="00CF5A5B"/>
    <w:rsid w:val="00D03923"/>
    <w:rsid w:val="00D0495A"/>
    <w:rsid w:val="00D056CA"/>
    <w:rsid w:val="00D1030A"/>
    <w:rsid w:val="00D12C6F"/>
    <w:rsid w:val="00D20CA8"/>
    <w:rsid w:val="00D22FFF"/>
    <w:rsid w:val="00D26C98"/>
    <w:rsid w:val="00D3107D"/>
    <w:rsid w:val="00D317D2"/>
    <w:rsid w:val="00D336DF"/>
    <w:rsid w:val="00D343E0"/>
    <w:rsid w:val="00D35C0C"/>
    <w:rsid w:val="00D37546"/>
    <w:rsid w:val="00D418B5"/>
    <w:rsid w:val="00D43FE0"/>
    <w:rsid w:val="00D53805"/>
    <w:rsid w:val="00D54A7F"/>
    <w:rsid w:val="00D57565"/>
    <w:rsid w:val="00D63B67"/>
    <w:rsid w:val="00D77A09"/>
    <w:rsid w:val="00D846DB"/>
    <w:rsid w:val="00D93F63"/>
    <w:rsid w:val="00DA0468"/>
    <w:rsid w:val="00DA227A"/>
    <w:rsid w:val="00DA243A"/>
    <w:rsid w:val="00DB54A0"/>
    <w:rsid w:val="00DB6668"/>
    <w:rsid w:val="00DB7BB9"/>
    <w:rsid w:val="00DC4167"/>
    <w:rsid w:val="00DC647A"/>
    <w:rsid w:val="00DD0A03"/>
    <w:rsid w:val="00DD6039"/>
    <w:rsid w:val="00DF1353"/>
    <w:rsid w:val="00E004AD"/>
    <w:rsid w:val="00E02E1D"/>
    <w:rsid w:val="00E066EF"/>
    <w:rsid w:val="00E104B3"/>
    <w:rsid w:val="00E1068A"/>
    <w:rsid w:val="00E14B0C"/>
    <w:rsid w:val="00E17CC9"/>
    <w:rsid w:val="00E273E4"/>
    <w:rsid w:val="00E27DF0"/>
    <w:rsid w:val="00E330FC"/>
    <w:rsid w:val="00E37F9D"/>
    <w:rsid w:val="00E65712"/>
    <w:rsid w:val="00E732EA"/>
    <w:rsid w:val="00E8258F"/>
    <w:rsid w:val="00E85A36"/>
    <w:rsid w:val="00E904ED"/>
    <w:rsid w:val="00E97622"/>
    <w:rsid w:val="00EA6EC0"/>
    <w:rsid w:val="00EB1FA5"/>
    <w:rsid w:val="00EB2A7A"/>
    <w:rsid w:val="00EB5AA3"/>
    <w:rsid w:val="00EB62BE"/>
    <w:rsid w:val="00EC0B54"/>
    <w:rsid w:val="00EC58DD"/>
    <w:rsid w:val="00EE4694"/>
    <w:rsid w:val="00EE67C1"/>
    <w:rsid w:val="00EF1DB7"/>
    <w:rsid w:val="00EF2C6E"/>
    <w:rsid w:val="00EF7D0A"/>
    <w:rsid w:val="00F00134"/>
    <w:rsid w:val="00F045B2"/>
    <w:rsid w:val="00F232EB"/>
    <w:rsid w:val="00F30AFE"/>
    <w:rsid w:val="00F32BFA"/>
    <w:rsid w:val="00F34CDB"/>
    <w:rsid w:val="00F36AAD"/>
    <w:rsid w:val="00F37591"/>
    <w:rsid w:val="00F43B91"/>
    <w:rsid w:val="00F47CC6"/>
    <w:rsid w:val="00F52039"/>
    <w:rsid w:val="00F54F3B"/>
    <w:rsid w:val="00F60B29"/>
    <w:rsid w:val="00F660C4"/>
    <w:rsid w:val="00F714D1"/>
    <w:rsid w:val="00F80404"/>
    <w:rsid w:val="00F8158A"/>
    <w:rsid w:val="00F82F3F"/>
    <w:rsid w:val="00F95933"/>
    <w:rsid w:val="00FA1E2D"/>
    <w:rsid w:val="00FA6EE1"/>
    <w:rsid w:val="00FA7E9F"/>
    <w:rsid w:val="00FB6BBE"/>
    <w:rsid w:val="00FB6BEB"/>
    <w:rsid w:val="00FC59E6"/>
    <w:rsid w:val="00FC6D39"/>
    <w:rsid w:val="00FD1F0F"/>
    <w:rsid w:val="00FD75A9"/>
    <w:rsid w:val="00FD76DD"/>
    <w:rsid w:val="00FF5E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sabilitygateway.gov.au/document/3141" TargetMode="External"/><Relationship Id="rId18" Type="http://schemas.openxmlformats.org/officeDocument/2006/relationships/hyperlink" Target="https://www.ndiscommission.gov.au/participants/incidents-and-behaviour-support/understanding-behaviour-support-and-restrictive-practices" TargetMode="External"/><Relationship Id="rId3" Type="http://schemas.openxmlformats.org/officeDocument/2006/relationships/styles" Target="styles.xml"/><Relationship Id="rId21" Type="http://schemas.openxmlformats.org/officeDocument/2006/relationships/hyperlink" Target="https://www.ndiscommission.gov.au/workerresources" TargetMode="External"/><Relationship Id="rId7" Type="http://schemas.openxmlformats.org/officeDocument/2006/relationships/footnotes" Target="footnotes.xml"/><Relationship Id="rId12" Type="http://schemas.openxmlformats.org/officeDocument/2006/relationships/hyperlink" Target="https://www.disabilitygateway.gov.au/document/3151" TargetMode="External"/><Relationship Id="rId17" Type="http://schemas.openxmlformats.org/officeDocument/2006/relationships/hyperlink" Target="http://www.disabilitygateway.gov.au/ads" TargetMode="External"/><Relationship Id="rId2" Type="http://schemas.openxmlformats.org/officeDocument/2006/relationships/numbering" Target="numbering.xml"/><Relationship Id="rId16" Type="http://schemas.openxmlformats.org/officeDocument/2006/relationships/hyperlink" Target="https://www.disabilitygateway.gov.au/document/3181" TargetMode="External"/><Relationship Id="rId20" Type="http://schemas.openxmlformats.org/officeDocument/2006/relationships/hyperlink" Target="https://www.ndiscommission.gov.au/medicinesfor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isabilitygateway.gov.au/document/3176" TargetMode="External"/><Relationship Id="rId23" Type="http://schemas.openxmlformats.org/officeDocument/2006/relationships/fontTable" Target="fontTable.xml"/><Relationship Id="rId10" Type="http://schemas.openxmlformats.org/officeDocument/2006/relationships/hyperlink" Target="mailto:communication@dss.gov.au" TargetMode="External"/><Relationship Id="rId19" Type="http://schemas.openxmlformats.org/officeDocument/2006/relationships/hyperlink" Target="https://www.ndiscommission.gov.au/evidencematters" TargetMode="External"/><Relationship Id="rId4" Type="http://schemas.microsoft.com/office/2007/relationships/stylesWithEffects" Target="stylesWithEffects.xml"/><Relationship Id="rId9" Type="http://schemas.openxmlformats.org/officeDocument/2006/relationships/hyperlink" Target="https://creativecommons.org/licenses/by/4.0/legalcode" TargetMode="External"/><Relationship Id="rId14" Type="http://schemas.openxmlformats.org/officeDocument/2006/relationships/hyperlink" Target="https://www.disabilitygateway.gov.au/document/314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A84DB-9CFB-41DE-8F6E-177465DF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8508</Words>
  <Characters>48498</Characters>
  <Application>Microsoft Office Word</Application>
  <DocSecurity>0</DocSecurity>
  <Lines>404</Lines>
  <Paragraphs>113</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Targeted Action Plans Report</vt:lpstr>
      <vt:lpstr>Table des matières</vt:lpstr>
      <vt:lpstr>Introduction</vt:lpstr>
      <vt:lpstr>Progrès au niveau national</vt:lpstr>
      <vt:lpstr>Plan d’actions ciblé Emploi</vt:lpstr>
      <vt:lpstr>    Introduction </vt:lpstr>
      <vt:lpstr>    Objectifs</vt:lpstr>
      <vt:lpstr>Plan d’actions ciblé Attitudes des communautés</vt:lpstr>
      <vt:lpstr>    Introduction </vt:lpstr>
      <vt:lpstr>    Objectifs</vt:lpstr>
      <vt:lpstr>Plan d’actions ciblé Petite enfance</vt:lpstr>
      <vt:lpstr>    Introduction</vt:lpstr>
      <vt:lpstr>    Objectifs :</vt:lpstr>
      <vt:lpstr>Plan d’action ciblé Sécurité</vt:lpstr>
      <vt:lpstr>    Introduction</vt:lpstr>
      <vt:lpstr>    Objectifs</vt:lpstr>
      <vt:lpstr>Plan d’actions ciblé Gestion des situations d’urgence</vt:lpstr>
      <vt:lpstr>    Introduction </vt:lpstr>
      <vt:lpstr>    Objectifs</vt:lpstr>
      <vt:lpstr>Actions mises en pratique</vt:lpstr>
      <vt:lpstr>    Emploi de personnes en situation de handicap dans le secteur public de l’État du</vt:lpstr>
      <vt:lpstr>    Programmes pilotes pour l’emploi</vt:lpstr>
      <vt:lpstr>    Commissaire au handicap de Tasmanie</vt:lpstr>
      <vt:lpstr>    Atelier « Grandir différemment » sur le thème de l’éducation des enfants</vt:lpstr>
      <vt:lpstr>    Programme ACFC (Aboriginal Child and Family Centre, Centres des familles et enfa</vt:lpstr>
      <vt:lpstr>    Soutien aux comportements et réduction et élimination des pratiques restrictives</vt:lpstr>
      <vt:lpstr>    Participation des prestataires de services dans le domaine du handicap aux réuni</vt:lpstr>
      <vt:lpstr>    Initiative de réponse aux crises et aux violences domestiques sur des personnes </vt:lpstr>
      <vt:lpstr>    Assistance et hébergements d’urgence accessibles</vt:lpstr>
      <vt:lpstr>    Programme d’intermédiaires de l’ACT</vt:lpstr>
      <vt:lpstr>    Programme d’atténuation des risques face aux catastrophes inclusive du handicap</vt:lpstr>
      <vt:lpstr>    Présentation des avancées réalisées depuis le 3 décembre 2021</vt:lpstr>
    </vt:vector>
  </TitlesOfParts>
  <LinksUpToDate>false</LinksUpToDate>
  <CharactersWithSpaces>56893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2023-12-11T14:43:00Z</dcterms:created>
  <dcterms:modified xsi:type="dcterms:W3CDTF">2024-01-24T04:23:00Z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2023-12-04T00:37:39Z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7F6E5EE1BC124F48BBCF1A942EADD8AD</vt:lpwstr>
  </property>
  <property fmtid="{D5CDD505-2E9C-101B-9397-08002B2CF9AE}" pid="21" name="PM_Hash_Salt">
    <vt:lpwstr>3A6AADB3BAFE09882B620019B596C4E7</vt:lpwstr>
  </property>
  <property fmtid="{D5CDD505-2E9C-101B-9397-08002B2CF9AE}" pid="22" name="PM_Hash_SHA1">
    <vt:lpwstr>A039EDBC150C79AF0EE819C32E79A88DEBB1694A</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