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3D754DE9" w:rsidR="00881AEF" w:rsidRDefault="00A76BBD" w:rsidP="004E1AE7">
      <w:pPr>
        <w:pStyle w:val="Title"/>
      </w:pPr>
      <w:proofErr w:type="spellStart"/>
      <w:r w:rsidRPr="00A76BBD">
        <w:t>Relazione</w:t>
      </w:r>
      <w:proofErr w:type="spellEnd"/>
      <w:r w:rsidRPr="00A76BBD">
        <w:t xml:space="preserve"> </w:t>
      </w:r>
      <w:proofErr w:type="gramStart"/>
      <w:r w:rsidRPr="00A76BBD">
        <w:t>sui</w:t>
      </w:r>
      <w:proofErr w:type="gramEnd"/>
      <w:r w:rsidRPr="00A76BBD">
        <w:t xml:space="preserve"> </w:t>
      </w:r>
      <w:proofErr w:type="spellStart"/>
      <w:r w:rsidRPr="00A76BBD">
        <w:t>piani</w:t>
      </w:r>
      <w:proofErr w:type="spellEnd"/>
      <w:r w:rsidRPr="00A76BBD">
        <w:t xml:space="preserve"> </w:t>
      </w:r>
      <w:proofErr w:type="spellStart"/>
      <w:r w:rsidRPr="00A76BBD">
        <w:t>d'azione</w:t>
      </w:r>
      <w:proofErr w:type="spellEnd"/>
      <w:r w:rsidRPr="00A76BBD">
        <w:t xml:space="preserve"> </w:t>
      </w:r>
      <w:proofErr w:type="spellStart"/>
      <w:r w:rsidRPr="00A76BBD">
        <w:t>mirati</w:t>
      </w:r>
      <w:proofErr w:type="spellEnd"/>
    </w:p>
    <w:p w14:paraId="3E597896" w14:textId="116D0C6D" w:rsidR="00881AEF" w:rsidRPr="001E74CA" w:rsidRDefault="00A76BBD" w:rsidP="00883D2F">
      <w:pPr>
        <w:spacing w:before="240" w:after="240"/>
        <w:rPr>
          <w:sz w:val="56"/>
          <w:szCs w:val="56"/>
        </w:rPr>
      </w:pPr>
      <w:r w:rsidRPr="00A76BBD">
        <w:rPr>
          <w:sz w:val="56"/>
          <w:szCs w:val="56"/>
        </w:rPr>
        <w:t xml:space="preserve">Dal 1° </w:t>
      </w:r>
      <w:proofErr w:type="spellStart"/>
      <w:r w:rsidRPr="00A76BBD">
        <w:rPr>
          <w:sz w:val="56"/>
          <w:szCs w:val="56"/>
        </w:rPr>
        <w:t>luglio</w:t>
      </w:r>
      <w:proofErr w:type="spellEnd"/>
      <w:r w:rsidRPr="00A76BBD">
        <w:rPr>
          <w:sz w:val="56"/>
          <w:szCs w:val="56"/>
        </w:rPr>
        <w:t xml:space="preserve"> 2022 al 30 </w:t>
      </w:r>
      <w:proofErr w:type="spellStart"/>
      <w:r w:rsidRPr="00A76BBD">
        <w:rPr>
          <w:sz w:val="56"/>
          <w:szCs w:val="56"/>
        </w:rPr>
        <w:t>giugno</w:t>
      </w:r>
      <w:proofErr w:type="spellEnd"/>
      <w:r w:rsidRPr="00A76BBD">
        <w:rPr>
          <w:sz w:val="56"/>
          <w:szCs w:val="56"/>
        </w:rPr>
        <w:t xml:space="preserve"> 2023</w:t>
      </w:r>
    </w:p>
    <w:p w14:paraId="3BCBD241" w14:textId="49E71B94" w:rsidR="00881AEF" w:rsidRPr="001E74CA" w:rsidRDefault="00A76BBD" w:rsidP="00883D2F">
      <w:pPr>
        <w:spacing w:before="240" w:after="240"/>
        <w:rPr>
          <w:sz w:val="34"/>
          <w:szCs w:val="34"/>
        </w:rPr>
      </w:pPr>
      <w:proofErr w:type="spellStart"/>
      <w:r w:rsidRPr="00A76BBD">
        <w:rPr>
          <w:sz w:val="34"/>
          <w:szCs w:val="34"/>
        </w:rPr>
        <w:t>Strategia</w:t>
      </w:r>
      <w:proofErr w:type="spellEnd"/>
      <w:r w:rsidRPr="00A76BBD">
        <w:rPr>
          <w:sz w:val="34"/>
          <w:szCs w:val="34"/>
        </w:rPr>
        <w:t xml:space="preserve"> </w:t>
      </w:r>
      <w:proofErr w:type="spellStart"/>
      <w:r w:rsidRPr="00A76BBD">
        <w:rPr>
          <w:sz w:val="34"/>
          <w:szCs w:val="34"/>
        </w:rPr>
        <w:t>australiana</w:t>
      </w:r>
      <w:proofErr w:type="spellEnd"/>
      <w:r w:rsidRPr="00A76BBD">
        <w:rPr>
          <w:sz w:val="34"/>
          <w:szCs w:val="34"/>
        </w:rPr>
        <w:t xml:space="preserve"> </w:t>
      </w:r>
      <w:proofErr w:type="spellStart"/>
      <w:proofErr w:type="gramStart"/>
      <w:r w:rsidRPr="00A76BBD">
        <w:rPr>
          <w:sz w:val="34"/>
          <w:szCs w:val="34"/>
        </w:rPr>
        <w:t>sulla</w:t>
      </w:r>
      <w:proofErr w:type="spellEnd"/>
      <w:proofErr w:type="gramEnd"/>
      <w:r w:rsidRPr="00A76BBD">
        <w:rPr>
          <w:sz w:val="34"/>
          <w:szCs w:val="34"/>
        </w:rPr>
        <w:t xml:space="preserve"> </w:t>
      </w:r>
      <w:proofErr w:type="spellStart"/>
      <w:r w:rsidRPr="00A76BBD">
        <w:rPr>
          <w:sz w:val="34"/>
          <w:szCs w:val="34"/>
        </w:rPr>
        <w:t>disabilità</w:t>
      </w:r>
      <w:proofErr w:type="spellEnd"/>
      <w:r w:rsidRPr="00A76BBD">
        <w:rPr>
          <w:sz w:val="34"/>
          <w:szCs w:val="34"/>
        </w:rPr>
        <w:t xml:space="preserve"> 2021-2031</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040D21BD" w14:textId="2424096F" w:rsidR="00FB6BEB" w:rsidRPr="00FB6BEB" w:rsidRDefault="00A76BBD" w:rsidP="00FB6BEB">
      <w:pPr>
        <w:spacing w:after="0" w:line="240" w:lineRule="auto"/>
        <w:rPr>
          <w:rFonts w:asciiTheme="minorHAnsi" w:hAnsiTheme="minorHAnsi" w:cstheme="minorHAnsi"/>
        </w:rPr>
      </w:pPr>
      <w:r w:rsidRPr="00030BB0">
        <w:rPr>
          <w:rFonts w:cs="Arial"/>
          <w:lang w:val="it-IT"/>
        </w:rPr>
        <w:lastRenderedPageBreak/>
        <w:t>Il presente documento, Relazione sui piani d'azione mirati, dal 1° luglio 2022 al 30 giugno 2023,</w:t>
      </w:r>
      <w:r>
        <w:rPr>
          <w:rFonts w:cs="Arial"/>
          <w:lang w:val="it-IT"/>
        </w:rPr>
        <w:t xml:space="preserve"> </w:t>
      </w:r>
      <w:r w:rsidRPr="00030BB0">
        <w:rPr>
          <w:rFonts w:cs="Arial"/>
          <w:lang w:val="it-IT"/>
        </w:rPr>
        <w:t>la Strategia australiana sulla disabilità 2021-2031 viene pubblicato dietro licenza Creative Commons Attribution</w:t>
      </w:r>
      <w:r>
        <w:rPr>
          <w:rFonts w:cs="Arial"/>
          <w:lang w:val="it-IT"/>
        </w:rPr>
        <w:t xml:space="preserve"> </w:t>
      </w:r>
      <w:r w:rsidRPr="00030BB0">
        <w:rPr>
          <w:rFonts w:cs="Arial"/>
          <w:lang w:val="it-IT"/>
        </w:rPr>
        <w:t>4.0 Licenza Internazionale, ad eccezione di:</w:t>
      </w:r>
      <w:r w:rsidR="00FB6BEB" w:rsidRPr="00FB6BEB">
        <w:rPr>
          <w:rFonts w:asciiTheme="minorHAnsi" w:hAnsiTheme="minorHAnsi" w:cstheme="minorHAnsi"/>
        </w:rPr>
        <w:t xml:space="preserve"> </w:t>
      </w:r>
    </w:p>
    <w:p w14:paraId="10A2AF35" w14:textId="2BB4F773" w:rsidR="00FB6BEB" w:rsidRPr="000842DE" w:rsidRDefault="00A76BBD" w:rsidP="00B67DD9">
      <w:pPr>
        <w:pStyle w:val="ListParagraph"/>
        <w:numPr>
          <w:ilvl w:val="0"/>
          <w:numId w:val="13"/>
        </w:numPr>
        <w:spacing w:before="240" w:after="120" w:line="240" w:lineRule="auto"/>
        <w:contextualSpacing w:val="0"/>
        <w:rPr>
          <w:rFonts w:asciiTheme="minorHAnsi" w:hAnsiTheme="minorHAnsi" w:cstheme="minorHAnsi"/>
        </w:rPr>
      </w:pPr>
      <w:r w:rsidRPr="00030BB0">
        <w:rPr>
          <w:rFonts w:cs="Arial"/>
          <w:lang w:val="it-IT"/>
        </w:rPr>
        <w:t>Logo e marchio della Strategia australiana sulla disabilità 2021-2031</w:t>
      </w:r>
    </w:p>
    <w:p w14:paraId="4C2833E8" w14:textId="108D78FA" w:rsidR="00FB6BEB" w:rsidRPr="000842DE" w:rsidRDefault="00A76BBD" w:rsidP="00B67DD9">
      <w:pPr>
        <w:pStyle w:val="ListParagraph"/>
        <w:numPr>
          <w:ilvl w:val="0"/>
          <w:numId w:val="13"/>
        </w:numPr>
        <w:spacing w:before="120" w:after="120" w:line="240" w:lineRule="auto"/>
        <w:contextualSpacing w:val="0"/>
        <w:rPr>
          <w:rFonts w:asciiTheme="minorHAnsi" w:hAnsiTheme="minorHAnsi" w:cstheme="minorHAnsi"/>
        </w:rPr>
      </w:pPr>
      <w:r w:rsidRPr="00030BB0">
        <w:rPr>
          <w:rFonts w:cs="Arial"/>
          <w:lang w:val="it-IT"/>
        </w:rPr>
        <w:t>Qualsiasi materiale di terze parti</w:t>
      </w:r>
    </w:p>
    <w:p w14:paraId="3D5C3934" w14:textId="7BE768AB" w:rsidR="00FB6BEB" w:rsidRPr="000842DE" w:rsidRDefault="00A76BBD" w:rsidP="00B67DD9">
      <w:pPr>
        <w:pStyle w:val="ListParagraph"/>
        <w:numPr>
          <w:ilvl w:val="0"/>
          <w:numId w:val="13"/>
        </w:numPr>
        <w:spacing w:before="120" w:after="120" w:line="240" w:lineRule="auto"/>
        <w:contextualSpacing w:val="0"/>
        <w:rPr>
          <w:rFonts w:asciiTheme="minorHAnsi" w:hAnsiTheme="minorHAnsi" w:cstheme="minorHAnsi"/>
        </w:rPr>
      </w:pPr>
      <w:r w:rsidRPr="00030BB0">
        <w:rPr>
          <w:rFonts w:cs="Arial"/>
          <w:lang w:val="it-IT"/>
        </w:rPr>
        <w:t>Tutte le immagini e/o fotografie.</w:t>
      </w:r>
    </w:p>
    <w:p w14:paraId="496D6FE9" w14:textId="536D88EF" w:rsidR="00FB6BEB" w:rsidRPr="00FB6BEB" w:rsidRDefault="00A76BBD" w:rsidP="000842DE">
      <w:pPr>
        <w:spacing w:before="240" w:after="0" w:line="240" w:lineRule="auto"/>
        <w:rPr>
          <w:rFonts w:asciiTheme="minorHAnsi" w:hAnsiTheme="minorHAnsi" w:cstheme="minorHAnsi"/>
        </w:rPr>
      </w:pPr>
      <w:r w:rsidRPr="00030BB0">
        <w:rPr>
          <w:rFonts w:cs="Arial"/>
          <w:lang w:val="it-IT"/>
        </w:rPr>
        <w:t>Maggiori informazioni su questa licenza CC By sono disponibili sul sito web Creative Commons:</w:t>
      </w:r>
      <w:r w:rsidR="00FB6BEB" w:rsidRPr="00FB6BEB">
        <w:rPr>
          <w:rFonts w:asciiTheme="minorHAnsi" w:hAnsiTheme="minorHAnsi" w:cstheme="minorHAnsi"/>
        </w:rPr>
        <w:t xml:space="preserve"> </w:t>
      </w:r>
    </w:p>
    <w:p w14:paraId="066B238D" w14:textId="50BED261" w:rsidR="00FB6BEB" w:rsidRPr="00FB6BEB" w:rsidRDefault="008E3222"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531BA9CE" w:rsidR="00FB6BEB" w:rsidRPr="00FB6BEB" w:rsidRDefault="00A76BBD" w:rsidP="000842DE">
      <w:pPr>
        <w:spacing w:before="240" w:after="0" w:line="240" w:lineRule="auto"/>
        <w:rPr>
          <w:rFonts w:asciiTheme="minorHAnsi" w:hAnsiTheme="minorHAnsi" w:cstheme="minorHAnsi"/>
        </w:rPr>
      </w:pPr>
      <w:proofErr w:type="spellStart"/>
      <w:r w:rsidRPr="00030BB0">
        <w:rPr>
          <w:rFonts w:cs="Arial"/>
        </w:rPr>
        <w:t>Attribuzione</w:t>
      </w:r>
      <w:proofErr w:type="spellEnd"/>
      <w:r w:rsidR="00FB6BEB" w:rsidRPr="00FB6BEB">
        <w:rPr>
          <w:rFonts w:asciiTheme="minorHAnsi" w:hAnsiTheme="minorHAnsi" w:cstheme="minorHAnsi"/>
        </w:rPr>
        <w:t xml:space="preserve"> </w:t>
      </w:r>
    </w:p>
    <w:p w14:paraId="3AD5EC4C" w14:textId="26D352BF" w:rsidR="00FB6BEB" w:rsidRPr="00FB6BEB" w:rsidRDefault="00A76BBD" w:rsidP="000842DE">
      <w:pPr>
        <w:spacing w:before="240" w:after="0" w:line="240" w:lineRule="auto"/>
        <w:rPr>
          <w:rFonts w:asciiTheme="minorHAnsi" w:hAnsiTheme="minorHAnsi" w:cstheme="minorHAnsi"/>
        </w:rPr>
      </w:pPr>
      <w:r w:rsidRPr="00030BB0">
        <w:rPr>
          <w:rFonts w:cs="Arial"/>
          <w:lang w:val="it-IT"/>
        </w:rPr>
        <w:t>L'utilizzo totale o parziale del presente documento deve includere la seguente attribuzione:</w:t>
      </w:r>
      <w:r w:rsidR="00FB6BEB" w:rsidRPr="00FB6BEB">
        <w:rPr>
          <w:rFonts w:asciiTheme="minorHAnsi" w:hAnsiTheme="minorHAnsi" w:cstheme="minorHAnsi"/>
        </w:rPr>
        <w:t xml:space="preserve"> © Commonwealth of Australia (Department of Social Services) 2023 </w:t>
      </w:r>
    </w:p>
    <w:p w14:paraId="13448D78" w14:textId="2E162973" w:rsidR="008C13A0" w:rsidRDefault="00A76BBD" w:rsidP="000842DE">
      <w:pPr>
        <w:spacing w:before="240" w:after="0" w:line="240" w:lineRule="auto"/>
        <w:rPr>
          <w:rFonts w:asciiTheme="minorHAnsi" w:hAnsiTheme="minorHAnsi" w:cstheme="minorHAnsi"/>
        </w:rPr>
      </w:pPr>
      <w:r w:rsidRPr="00030BB0">
        <w:rPr>
          <w:rFonts w:cs="Arial"/>
          <w:lang w:val="it-IT"/>
        </w:rPr>
        <w:t>Richieste relative alle disposizioni sul diritto d'autore e qualsiasi utilizzo di queste informazioni possono essere inviate al Dipartimento dei servizi sociali:</w:t>
      </w:r>
      <w:r w:rsidR="00FB6BEB" w:rsidRPr="00FB6BEB">
        <w:rPr>
          <w:rFonts w:asciiTheme="minorHAnsi" w:hAnsiTheme="minorHAnsi" w:cstheme="minorHAnsi"/>
        </w:rPr>
        <w:t xml:space="preserve"> </w:t>
      </w:r>
    </w:p>
    <w:p w14:paraId="6CB2C241" w14:textId="4AA7123C" w:rsidR="00FB6BEB" w:rsidRPr="00FB6BEB" w:rsidRDefault="00A76BBD" w:rsidP="000842DE">
      <w:pPr>
        <w:spacing w:before="240" w:after="0" w:line="240" w:lineRule="auto"/>
        <w:rPr>
          <w:rFonts w:asciiTheme="minorHAnsi" w:hAnsiTheme="minorHAnsi" w:cstheme="minorHAnsi"/>
        </w:rPr>
      </w:pPr>
      <w:r w:rsidRPr="00030BB0">
        <w:rPr>
          <w:rFonts w:cs="Arial"/>
          <w:lang w:val="it-IT"/>
        </w:rPr>
        <w:t xml:space="preserve">Per e-mail: </w:t>
      </w:r>
      <w:r w:rsidR="00FB6BEB" w:rsidRPr="00FB6BEB">
        <w:rPr>
          <w:rFonts w:asciiTheme="minorHAnsi" w:hAnsiTheme="minorHAnsi" w:cstheme="minorHAnsi"/>
        </w:rPr>
        <w:t xml:space="preserve"> </w:t>
      </w:r>
      <w:hyperlink r:id="rId10" w:history="1">
        <w:r w:rsidR="008C13A0" w:rsidRPr="00EE11EE">
          <w:rPr>
            <w:rStyle w:val="Hyperlink"/>
            <w:rFonts w:asciiTheme="minorHAnsi" w:hAnsiTheme="minorHAnsi" w:cstheme="minorHAnsi"/>
          </w:rPr>
          <w:t>communication@dss.gov.au</w:t>
        </w:r>
      </w:hyperlink>
    </w:p>
    <w:p w14:paraId="05644BE3" w14:textId="19BF720E" w:rsidR="00881AEF" w:rsidRPr="00FB6BEB" w:rsidRDefault="00A76BBD" w:rsidP="008C13A0">
      <w:pPr>
        <w:spacing w:before="240" w:after="0" w:line="240" w:lineRule="auto"/>
        <w:rPr>
          <w:rFonts w:asciiTheme="minorHAnsi" w:hAnsiTheme="minorHAnsi" w:cstheme="minorHAnsi"/>
        </w:rPr>
      </w:pPr>
      <w:r w:rsidRPr="00030BB0">
        <w:rPr>
          <w:rFonts w:cs="Arial"/>
          <w:lang w:val="it-IT"/>
        </w:rPr>
        <w:t xml:space="preserve">Per posta: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635B8911" w:rsidR="008C13A0" w:rsidRDefault="00365617" w:rsidP="008C13A0">
      <w:pPr>
        <w:pStyle w:val="Heading1"/>
      </w:pPr>
      <w:bookmarkStart w:id="0" w:name="_Toc153298570"/>
      <w:proofErr w:type="spellStart"/>
      <w:r w:rsidRPr="00365617">
        <w:lastRenderedPageBreak/>
        <w:t>Contenuti</w:t>
      </w:r>
      <w:bookmarkEnd w:id="0"/>
      <w:proofErr w:type="spellEnd"/>
    </w:p>
    <w:sdt>
      <w:sdtPr>
        <w:rPr>
          <w:b/>
          <w:bCs/>
        </w:rPr>
        <w:id w:val="-202179485"/>
        <w:docPartObj>
          <w:docPartGallery w:val="Table of Contents"/>
          <w:docPartUnique/>
        </w:docPartObj>
      </w:sdtPr>
      <w:sdtEndPr>
        <w:rPr>
          <w:b w:val="0"/>
          <w:bCs w:val="0"/>
          <w:noProof/>
        </w:rPr>
      </w:sdtEndPr>
      <w:sdtContent>
        <w:p w14:paraId="1B12ACCF" w14:textId="5ADADD61" w:rsidR="00266C8F" w:rsidRDefault="008E5C12" w:rsidP="00266C8F">
          <w:pPr>
            <w:rPr>
              <w:rFonts w:asciiTheme="minorHAnsi" w:eastAsiaTheme="minorEastAsia" w:hAnsiTheme="minorHAnsi"/>
              <w:noProof/>
              <w:lang w:val="en-US"/>
            </w:rPr>
          </w:pPr>
          <w:r>
            <w:fldChar w:fldCharType="begin"/>
          </w:r>
          <w:r>
            <w:instrText xml:space="preserve"> TOC \o "1-3" \h \z \u </w:instrText>
          </w:r>
          <w:r>
            <w:fldChar w:fldCharType="separate"/>
          </w:r>
        </w:p>
        <w:p w14:paraId="367C4AC8" w14:textId="77777777" w:rsidR="00266C8F" w:rsidRDefault="008E3222">
          <w:pPr>
            <w:pStyle w:val="TOC1"/>
            <w:tabs>
              <w:tab w:val="right" w:leader="dot" w:pos="9016"/>
            </w:tabs>
            <w:rPr>
              <w:rFonts w:asciiTheme="minorHAnsi" w:eastAsiaTheme="minorEastAsia" w:hAnsiTheme="minorHAnsi"/>
              <w:noProof/>
              <w:lang w:val="en-US"/>
            </w:rPr>
          </w:pPr>
          <w:hyperlink w:anchor="_Toc153298571" w:history="1">
            <w:r w:rsidR="00266C8F" w:rsidRPr="00DF2301">
              <w:rPr>
                <w:rStyle w:val="Hyperlink"/>
                <w:noProof/>
              </w:rPr>
              <w:t>Introduzione</w:t>
            </w:r>
            <w:r w:rsidR="00266C8F">
              <w:rPr>
                <w:noProof/>
                <w:webHidden/>
              </w:rPr>
              <w:tab/>
            </w:r>
            <w:r w:rsidR="00266C8F">
              <w:rPr>
                <w:noProof/>
                <w:webHidden/>
              </w:rPr>
              <w:fldChar w:fldCharType="begin"/>
            </w:r>
            <w:r w:rsidR="00266C8F">
              <w:rPr>
                <w:noProof/>
                <w:webHidden/>
              </w:rPr>
              <w:instrText xml:space="preserve"> PAGEREF _Toc153298571 \h </w:instrText>
            </w:r>
            <w:r w:rsidR="00266C8F">
              <w:rPr>
                <w:noProof/>
                <w:webHidden/>
              </w:rPr>
            </w:r>
            <w:r w:rsidR="00266C8F">
              <w:rPr>
                <w:noProof/>
                <w:webHidden/>
              </w:rPr>
              <w:fldChar w:fldCharType="separate"/>
            </w:r>
            <w:r w:rsidR="00266C8F">
              <w:rPr>
                <w:noProof/>
                <w:webHidden/>
              </w:rPr>
              <w:t>2</w:t>
            </w:r>
            <w:r w:rsidR="00266C8F">
              <w:rPr>
                <w:noProof/>
                <w:webHidden/>
              </w:rPr>
              <w:fldChar w:fldCharType="end"/>
            </w:r>
          </w:hyperlink>
        </w:p>
        <w:p w14:paraId="594D9C5E" w14:textId="77777777" w:rsidR="00266C8F" w:rsidRDefault="008E3222">
          <w:pPr>
            <w:pStyle w:val="TOC1"/>
            <w:tabs>
              <w:tab w:val="right" w:leader="dot" w:pos="9016"/>
            </w:tabs>
            <w:rPr>
              <w:rFonts w:asciiTheme="minorHAnsi" w:eastAsiaTheme="minorEastAsia" w:hAnsiTheme="minorHAnsi"/>
              <w:noProof/>
              <w:lang w:val="en-US"/>
            </w:rPr>
          </w:pPr>
          <w:hyperlink w:anchor="_Toc153298572" w:history="1">
            <w:r w:rsidR="00266C8F" w:rsidRPr="00DF2301">
              <w:rPr>
                <w:rStyle w:val="Hyperlink"/>
                <w:rFonts w:cs="Arial"/>
                <w:noProof/>
              </w:rPr>
              <w:t>Progresso nazionale</w:t>
            </w:r>
            <w:r w:rsidR="00266C8F">
              <w:rPr>
                <w:noProof/>
                <w:webHidden/>
              </w:rPr>
              <w:tab/>
            </w:r>
            <w:r w:rsidR="00266C8F">
              <w:rPr>
                <w:noProof/>
                <w:webHidden/>
              </w:rPr>
              <w:fldChar w:fldCharType="begin"/>
            </w:r>
            <w:r w:rsidR="00266C8F">
              <w:rPr>
                <w:noProof/>
                <w:webHidden/>
              </w:rPr>
              <w:instrText xml:space="preserve"> PAGEREF _Toc153298572 \h </w:instrText>
            </w:r>
            <w:r w:rsidR="00266C8F">
              <w:rPr>
                <w:noProof/>
                <w:webHidden/>
              </w:rPr>
            </w:r>
            <w:r w:rsidR="00266C8F">
              <w:rPr>
                <w:noProof/>
                <w:webHidden/>
              </w:rPr>
              <w:fldChar w:fldCharType="separate"/>
            </w:r>
            <w:r w:rsidR="00266C8F">
              <w:rPr>
                <w:noProof/>
                <w:webHidden/>
              </w:rPr>
              <w:t>5</w:t>
            </w:r>
            <w:r w:rsidR="00266C8F">
              <w:rPr>
                <w:noProof/>
                <w:webHidden/>
              </w:rPr>
              <w:fldChar w:fldCharType="end"/>
            </w:r>
          </w:hyperlink>
        </w:p>
        <w:p w14:paraId="1174A774" w14:textId="77777777" w:rsidR="00266C8F" w:rsidRDefault="008E3222">
          <w:pPr>
            <w:pStyle w:val="TOC1"/>
            <w:tabs>
              <w:tab w:val="right" w:leader="dot" w:pos="9016"/>
            </w:tabs>
            <w:rPr>
              <w:rFonts w:asciiTheme="minorHAnsi" w:eastAsiaTheme="minorEastAsia" w:hAnsiTheme="minorHAnsi"/>
              <w:noProof/>
              <w:lang w:val="en-US"/>
            </w:rPr>
          </w:pPr>
          <w:hyperlink w:anchor="_Toc153298573" w:history="1">
            <w:r w:rsidR="00266C8F" w:rsidRPr="00DF2301">
              <w:rPr>
                <w:rStyle w:val="Hyperlink"/>
                <w:rFonts w:cs="Arial"/>
                <w:noProof/>
                <w:lang w:val="it-IT"/>
              </w:rPr>
              <w:t>Piano d'azione mirato per l'occupazione</w:t>
            </w:r>
            <w:r w:rsidR="00266C8F">
              <w:rPr>
                <w:noProof/>
                <w:webHidden/>
              </w:rPr>
              <w:tab/>
            </w:r>
            <w:r w:rsidR="00266C8F">
              <w:rPr>
                <w:noProof/>
                <w:webHidden/>
              </w:rPr>
              <w:fldChar w:fldCharType="begin"/>
            </w:r>
            <w:r w:rsidR="00266C8F">
              <w:rPr>
                <w:noProof/>
                <w:webHidden/>
              </w:rPr>
              <w:instrText xml:space="preserve"> PAGEREF _Toc153298573 \h </w:instrText>
            </w:r>
            <w:r w:rsidR="00266C8F">
              <w:rPr>
                <w:noProof/>
                <w:webHidden/>
              </w:rPr>
            </w:r>
            <w:r w:rsidR="00266C8F">
              <w:rPr>
                <w:noProof/>
                <w:webHidden/>
              </w:rPr>
              <w:fldChar w:fldCharType="separate"/>
            </w:r>
            <w:r w:rsidR="00266C8F">
              <w:rPr>
                <w:noProof/>
                <w:webHidden/>
              </w:rPr>
              <w:t>8</w:t>
            </w:r>
            <w:r w:rsidR="00266C8F">
              <w:rPr>
                <w:noProof/>
                <w:webHidden/>
              </w:rPr>
              <w:fldChar w:fldCharType="end"/>
            </w:r>
          </w:hyperlink>
        </w:p>
        <w:p w14:paraId="2D74DE91" w14:textId="77777777" w:rsidR="00266C8F" w:rsidRDefault="008E3222">
          <w:pPr>
            <w:pStyle w:val="TOC1"/>
            <w:tabs>
              <w:tab w:val="right" w:leader="dot" w:pos="9016"/>
            </w:tabs>
            <w:rPr>
              <w:rFonts w:asciiTheme="minorHAnsi" w:eastAsiaTheme="minorEastAsia" w:hAnsiTheme="minorHAnsi"/>
              <w:noProof/>
              <w:lang w:val="en-US"/>
            </w:rPr>
          </w:pPr>
          <w:hyperlink w:anchor="_Toc153298576" w:history="1">
            <w:r w:rsidR="00266C8F" w:rsidRPr="00DF2301">
              <w:rPr>
                <w:rStyle w:val="Hyperlink"/>
                <w:rFonts w:cs="Arial"/>
                <w:noProof/>
                <w:lang w:val="it-IT"/>
              </w:rPr>
              <w:t>Piano d'azione mirato sugli atteggiamenti della comunità</w:t>
            </w:r>
            <w:r w:rsidR="00266C8F">
              <w:rPr>
                <w:noProof/>
                <w:webHidden/>
              </w:rPr>
              <w:tab/>
            </w:r>
            <w:r w:rsidR="00266C8F">
              <w:rPr>
                <w:noProof/>
                <w:webHidden/>
              </w:rPr>
              <w:fldChar w:fldCharType="begin"/>
            </w:r>
            <w:r w:rsidR="00266C8F">
              <w:rPr>
                <w:noProof/>
                <w:webHidden/>
              </w:rPr>
              <w:instrText xml:space="preserve"> PAGEREF _Toc153298576 \h </w:instrText>
            </w:r>
            <w:r w:rsidR="00266C8F">
              <w:rPr>
                <w:noProof/>
                <w:webHidden/>
              </w:rPr>
            </w:r>
            <w:r w:rsidR="00266C8F">
              <w:rPr>
                <w:noProof/>
                <w:webHidden/>
              </w:rPr>
              <w:fldChar w:fldCharType="separate"/>
            </w:r>
            <w:r w:rsidR="00266C8F">
              <w:rPr>
                <w:noProof/>
                <w:webHidden/>
              </w:rPr>
              <w:t>10</w:t>
            </w:r>
            <w:r w:rsidR="00266C8F">
              <w:rPr>
                <w:noProof/>
                <w:webHidden/>
              </w:rPr>
              <w:fldChar w:fldCharType="end"/>
            </w:r>
          </w:hyperlink>
        </w:p>
        <w:p w14:paraId="54CBABA9" w14:textId="77777777" w:rsidR="00266C8F" w:rsidRDefault="008E3222">
          <w:pPr>
            <w:pStyle w:val="TOC1"/>
            <w:tabs>
              <w:tab w:val="right" w:leader="dot" w:pos="9016"/>
            </w:tabs>
            <w:rPr>
              <w:rFonts w:asciiTheme="minorHAnsi" w:eastAsiaTheme="minorEastAsia" w:hAnsiTheme="minorHAnsi"/>
              <w:noProof/>
              <w:lang w:val="en-US"/>
            </w:rPr>
          </w:pPr>
          <w:hyperlink w:anchor="_Toc153298579" w:history="1">
            <w:r w:rsidR="00266C8F" w:rsidRPr="00DF2301">
              <w:rPr>
                <w:rStyle w:val="Hyperlink"/>
                <w:rFonts w:cs="Arial"/>
                <w:noProof/>
                <w:lang w:val="it-IT"/>
              </w:rPr>
              <w:t>Piano d'azione mirato per la prima infanzia</w:t>
            </w:r>
            <w:r w:rsidR="00266C8F">
              <w:rPr>
                <w:noProof/>
                <w:webHidden/>
              </w:rPr>
              <w:tab/>
            </w:r>
            <w:r w:rsidR="00266C8F">
              <w:rPr>
                <w:noProof/>
                <w:webHidden/>
              </w:rPr>
              <w:fldChar w:fldCharType="begin"/>
            </w:r>
            <w:r w:rsidR="00266C8F">
              <w:rPr>
                <w:noProof/>
                <w:webHidden/>
              </w:rPr>
              <w:instrText xml:space="preserve"> PAGEREF _Toc153298579 \h </w:instrText>
            </w:r>
            <w:r w:rsidR="00266C8F">
              <w:rPr>
                <w:noProof/>
                <w:webHidden/>
              </w:rPr>
            </w:r>
            <w:r w:rsidR="00266C8F">
              <w:rPr>
                <w:noProof/>
                <w:webHidden/>
              </w:rPr>
              <w:fldChar w:fldCharType="separate"/>
            </w:r>
            <w:r w:rsidR="00266C8F">
              <w:rPr>
                <w:noProof/>
                <w:webHidden/>
              </w:rPr>
              <w:t>13</w:t>
            </w:r>
            <w:r w:rsidR="00266C8F">
              <w:rPr>
                <w:noProof/>
                <w:webHidden/>
              </w:rPr>
              <w:fldChar w:fldCharType="end"/>
            </w:r>
          </w:hyperlink>
        </w:p>
        <w:p w14:paraId="68F53C26" w14:textId="77777777" w:rsidR="00266C8F" w:rsidRDefault="008E3222">
          <w:pPr>
            <w:pStyle w:val="TOC1"/>
            <w:tabs>
              <w:tab w:val="right" w:leader="dot" w:pos="9016"/>
            </w:tabs>
            <w:rPr>
              <w:rFonts w:asciiTheme="minorHAnsi" w:eastAsiaTheme="minorEastAsia" w:hAnsiTheme="minorHAnsi"/>
              <w:noProof/>
              <w:lang w:val="en-US"/>
            </w:rPr>
          </w:pPr>
          <w:hyperlink w:anchor="_Toc153298582" w:history="1">
            <w:r w:rsidR="00266C8F" w:rsidRPr="00DF2301">
              <w:rPr>
                <w:rStyle w:val="Hyperlink"/>
                <w:rFonts w:cs="Arial"/>
                <w:noProof/>
                <w:lang w:val="it-IT"/>
              </w:rPr>
              <w:t>Piano d'azione mirato alla sicurezza</w:t>
            </w:r>
            <w:r w:rsidR="00266C8F">
              <w:rPr>
                <w:noProof/>
                <w:webHidden/>
              </w:rPr>
              <w:tab/>
            </w:r>
            <w:r w:rsidR="00266C8F">
              <w:rPr>
                <w:noProof/>
                <w:webHidden/>
              </w:rPr>
              <w:fldChar w:fldCharType="begin"/>
            </w:r>
            <w:r w:rsidR="00266C8F">
              <w:rPr>
                <w:noProof/>
                <w:webHidden/>
              </w:rPr>
              <w:instrText xml:space="preserve"> PAGEREF _Toc153298582 \h </w:instrText>
            </w:r>
            <w:r w:rsidR="00266C8F">
              <w:rPr>
                <w:noProof/>
                <w:webHidden/>
              </w:rPr>
            </w:r>
            <w:r w:rsidR="00266C8F">
              <w:rPr>
                <w:noProof/>
                <w:webHidden/>
              </w:rPr>
              <w:fldChar w:fldCharType="separate"/>
            </w:r>
            <w:r w:rsidR="00266C8F">
              <w:rPr>
                <w:noProof/>
                <w:webHidden/>
              </w:rPr>
              <w:t>15</w:t>
            </w:r>
            <w:r w:rsidR="00266C8F">
              <w:rPr>
                <w:noProof/>
                <w:webHidden/>
              </w:rPr>
              <w:fldChar w:fldCharType="end"/>
            </w:r>
          </w:hyperlink>
        </w:p>
        <w:p w14:paraId="50614A40" w14:textId="77777777" w:rsidR="00266C8F" w:rsidRDefault="008E3222">
          <w:pPr>
            <w:pStyle w:val="TOC1"/>
            <w:tabs>
              <w:tab w:val="right" w:leader="dot" w:pos="9016"/>
            </w:tabs>
            <w:rPr>
              <w:rFonts w:asciiTheme="minorHAnsi" w:eastAsiaTheme="minorEastAsia" w:hAnsiTheme="minorHAnsi"/>
              <w:noProof/>
              <w:lang w:val="en-US"/>
            </w:rPr>
          </w:pPr>
          <w:hyperlink w:anchor="_Toc153298585" w:history="1">
            <w:r w:rsidR="00266C8F" w:rsidRPr="00DF2301">
              <w:rPr>
                <w:rStyle w:val="Hyperlink"/>
                <w:rFonts w:cs="Arial"/>
                <w:noProof/>
                <w:lang w:val="it-IT"/>
              </w:rPr>
              <w:t>Piano d'azione mirato per la gestione delle emergenze</w:t>
            </w:r>
            <w:r w:rsidR="00266C8F">
              <w:rPr>
                <w:noProof/>
                <w:webHidden/>
              </w:rPr>
              <w:tab/>
            </w:r>
            <w:r w:rsidR="00266C8F">
              <w:rPr>
                <w:noProof/>
                <w:webHidden/>
              </w:rPr>
              <w:fldChar w:fldCharType="begin"/>
            </w:r>
            <w:r w:rsidR="00266C8F">
              <w:rPr>
                <w:noProof/>
                <w:webHidden/>
              </w:rPr>
              <w:instrText xml:space="preserve"> PAGEREF _Toc153298585 \h </w:instrText>
            </w:r>
            <w:r w:rsidR="00266C8F">
              <w:rPr>
                <w:noProof/>
                <w:webHidden/>
              </w:rPr>
            </w:r>
            <w:r w:rsidR="00266C8F">
              <w:rPr>
                <w:noProof/>
                <w:webHidden/>
              </w:rPr>
              <w:fldChar w:fldCharType="separate"/>
            </w:r>
            <w:r w:rsidR="00266C8F">
              <w:rPr>
                <w:noProof/>
                <w:webHidden/>
              </w:rPr>
              <w:t>17</w:t>
            </w:r>
            <w:r w:rsidR="00266C8F">
              <w:rPr>
                <w:noProof/>
                <w:webHidden/>
              </w:rPr>
              <w:fldChar w:fldCharType="end"/>
            </w:r>
          </w:hyperlink>
        </w:p>
        <w:p w14:paraId="379544DA" w14:textId="77777777" w:rsidR="00266C8F" w:rsidRDefault="008E3222">
          <w:pPr>
            <w:pStyle w:val="TOC1"/>
            <w:tabs>
              <w:tab w:val="right" w:leader="dot" w:pos="9016"/>
            </w:tabs>
            <w:rPr>
              <w:rFonts w:asciiTheme="minorHAnsi" w:eastAsiaTheme="minorEastAsia" w:hAnsiTheme="minorHAnsi"/>
              <w:noProof/>
              <w:lang w:val="en-US"/>
            </w:rPr>
          </w:pPr>
          <w:hyperlink w:anchor="_Toc153298588" w:history="1">
            <w:r w:rsidR="00266C8F" w:rsidRPr="00DF2301">
              <w:rPr>
                <w:rStyle w:val="Hyperlink"/>
                <w:rFonts w:cs="Arial"/>
                <w:noProof/>
              </w:rPr>
              <w:t>Azioni in pratica</w:t>
            </w:r>
            <w:r w:rsidR="00266C8F">
              <w:rPr>
                <w:noProof/>
                <w:webHidden/>
              </w:rPr>
              <w:tab/>
            </w:r>
            <w:r w:rsidR="00266C8F">
              <w:rPr>
                <w:noProof/>
                <w:webHidden/>
              </w:rPr>
              <w:fldChar w:fldCharType="begin"/>
            </w:r>
            <w:r w:rsidR="00266C8F">
              <w:rPr>
                <w:noProof/>
                <w:webHidden/>
              </w:rPr>
              <w:instrText xml:space="preserve"> PAGEREF _Toc153298588 \h </w:instrText>
            </w:r>
            <w:r w:rsidR="00266C8F">
              <w:rPr>
                <w:noProof/>
                <w:webHidden/>
              </w:rPr>
            </w:r>
            <w:r w:rsidR="00266C8F">
              <w:rPr>
                <w:noProof/>
                <w:webHidden/>
              </w:rPr>
              <w:fldChar w:fldCharType="separate"/>
            </w:r>
            <w:r w:rsidR="00266C8F">
              <w:rPr>
                <w:noProof/>
                <w:webHidden/>
              </w:rPr>
              <w:t>19</w:t>
            </w:r>
            <w:r w:rsidR="00266C8F">
              <w:rPr>
                <w:noProof/>
                <w:webHidden/>
              </w:rPr>
              <w:fldChar w:fldCharType="end"/>
            </w:r>
          </w:hyperlink>
        </w:p>
        <w:p w14:paraId="747F3609" w14:textId="77777777" w:rsidR="00266C8F" w:rsidRDefault="008E3222">
          <w:pPr>
            <w:pStyle w:val="TOC2"/>
            <w:tabs>
              <w:tab w:val="right" w:leader="dot" w:pos="9016"/>
            </w:tabs>
            <w:rPr>
              <w:rFonts w:cstheme="minorBidi"/>
              <w:noProof/>
            </w:rPr>
          </w:pPr>
          <w:hyperlink w:anchor="_Toc153298589" w:history="1">
            <w:r w:rsidR="00266C8F" w:rsidRPr="00DF2301">
              <w:rPr>
                <w:rStyle w:val="Hyperlink"/>
                <w:rFonts w:cs="Arial"/>
                <w:noProof/>
                <w:lang w:val="it-IT"/>
              </w:rPr>
              <w:t>Dipendenti con disabilità nel settore pubblico del Queensland</w:t>
            </w:r>
            <w:r w:rsidR="00266C8F">
              <w:rPr>
                <w:noProof/>
                <w:webHidden/>
              </w:rPr>
              <w:tab/>
            </w:r>
            <w:r w:rsidR="00266C8F">
              <w:rPr>
                <w:noProof/>
                <w:webHidden/>
              </w:rPr>
              <w:fldChar w:fldCharType="begin"/>
            </w:r>
            <w:r w:rsidR="00266C8F">
              <w:rPr>
                <w:noProof/>
                <w:webHidden/>
              </w:rPr>
              <w:instrText xml:space="preserve"> PAGEREF _Toc153298589 \h </w:instrText>
            </w:r>
            <w:r w:rsidR="00266C8F">
              <w:rPr>
                <w:noProof/>
                <w:webHidden/>
              </w:rPr>
            </w:r>
            <w:r w:rsidR="00266C8F">
              <w:rPr>
                <w:noProof/>
                <w:webHidden/>
              </w:rPr>
              <w:fldChar w:fldCharType="separate"/>
            </w:r>
            <w:r w:rsidR="00266C8F">
              <w:rPr>
                <w:noProof/>
                <w:webHidden/>
              </w:rPr>
              <w:t>20</w:t>
            </w:r>
            <w:r w:rsidR="00266C8F">
              <w:rPr>
                <w:noProof/>
                <w:webHidden/>
              </w:rPr>
              <w:fldChar w:fldCharType="end"/>
            </w:r>
          </w:hyperlink>
        </w:p>
        <w:p w14:paraId="4F48E51D" w14:textId="77777777" w:rsidR="00266C8F" w:rsidRDefault="008E3222">
          <w:pPr>
            <w:pStyle w:val="TOC2"/>
            <w:tabs>
              <w:tab w:val="right" w:leader="dot" w:pos="9016"/>
            </w:tabs>
            <w:rPr>
              <w:rFonts w:cstheme="minorBidi"/>
              <w:noProof/>
            </w:rPr>
          </w:pPr>
          <w:hyperlink w:anchor="_Toc153298590" w:history="1">
            <w:r w:rsidR="00266C8F" w:rsidRPr="00DF2301">
              <w:rPr>
                <w:rStyle w:val="Hyperlink"/>
                <w:rFonts w:cs="Arial"/>
                <w:noProof/>
              </w:rPr>
              <w:t>Piani guida per l'occupazione</w:t>
            </w:r>
            <w:r w:rsidR="00266C8F">
              <w:rPr>
                <w:noProof/>
                <w:webHidden/>
              </w:rPr>
              <w:tab/>
            </w:r>
            <w:r w:rsidR="00266C8F">
              <w:rPr>
                <w:noProof/>
                <w:webHidden/>
              </w:rPr>
              <w:fldChar w:fldCharType="begin"/>
            </w:r>
            <w:r w:rsidR="00266C8F">
              <w:rPr>
                <w:noProof/>
                <w:webHidden/>
              </w:rPr>
              <w:instrText xml:space="preserve"> PAGEREF _Toc153298590 \h </w:instrText>
            </w:r>
            <w:r w:rsidR="00266C8F">
              <w:rPr>
                <w:noProof/>
                <w:webHidden/>
              </w:rPr>
            </w:r>
            <w:r w:rsidR="00266C8F">
              <w:rPr>
                <w:noProof/>
                <w:webHidden/>
              </w:rPr>
              <w:fldChar w:fldCharType="separate"/>
            </w:r>
            <w:r w:rsidR="00266C8F">
              <w:rPr>
                <w:noProof/>
                <w:webHidden/>
              </w:rPr>
              <w:t>21</w:t>
            </w:r>
            <w:r w:rsidR="00266C8F">
              <w:rPr>
                <w:noProof/>
                <w:webHidden/>
              </w:rPr>
              <w:fldChar w:fldCharType="end"/>
            </w:r>
          </w:hyperlink>
        </w:p>
        <w:p w14:paraId="3A8A6E50" w14:textId="77777777" w:rsidR="00266C8F" w:rsidRDefault="008E3222">
          <w:pPr>
            <w:pStyle w:val="TOC2"/>
            <w:tabs>
              <w:tab w:val="right" w:leader="dot" w:pos="9016"/>
            </w:tabs>
            <w:rPr>
              <w:rFonts w:cstheme="minorBidi"/>
              <w:noProof/>
            </w:rPr>
          </w:pPr>
          <w:hyperlink w:anchor="_Toc153298591" w:history="1">
            <w:r w:rsidR="00266C8F" w:rsidRPr="00DF2301">
              <w:rPr>
                <w:rStyle w:val="Hyperlink"/>
                <w:rFonts w:cs="Arial"/>
                <w:noProof/>
                <w:lang w:val="it-IT"/>
              </w:rPr>
              <w:t>Commissario per la disabilità della Tasmania</w:t>
            </w:r>
            <w:r w:rsidR="00266C8F">
              <w:rPr>
                <w:noProof/>
                <w:webHidden/>
              </w:rPr>
              <w:tab/>
            </w:r>
            <w:r w:rsidR="00266C8F">
              <w:rPr>
                <w:noProof/>
                <w:webHidden/>
              </w:rPr>
              <w:fldChar w:fldCharType="begin"/>
            </w:r>
            <w:r w:rsidR="00266C8F">
              <w:rPr>
                <w:noProof/>
                <w:webHidden/>
              </w:rPr>
              <w:instrText xml:space="preserve"> PAGEREF _Toc153298591 \h </w:instrText>
            </w:r>
            <w:r w:rsidR="00266C8F">
              <w:rPr>
                <w:noProof/>
                <w:webHidden/>
              </w:rPr>
            </w:r>
            <w:r w:rsidR="00266C8F">
              <w:rPr>
                <w:noProof/>
                <w:webHidden/>
              </w:rPr>
              <w:fldChar w:fldCharType="separate"/>
            </w:r>
            <w:r w:rsidR="00266C8F">
              <w:rPr>
                <w:noProof/>
                <w:webHidden/>
              </w:rPr>
              <w:t>22</w:t>
            </w:r>
            <w:r w:rsidR="00266C8F">
              <w:rPr>
                <w:noProof/>
                <w:webHidden/>
              </w:rPr>
              <w:fldChar w:fldCharType="end"/>
            </w:r>
          </w:hyperlink>
        </w:p>
        <w:p w14:paraId="6BB6D8AA" w14:textId="77777777" w:rsidR="00266C8F" w:rsidRDefault="008E3222">
          <w:pPr>
            <w:pStyle w:val="TOC2"/>
            <w:tabs>
              <w:tab w:val="right" w:leader="dot" w:pos="9016"/>
            </w:tabs>
            <w:rPr>
              <w:rFonts w:cstheme="minorBidi"/>
              <w:noProof/>
            </w:rPr>
          </w:pPr>
          <w:hyperlink w:anchor="_Toc153298592" w:history="1">
            <w:r w:rsidR="00266C8F" w:rsidRPr="00DF2301">
              <w:rPr>
                <w:rStyle w:val="Hyperlink"/>
                <w:rFonts w:cs="Arial"/>
                <w:noProof/>
                <w:lang w:val="it-IT"/>
              </w:rPr>
              <w:t>Workshop su come sviluppare la genitorialità in modo diverso</w:t>
            </w:r>
            <w:r w:rsidR="00266C8F">
              <w:rPr>
                <w:noProof/>
                <w:webHidden/>
              </w:rPr>
              <w:tab/>
            </w:r>
            <w:r w:rsidR="00266C8F">
              <w:rPr>
                <w:noProof/>
                <w:webHidden/>
              </w:rPr>
              <w:fldChar w:fldCharType="begin"/>
            </w:r>
            <w:r w:rsidR="00266C8F">
              <w:rPr>
                <w:noProof/>
                <w:webHidden/>
              </w:rPr>
              <w:instrText xml:space="preserve"> PAGEREF _Toc153298592 \h </w:instrText>
            </w:r>
            <w:r w:rsidR="00266C8F">
              <w:rPr>
                <w:noProof/>
                <w:webHidden/>
              </w:rPr>
            </w:r>
            <w:r w:rsidR="00266C8F">
              <w:rPr>
                <w:noProof/>
                <w:webHidden/>
              </w:rPr>
              <w:fldChar w:fldCharType="separate"/>
            </w:r>
            <w:r w:rsidR="00266C8F">
              <w:rPr>
                <w:noProof/>
                <w:webHidden/>
              </w:rPr>
              <w:t>24</w:t>
            </w:r>
            <w:r w:rsidR="00266C8F">
              <w:rPr>
                <w:noProof/>
                <w:webHidden/>
              </w:rPr>
              <w:fldChar w:fldCharType="end"/>
            </w:r>
          </w:hyperlink>
        </w:p>
        <w:p w14:paraId="60A2D749" w14:textId="77777777" w:rsidR="00266C8F" w:rsidRDefault="008E3222">
          <w:pPr>
            <w:pStyle w:val="TOC2"/>
            <w:tabs>
              <w:tab w:val="right" w:leader="dot" w:pos="9016"/>
            </w:tabs>
            <w:rPr>
              <w:rFonts w:cstheme="minorBidi"/>
              <w:noProof/>
            </w:rPr>
          </w:pPr>
          <w:hyperlink w:anchor="_Toc153298593" w:history="1">
            <w:r w:rsidR="00266C8F" w:rsidRPr="00DF2301">
              <w:rPr>
                <w:rStyle w:val="Hyperlink"/>
                <w:rFonts w:cs="Arial"/>
                <w:noProof/>
                <w:lang w:val="it-IT"/>
              </w:rPr>
              <w:t>Programma del Centro per bambini e famiglie aborigeni (Aboriginal Child and Family Center -ACFC)</w:t>
            </w:r>
            <w:r w:rsidR="00266C8F">
              <w:rPr>
                <w:noProof/>
                <w:webHidden/>
              </w:rPr>
              <w:tab/>
            </w:r>
            <w:r w:rsidR="00266C8F">
              <w:rPr>
                <w:noProof/>
                <w:webHidden/>
              </w:rPr>
              <w:fldChar w:fldCharType="begin"/>
            </w:r>
            <w:r w:rsidR="00266C8F">
              <w:rPr>
                <w:noProof/>
                <w:webHidden/>
              </w:rPr>
              <w:instrText xml:space="preserve"> PAGEREF _Toc153298593 \h </w:instrText>
            </w:r>
            <w:r w:rsidR="00266C8F">
              <w:rPr>
                <w:noProof/>
                <w:webHidden/>
              </w:rPr>
            </w:r>
            <w:r w:rsidR="00266C8F">
              <w:rPr>
                <w:noProof/>
                <w:webHidden/>
              </w:rPr>
              <w:fldChar w:fldCharType="separate"/>
            </w:r>
            <w:r w:rsidR="00266C8F">
              <w:rPr>
                <w:noProof/>
                <w:webHidden/>
              </w:rPr>
              <w:t>25</w:t>
            </w:r>
            <w:r w:rsidR="00266C8F">
              <w:rPr>
                <w:noProof/>
                <w:webHidden/>
              </w:rPr>
              <w:fldChar w:fldCharType="end"/>
            </w:r>
          </w:hyperlink>
        </w:p>
        <w:p w14:paraId="6229EA27" w14:textId="77777777" w:rsidR="00266C8F" w:rsidRDefault="008E3222">
          <w:pPr>
            <w:pStyle w:val="TOC2"/>
            <w:tabs>
              <w:tab w:val="right" w:leader="dot" w:pos="9016"/>
            </w:tabs>
            <w:rPr>
              <w:rFonts w:cstheme="minorBidi"/>
              <w:noProof/>
            </w:rPr>
          </w:pPr>
          <w:hyperlink w:anchor="_Toc153298594" w:history="1">
            <w:r w:rsidR="00266C8F" w:rsidRPr="00DF2301">
              <w:rPr>
                <w:rStyle w:val="Hyperlink"/>
                <w:rFonts w:cs="Arial"/>
                <w:noProof/>
                <w:lang w:val="it-IT"/>
              </w:rPr>
              <w:t>Supporto comportamentale e riduzione ed eliminazione delle pratiche restrittive</w:t>
            </w:r>
            <w:r w:rsidR="00266C8F">
              <w:rPr>
                <w:noProof/>
                <w:webHidden/>
              </w:rPr>
              <w:tab/>
            </w:r>
            <w:r w:rsidR="00266C8F">
              <w:rPr>
                <w:noProof/>
                <w:webHidden/>
              </w:rPr>
              <w:fldChar w:fldCharType="begin"/>
            </w:r>
            <w:r w:rsidR="00266C8F">
              <w:rPr>
                <w:noProof/>
                <w:webHidden/>
              </w:rPr>
              <w:instrText xml:space="preserve"> PAGEREF _Toc153298594 \h </w:instrText>
            </w:r>
            <w:r w:rsidR="00266C8F">
              <w:rPr>
                <w:noProof/>
                <w:webHidden/>
              </w:rPr>
            </w:r>
            <w:r w:rsidR="00266C8F">
              <w:rPr>
                <w:noProof/>
                <w:webHidden/>
              </w:rPr>
              <w:fldChar w:fldCharType="separate"/>
            </w:r>
            <w:r w:rsidR="00266C8F">
              <w:rPr>
                <w:noProof/>
                <w:webHidden/>
              </w:rPr>
              <w:t>27</w:t>
            </w:r>
            <w:r w:rsidR="00266C8F">
              <w:rPr>
                <w:noProof/>
                <w:webHidden/>
              </w:rPr>
              <w:fldChar w:fldCharType="end"/>
            </w:r>
          </w:hyperlink>
        </w:p>
        <w:p w14:paraId="7D08C3D0" w14:textId="77777777" w:rsidR="00266C8F" w:rsidRDefault="008E3222">
          <w:pPr>
            <w:pStyle w:val="TOC2"/>
            <w:tabs>
              <w:tab w:val="right" w:leader="dot" w:pos="9016"/>
            </w:tabs>
            <w:rPr>
              <w:rFonts w:cstheme="minorBidi"/>
              <w:noProof/>
            </w:rPr>
          </w:pPr>
          <w:hyperlink w:anchor="_Toc153298595" w:history="1">
            <w:r w:rsidR="00266C8F" w:rsidRPr="00DF2301">
              <w:rPr>
                <w:rStyle w:val="Hyperlink"/>
                <w:rFonts w:cs="Arial"/>
                <w:noProof/>
                <w:lang w:val="it-IT"/>
              </w:rPr>
              <w:t>Le riunioni sulla gestione delle emergenze devono includere i fornitori di servizi per i disabili</w:t>
            </w:r>
            <w:r w:rsidR="00266C8F">
              <w:rPr>
                <w:noProof/>
                <w:webHidden/>
              </w:rPr>
              <w:tab/>
            </w:r>
            <w:r w:rsidR="00266C8F">
              <w:rPr>
                <w:noProof/>
                <w:webHidden/>
              </w:rPr>
              <w:fldChar w:fldCharType="begin"/>
            </w:r>
            <w:r w:rsidR="00266C8F">
              <w:rPr>
                <w:noProof/>
                <w:webHidden/>
              </w:rPr>
              <w:instrText xml:space="preserve"> PAGEREF _Toc153298595 \h </w:instrText>
            </w:r>
            <w:r w:rsidR="00266C8F">
              <w:rPr>
                <w:noProof/>
                <w:webHidden/>
              </w:rPr>
            </w:r>
            <w:r w:rsidR="00266C8F">
              <w:rPr>
                <w:noProof/>
                <w:webHidden/>
              </w:rPr>
              <w:fldChar w:fldCharType="separate"/>
            </w:r>
            <w:r w:rsidR="00266C8F">
              <w:rPr>
                <w:noProof/>
                <w:webHidden/>
              </w:rPr>
              <w:t>29</w:t>
            </w:r>
            <w:r w:rsidR="00266C8F">
              <w:rPr>
                <w:noProof/>
                <w:webHidden/>
              </w:rPr>
              <w:fldChar w:fldCharType="end"/>
            </w:r>
          </w:hyperlink>
        </w:p>
        <w:p w14:paraId="544D071C" w14:textId="77777777" w:rsidR="00266C8F" w:rsidRDefault="008E3222">
          <w:pPr>
            <w:pStyle w:val="TOC2"/>
            <w:tabs>
              <w:tab w:val="right" w:leader="dot" w:pos="9016"/>
            </w:tabs>
            <w:rPr>
              <w:rFonts w:cstheme="minorBidi"/>
              <w:noProof/>
            </w:rPr>
          </w:pPr>
          <w:hyperlink w:anchor="_Toc153298596" w:history="1">
            <w:r w:rsidR="00266C8F" w:rsidRPr="00DF2301">
              <w:rPr>
                <w:rStyle w:val="Hyperlink"/>
                <w:rFonts w:cs="Arial"/>
                <w:noProof/>
                <w:lang w:val="it-IT"/>
              </w:rPr>
              <w:t>Iniziativa di risposta alle crisi per la violenza familiare con disabilità</w:t>
            </w:r>
            <w:r w:rsidR="00266C8F">
              <w:rPr>
                <w:noProof/>
                <w:webHidden/>
              </w:rPr>
              <w:tab/>
            </w:r>
            <w:r w:rsidR="00266C8F">
              <w:rPr>
                <w:noProof/>
                <w:webHidden/>
              </w:rPr>
              <w:fldChar w:fldCharType="begin"/>
            </w:r>
            <w:r w:rsidR="00266C8F">
              <w:rPr>
                <w:noProof/>
                <w:webHidden/>
              </w:rPr>
              <w:instrText xml:space="preserve"> PAGEREF _Toc153298596 \h </w:instrText>
            </w:r>
            <w:r w:rsidR="00266C8F">
              <w:rPr>
                <w:noProof/>
                <w:webHidden/>
              </w:rPr>
            </w:r>
            <w:r w:rsidR="00266C8F">
              <w:rPr>
                <w:noProof/>
                <w:webHidden/>
              </w:rPr>
              <w:fldChar w:fldCharType="separate"/>
            </w:r>
            <w:r w:rsidR="00266C8F">
              <w:rPr>
                <w:noProof/>
                <w:webHidden/>
              </w:rPr>
              <w:t>31</w:t>
            </w:r>
            <w:r w:rsidR="00266C8F">
              <w:rPr>
                <w:noProof/>
                <w:webHidden/>
              </w:rPr>
              <w:fldChar w:fldCharType="end"/>
            </w:r>
          </w:hyperlink>
        </w:p>
        <w:p w14:paraId="2A16A373" w14:textId="77777777" w:rsidR="00266C8F" w:rsidRDefault="008E3222">
          <w:pPr>
            <w:pStyle w:val="TOC2"/>
            <w:tabs>
              <w:tab w:val="right" w:leader="dot" w:pos="9016"/>
            </w:tabs>
            <w:rPr>
              <w:rFonts w:cstheme="minorBidi"/>
              <w:noProof/>
            </w:rPr>
          </w:pPr>
          <w:hyperlink w:anchor="_Toc153298597" w:history="1">
            <w:r w:rsidR="00266C8F" w:rsidRPr="00DF2301">
              <w:rPr>
                <w:rStyle w:val="Hyperlink"/>
                <w:rFonts w:cs="Arial"/>
                <w:noProof/>
                <w:lang w:val="it-IT"/>
              </w:rPr>
              <w:t>Sistemazione di accoglienza e supporto accessibili</w:t>
            </w:r>
            <w:r w:rsidR="00266C8F">
              <w:rPr>
                <w:noProof/>
                <w:webHidden/>
              </w:rPr>
              <w:tab/>
            </w:r>
            <w:r w:rsidR="00266C8F">
              <w:rPr>
                <w:noProof/>
                <w:webHidden/>
              </w:rPr>
              <w:fldChar w:fldCharType="begin"/>
            </w:r>
            <w:r w:rsidR="00266C8F">
              <w:rPr>
                <w:noProof/>
                <w:webHidden/>
              </w:rPr>
              <w:instrText xml:space="preserve"> PAGEREF _Toc153298597 \h </w:instrText>
            </w:r>
            <w:r w:rsidR="00266C8F">
              <w:rPr>
                <w:noProof/>
                <w:webHidden/>
              </w:rPr>
            </w:r>
            <w:r w:rsidR="00266C8F">
              <w:rPr>
                <w:noProof/>
                <w:webHidden/>
              </w:rPr>
              <w:fldChar w:fldCharType="separate"/>
            </w:r>
            <w:r w:rsidR="00266C8F">
              <w:rPr>
                <w:noProof/>
                <w:webHidden/>
              </w:rPr>
              <w:t>32</w:t>
            </w:r>
            <w:r w:rsidR="00266C8F">
              <w:rPr>
                <w:noProof/>
                <w:webHidden/>
              </w:rPr>
              <w:fldChar w:fldCharType="end"/>
            </w:r>
          </w:hyperlink>
        </w:p>
        <w:p w14:paraId="41894A4B" w14:textId="77777777" w:rsidR="00266C8F" w:rsidRDefault="008E3222">
          <w:pPr>
            <w:pStyle w:val="TOC2"/>
            <w:tabs>
              <w:tab w:val="right" w:leader="dot" w:pos="9016"/>
            </w:tabs>
            <w:rPr>
              <w:rFonts w:cstheme="minorBidi"/>
              <w:noProof/>
            </w:rPr>
          </w:pPr>
          <w:hyperlink w:anchor="_Toc153298598" w:history="1">
            <w:r w:rsidR="00266C8F" w:rsidRPr="00DF2301">
              <w:rPr>
                <w:rStyle w:val="Hyperlink"/>
                <w:rFonts w:cs="Arial"/>
                <w:noProof/>
              </w:rPr>
              <w:t>Programma intermediario ACT</w:t>
            </w:r>
            <w:r w:rsidR="00266C8F">
              <w:rPr>
                <w:noProof/>
                <w:webHidden/>
              </w:rPr>
              <w:tab/>
            </w:r>
            <w:r w:rsidR="00266C8F">
              <w:rPr>
                <w:noProof/>
                <w:webHidden/>
              </w:rPr>
              <w:fldChar w:fldCharType="begin"/>
            </w:r>
            <w:r w:rsidR="00266C8F">
              <w:rPr>
                <w:noProof/>
                <w:webHidden/>
              </w:rPr>
              <w:instrText xml:space="preserve"> PAGEREF _Toc153298598 \h </w:instrText>
            </w:r>
            <w:r w:rsidR="00266C8F">
              <w:rPr>
                <w:noProof/>
                <w:webHidden/>
              </w:rPr>
            </w:r>
            <w:r w:rsidR="00266C8F">
              <w:rPr>
                <w:noProof/>
                <w:webHidden/>
              </w:rPr>
              <w:fldChar w:fldCharType="separate"/>
            </w:r>
            <w:r w:rsidR="00266C8F">
              <w:rPr>
                <w:noProof/>
                <w:webHidden/>
              </w:rPr>
              <w:t>33</w:t>
            </w:r>
            <w:r w:rsidR="00266C8F">
              <w:rPr>
                <w:noProof/>
                <w:webHidden/>
              </w:rPr>
              <w:fldChar w:fldCharType="end"/>
            </w:r>
          </w:hyperlink>
        </w:p>
        <w:p w14:paraId="4AF3FF14" w14:textId="77777777" w:rsidR="00266C8F" w:rsidRDefault="008E3222">
          <w:pPr>
            <w:pStyle w:val="TOC2"/>
            <w:tabs>
              <w:tab w:val="right" w:leader="dot" w:pos="9016"/>
            </w:tabs>
            <w:rPr>
              <w:rFonts w:cstheme="minorBidi"/>
              <w:noProof/>
            </w:rPr>
          </w:pPr>
          <w:hyperlink w:anchor="_Toc153298599" w:history="1">
            <w:r w:rsidR="00266C8F" w:rsidRPr="00DF2301">
              <w:rPr>
                <w:rStyle w:val="Hyperlink"/>
                <w:rFonts w:cs="Arial"/>
                <w:noProof/>
                <w:lang w:val="it-IT"/>
              </w:rPr>
              <w:t>Programma di riduzione del rischio di catastrofi inclusivo per la disabilità</w:t>
            </w:r>
            <w:r w:rsidR="00266C8F">
              <w:rPr>
                <w:noProof/>
                <w:webHidden/>
              </w:rPr>
              <w:tab/>
            </w:r>
            <w:r w:rsidR="00266C8F">
              <w:rPr>
                <w:noProof/>
                <w:webHidden/>
              </w:rPr>
              <w:fldChar w:fldCharType="begin"/>
            </w:r>
            <w:r w:rsidR="00266C8F">
              <w:rPr>
                <w:noProof/>
                <w:webHidden/>
              </w:rPr>
              <w:instrText xml:space="preserve"> PAGEREF _Toc153298599 \h </w:instrText>
            </w:r>
            <w:r w:rsidR="00266C8F">
              <w:rPr>
                <w:noProof/>
                <w:webHidden/>
              </w:rPr>
            </w:r>
            <w:r w:rsidR="00266C8F">
              <w:rPr>
                <w:noProof/>
                <w:webHidden/>
              </w:rPr>
              <w:fldChar w:fldCharType="separate"/>
            </w:r>
            <w:r w:rsidR="00266C8F">
              <w:rPr>
                <w:noProof/>
                <w:webHidden/>
              </w:rPr>
              <w:t>34</w:t>
            </w:r>
            <w:r w:rsidR="00266C8F">
              <w:rPr>
                <w:noProof/>
                <w:webHidden/>
              </w:rPr>
              <w:fldChar w:fldCharType="end"/>
            </w:r>
          </w:hyperlink>
        </w:p>
        <w:p w14:paraId="0D8D8852" w14:textId="77777777" w:rsidR="00266C8F" w:rsidRDefault="008E3222" w:rsidP="00266C8F">
          <w:pPr>
            <w:pStyle w:val="TOC2"/>
            <w:tabs>
              <w:tab w:val="right" w:leader="dot" w:pos="9016"/>
            </w:tabs>
            <w:ind w:left="0"/>
            <w:rPr>
              <w:rFonts w:cstheme="minorBidi"/>
              <w:noProof/>
            </w:rPr>
          </w:pPr>
          <w:hyperlink w:anchor="_Toc153298600" w:history="1">
            <w:r w:rsidR="00266C8F" w:rsidRPr="00DF2301">
              <w:rPr>
                <w:rStyle w:val="Hyperlink"/>
                <w:rFonts w:cs="Arial"/>
                <w:noProof/>
                <w:lang w:val="it-IT"/>
              </w:rPr>
              <w:t>Panoramica dei progressi dal 3 dicembre 2021</w:t>
            </w:r>
            <w:r w:rsidR="00266C8F">
              <w:rPr>
                <w:noProof/>
                <w:webHidden/>
              </w:rPr>
              <w:tab/>
            </w:r>
            <w:r w:rsidR="00266C8F">
              <w:rPr>
                <w:noProof/>
                <w:webHidden/>
              </w:rPr>
              <w:fldChar w:fldCharType="begin"/>
            </w:r>
            <w:r w:rsidR="00266C8F">
              <w:rPr>
                <w:noProof/>
                <w:webHidden/>
              </w:rPr>
              <w:instrText xml:space="preserve"> PAGEREF _Toc153298600 \h </w:instrText>
            </w:r>
            <w:r w:rsidR="00266C8F">
              <w:rPr>
                <w:noProof/>
                <w:webHidden/>
              </w:rPr>
            </w:r>
            <w:r w:rsidR="00266C8F">
              <w:rPr>
                <w:noProof/>
                <w:webHidden/>
              </w:rPr>
              <w:fldChar w:fldCharType="separate"/>
            </w:r>
            <w:r w:rsidR="00266C8F">
              <w:rPr>
                <w:noProof/>
                <w:webHidden/>
              </w:rPr>
              <w:t>35</w:t>
            </w:r>
            <w:r w:rsidR="00266C8F">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51585C89" w:rsidR="00881AEF" w:rsidRPr="008C13A0" w:rsidRDefault="00365617" w:rsidP="008C13A0">
      <w:pPr>
        <w:pStyle w:val="Heading1"/>
      </w:pPr>
      <w:bookmarkStart w:id="1" w:name="_Toc153298571"/>
      <w:proofErr w:type="spellStart"/>
      <w:r w:rsidRPr="00365617">
        <w:lastRenderedPageBreak/>
        <w:t>Introduzione</w:t>
      </w:r>
      <w:bookmarkEnd w:id="1"/>
      <w:proofErr w:type="spellEnd"/>
    </w:p>
    <w:p w14:paraId="0E8E87E7" w14:textId="77777777" w:rsidR="00365617" w:rsidRPr="00365617" w:rsidRDefault="00365617" w:rsidP="00365617">
      <w:pPr>
        <w:spacing w:before="240" w:after="240" w:line="240" w:lineRule="auto"/>
        <w:rPr>
          <w:rFonts w:cs="Arial"/>
          <w:i/>
          <w:color w:val="6C1740"/>
          <w:sz w:val="36"/>
          <w:szCs w:val="36"/>
          <w:lang w:val="it-IT"/>
        </w:rPr>
      </w:pPr>
      <w:r w:rsidRPr="00365617">
        <w:rPr>
          <w:rFonts w:cs="Arial"/>
          <w:i/>
          <w:color w:val="6C1740"/>
          <w:sz w:val="36"/>
          <w:szCs w:val="36"/>
          <w:lang w:val="it-IT"/>
        </w:rPr>
        <w:t xml:space="preserve">La Strategia australiana sulla disabilità 2021-2031 </w:t>
      </w:r>
      <w:r w:rsidRPr="00365617">
        <w:rPr>
          <w:rFonts w:cs="Arial"/>
          <w:color w:val="6C1740"/>
          <w:sz w:val="36"/>
          <w:szCs w:val="36"/>
          <w:lang w:val="it-IT"/>
        </w:rPr>
        <w:t>(ADS) definisce un piano per cambiare la vita delle persone con disabilità nell'arco di 10 anni.</w:t>
      </w:r>
    </w:p>
    <w:p w14:paraId="0D005C8C" w14:textId="77777777" w:rsidR="00365617" w:rsidRPr="00365617" w:rsidRDefault="00365617" w:rsidP="00365617">
      <w:pPr>
        <w:spacing w:before="240" w:after="240" w:line="240" w:lineRule="auto"/>
        <w:rPr>
          <w:rFonts w:cs="Arial"/>
          <w:color w:val="6C1740"/>
          <w:sz w:val="36"/>
          <w:szCs w:val="36"/>
          <w:lang w:val="it-IT"/>
        </w:rPr>
      </w:pPr>
      <w:r w:rsidRPr="00365617">
        <w:rPr>
          <w:rFonts w:cs="Arial"/>
          <w:color w:val="6C1740"/>
          <w:sz w:val="36"/>
          <w:szCs w:val="36"/>
          <w:lang w:val="it-IT"/>
        </w:rPr>
        <w:t>Nell’ambito dell’ADS, i piani d’azione mirati (Targeted Action Plans -TAP) si concentrano intensamente, nell’arco di un periodo da uno a tre anni, per realizzare obiettivi specifici che migliorino i risultati per le persone con disabilità.</w:t>
      </w:r>
    </w:p>
    <w:p w14:paraId="61EB201A" w14:textId="77777777" w:rsidR="00365617" w:rsidRPr="00365617" w:rsidRDefault="00365617" w:rsidP="00365617">
      <w:pPr>
        <w:spacing w:before="240" w:after="240" w:line="240" w:lineRule="auto"/>
        <w:rPr>
          <w:rFonts w:cs="Arial"/>
          <w:color w:val="6C1740"/>
          <w:sz w:val="36"/>
          <w:szCs w:val="36"/>
          <w:lang w:val="it-IT"/>
        </w:rPr>
      </w:pPr>
      <w:r w:rsidRPr="00365617">
        <w:rPr>
          <w:rFonts w:cs="Arial"/>
          <w:color w:val="6C1740"/>
          <w:sz w:val="36"/>
          <w:szCs w:val="36"/>
          <w:lang w:val="it-IT"/>
        </w:rPr>
        <w:t>Ogni TAP viene commissionato e approvato da tutti i ministri australiani per la disabilità e comprende una serie di azioni mirate e coordinate da parte dei governi.</w:t>
      </w:r>
    </w:p>
    <w:p w14:paraId="143B7CF5" w14:textId="77777777" w:rsidR="00365617" w:rsidRPr="00365617" w:rsidRDefault="00365617" w:rsidP="00365617">
      <w:pPr>
        <w:spacing w:before="240" w:after="240" w:line="240" w:lineRule="auto"/>
        <w:rPr>
          <w:rFonts w:cs="Arial"/>
          <w:color w:val="6C1740"/>
          <w:sz w:val="36"/>
          <w:szCs w:val="36"/>
          <w:lang w:val="it-IT"/>
        </w:rPr>
      </w:pPr>
      <w:r w:rsidRPr="00365617">
        <w:rPr>
          <w:rFonts w:cs="Arial"/>
          <w:color w:val="6C1740"/>
          <w:sz w:val="36"/>
          <w:szCs w:val="36"/>
          <w:lang w:val="it-IT"/>
        </w:rPr>
        <w:t>Questa è la seconda relazione  annuale sui TAP, basata sui progressi riportati nel primo anno dell’ADS e copre il periodo dal 1° luglio 2022 al 30 giugno 2023.</w:t>
      </w:r>
    </w:p>
    <w:p w14:paraId="493591FA" w14:textId="77777777" w:rsidR="00365617" w:rsidRPr="00365617" w:rsidRDefault="00365617" w:rsidP="00365617">
      <w:pPr>
        <w:spacing w:before="240" w:after="240" w:line="240" w:lineRule="auto"/>
        <w:rPr>
          <w:rFonts w:cs="Arial"/>
          <w:color w:val="6C1740"/>
          <w:sz w:val="36"/>
          <w:szCs w:val="36"/>
          <w:lang w:val="it-IT"/>
        </w:rPr>
      </w:pPr>
      <w:r w:rsidRPr="00365617">
        <w:rPr>
          <w:rFonts w:cs="Arial"/>
          <w:color w:val="6C1740"/>
          <w:sz w:val="36"/>
          <w:szCs w:val="36"/>
          <w:lang w:val="it-IT"/>
        </w:rPr>
        <w:t>Sebbene questa serie di TAP abbia ottenuto una serie di risultati positivi, sono stati segnalati dei ritardi per alcune azioni.</w:t>
      </w:r>
    </w:p>
    <w:p w14:paraId="15BCFEFA" w14:textId="272E0EE5" w:rsidR="00365617" w:rsidRPr="00365617" w:rsidRDefault="00365617" w:rsidP="00365617">
      <w:pPr>
        <w:spacing w:before="240" w:after="240" w:line="240" w:lineRule="auto"/>
        <w:rPr>
          <w:color w:val="6C1740"/>
          <w:sz w:val="36"/>
          <w:szCs w:val="36"/>
        </w:rPr>
      </w:pPr>
      <w:r w:rsidRPr="00365617">
        <w:rPr>
          <w:rFonts w:cs="Arial"/>
          <w:color w:val="6C1740"/>
          <w:sz w:val="36"/>
          <w:szCs w:val="36"/>
          <w:lang w:val="it-IT"/>
        </w:rPr>
        <w:t>La prossima relazione TAP sarà quella finale per questa serie di TAP. Il governo australiano, in collaborazione con i governi degli stati e dei territori, ha iniziato a prendere in considerazione la prossima serie di TAP.</w:t>
      </w:r>
    </w:p>
    <w:p w14:paraId="084F5A5F" w14:textId="54A38A3A" w:rsidR="00881AEF" w:rsidRPr="00365617" w:rsidRDefault="009F397E" w:rsidP="00365617">
      <w:pPr>
        <w:spacing w:before="240" w:after="240" w:line="240" w:lineRule="auto"/>
        <w:rPr>
          <w:color w:val="6C1740"/>
          <w:sz w:val="36"/>
          <w:szCs w:val="36"/>
        </w:rPr>
      </w:pPr>
      <w:r w:rsidRPr="00365617">
        <w:rPr>
          <w:color w:val="6C1740"/>
          <w:sz w:val="36"/>
          <w:szCs w:val="36"/>
        </w:rPr>
        <w:br w:type="page"/>
      </w:r>
    </w:p>
    <w:p w14:paraId="674AAF8C" w14:textId="5BB0B71B" w:rsidR="00881AEF" w:rsidRDefault="002643AF" w:rsidP="007E700B">
      <w:r w:rsidRPr="002643AF">
        <w:lastRenderedPageBreak/>
        <w:t xml:space="preserve">I 5 </w:t>
      </w:r>
      <w:proofErr w:type="spellStart"/>
      <w:r w:rsidRPr="002643AF">
        <w:t>Piani</w:t>
      </w:r>
      <w:proofErr w:type="spellEnd"/>
      <w:r w:rsidRPr="002643AF">
        <w:t xml:space="preserve"> </w:t>
      </w:r>
      <w:proofErr w:type="spellStart"/>
      <w:r w:rsidRPr="002643AF">
        <w:t>d'Azione</w:t>
      </w:r>
      <w:proofErr w:type="spellEnd"/>
      <w:r w:rsidRPr="002643AF">
        <w:t xml:space="preserve"> </w:t>
      </w:r>
      <w:proofErr w:type="spellStart"/>
      <w:r w:rsidRPr="002643AF">
        <w:t>Mirati</w:t>
      </w:r>
      <w:proofErr w:type="spellEnd"/>
      <w:r w:rsidRPr="002643AF">
        <w:t xml:space="preserve"> (TAP) </w:t>
      </w:r>
      <w:proofErr w:type="spellStart"/>
      <w:r w:rsidRPr="002643AF">
        <w:t>inaugurati</w:t>
      </w:r>
      <w:proofErr w:type="spellEnd"/>
      <w:r w:rsidRPr="002643AF">
        <w:t xml:space="preserve"> con ADS, </w:t>
      </w:r>
      <w:proofErr w:type="spellStart"/>
      <w:proofErr w:type="gramStart"/>
      <w:r w:rsidRPr="002643AF">
        <w:t>il</w:t>
      </w:r>
      <w:proofErr w:type="spellEnd"/>
      <w:proofErr w:type="gramEnd"/>
      <w:r w:rsidRPr="002643AF">
        <w:t xml:space="preserve"> 3 </w:t>
      </w:r>
      <w:proofErr w:type="spellStart"/>
      <w:r w:rsidRPr="002643AF">
        <w:t>dicembre</w:t>
      </w:r>
      <w:proofErr w:type="spellEnd"/>
      <w:r w:rsidRPr="002643AF">
        <w:t xml:space="preserve"> 2021 </w:t>
      </w:r>
      <w:proofErr w:type="spellStart"/>
      <w:r w:rsidRPr="002643AF">
        <w:t>sono</w:t>
      </w:r>
      <w:proofErr w:type="spellEnd"/>
      <w:r w:rsidRPr="002643AF">
        <w:t>:</w:t>
      </w:r>
    </w:p>
    <w:p w14:paraId="373D812D" w14:textId="2ADDD155" w:rsidR="00881AEF" w:rsidRPr="00553F2D" w:rsidRDefault="008E3222" w:rsidP="00B67DD9">
      <w:pPr>
        <w:pStyle w:val="ListParagraph"/>
        <w:numPr>
          <w:ilvl w:val="0"/>
          <w:numId w:val="13"/>
        </w:numPr>
        <w:spacing w:before="120" w:after="120" w:line="240" w:lineRule="auto"/>
        <w:contextualSpacing w:val="0"/>
      </w:pPr>
      <w:hyperlink r:id="rId12" w:history="1">
        <w:proofErr w:type="spellStart"/>
        <w:r w:rsidR="002643AF" w:rsidRPr="00030BB0">
          <w:rPr>
            <w:rStyle w:val="Hyperlink"/>
            <w:rFonts w:cs="Arial"/>
          </w:rPr>
          <w:t>Occupazione</w:t>
        </w:r>
        <w:proofErr w:type="spellEnd"/>
      </w:hyperlink>
    </w:p>
    <w:p w14:paraId="4D9163BA" w14:textId="17FB86E1" w:rsidR="00881AEF" w:rsidRPr="00553F2D" w:rsidRDefault="008E3222" w:rsidP="00B67DD9">
      <w:pPr>
        <w:pStyle w:val="ListParagraph"/>
        <w:numPr>
          <w:ilvl w:val="0"/>
          <w:numId w:val="13"/>
        </w:numPr>
        <w:spacing w:before="120" w:after="120" w:line="240" w:lineRule="auto"/>
        <w:contextualSpacing w:val="0"/>
      </w:pPr>
      <w:hyperlink r:id="rId13" w:history="1">
        <w:proofErr w:type="spellStart"/>
        <w:r w:rsidR="002643AF" w:rsidRPr="00030BB0">
          <w:rPr>
            <w:rStyle w:val="Hyperlink"/>
            <w:rFonts w:cs="Arial"/>
          </w:rPr>
          <w:t>Atteggiamenti</w:t>
        </w:r>
        <w:proofErr w:type="spellEnd"/>
        <w:r w:rsidR="002643AF" w:rsidRPr="00030BB0">
          <w:rPr>
            <w:rStyle w:val="Hyperlink"/>
            <w:rFonts w:cs="Arial"/>
          </w:rPr>
          <w:t xml:space="preserve"> </w:t>
        </w:r>
        <w:proofErr w:type="spellStart"/>
        <w:r w:rsidR="002643AF" w:rsidRPr="00030BB0">
          <w:rPr>
            <w:rStyle w:val="Hyperlink"/>
            <w:rFonts w:cs="Arial"/>
          </w:rPr>
          <w:t>della</w:t>
        </w:r>
        <w:proofErr w:type="spellEnd"/>
        <w:r w:rsidR="002643AF" w:rsidRPr="00030BB0">
          <w:rPr>
            <w:rStyle w:val="Hyperlink"/>
            <w:rFonts w:cs="Arial"/>
          </w:rPr>
          <w:t xml:space="preserve"> </w:t>
        </w:r>
        <w:proofErr w:type="spellStart"/>
        <w:r w:rsidR="002643AF" w:rsidRPr="00030BB0">
          <w:rPr>
            <w:rStyle w:val="Hyperlink"/>
            <w:rFonts w:cs="Arial"/>
          </w:rPr>
          <w:t>comunità</w:t>
        </w:r>
        <w:proofErr w:type="spellEnd"/>
      </w:hyperlink>
    </w:p>
    <w:p w14:paraId="5DABC23E" w14:textId="5B5A1557" w:rsidR="00881AEF" w:rsidRPr="00553F2D" w:rsidRDefault="008E3222" w:rsidP="00B67DD9">
      <w:pPr>
        <w:pStyle w:val="ListParagraph"/>
        <w:numPr>
          <w:ilvl w:val="0"/>
          <w:numId w:val="13"/>
        </w:numPr>
        <w:spacing w:before="120" w:after="120" w:line="240" w:lineRule="auto"/>
        <w:contextualSpacing w:val="0"/>
      </w:pPr>
      <w:hyperlink r:id="rId14" w:history="1">
        <w:r w:rsidR="002643AF" w:rsidRPr="00030BB0">
          <w:rPr>
            <w:rStyle w:val="Hyperlink"/>
            <w:rFonts w:cs="Arial"/>
          </w:rPr>
          <w:t xml:space="preserve">Prima </w:t>
        </w:r>
        <w:proofErr w:type="spellStart"/>
        <w:r w:rsidR="002643AF" w:rsidRPr="00030BB0">
          <w:rPr>
            <w:rStyle w:val="Hyperlink"/>
            <w:rFonts w:cs="Arial"/>
          </w:rPr>
          <w:t>infanzia</w:t>
        </w:r>
        <w:proofErr w:type="spellEnd"/>
      </w:hyperlink>
    </w:p>
    <w:p w14:paraId="21479F0A" w14:textId="4593B641" w:rsidR="00881AEF" w:rsidRPr="00553F2D" w:rsidRDefault="008E3222" w:rsidP="00B67DD9">
      <w:pPr>
        <w:pStyle w:val="ListParagraph"/>
        <w:numPr>
          <w:ilvl w:val="0"/>
          <w:numId w:val="13"/>
        </w:numPr>
        <w:spacing w:before="120" w:after="120" w:line="240" w:lineRule="auto"/>
        <w:contextualSpacing w:val="0"/>
      </w:pPr>
      <w:hyperlink r:id="rId15" w:history="1">
        <w:proofErr w:type="spellStart"/>
        <w:r w:rsidR="002643AF" w:rsidRPr="00030BB0">
          <w:rPr>
            <w:rStyle w:val="Hyperlink"/>
            <w:rFonts w:cs="Arial"/>
          </w:rPr>
          <w:t>Sicurezza</w:t>
        </w:r>
        <w:proofErr w:type="spellEnd"/>
      </w:hyperlink>
    </w:p>
    <w:p w14:paraId="53AD064B" w14:textId="6141C81E" w:rsidR="00881AEF" w:rsidRDefault="008E3222" w:rsidP="00B67DD9">
      <w:pPr>
        <w:pStyle w:val="ListParagraph"/>
        <w:numPr>
          <w:ilvl w:val="0"/>
          <w:numId w:val="13"/>
        </w:numPr>
        <w:spacing w:before="120" w:after="120" w:line="240" w:lineRule="auto"/>
        <w:contextualSpacing w:val="0"/>
      </w:pPr>
      <w:hyperlink r:id="rId16" w:history="1">
        <w:proofErr w:type="spellStart"/>
        <w:r w:rsidR="002643AF" w:rsidRPr="00030BB0">
          <w:rPr>
            <w:rStyle w:val="Hyperlink"/>
            <w:rFonts w:cs="Arial"/>
          </w:rPr>
          <w:t>Gestione</w:t>
        </w:r>
        <w:proofErr w:type="spellEnd"/>
        <w:r w:rsidR="002643AF" w:rsidRPr="00030BB0">
          <w:rPr>
            <w:rStyle w:val="Hyperlink"/>
            <w:rFonts w:cs="Arial"/>
          </w:rPr>
          <w:t xml:space="preserve"> </w:t>
        </w:r>
        <w:proofErr w:type="spellStart"/>
        <w:r w:rsidR="002643AF" w:rsidRPr="00030BB0">
          <w:rPr>
            <w:rStyle w:val="Hyperlink"/>
            <w:rFonts w:cs="Arial"/>
          </w:rPr>
          <w:t>delle</w:t>
        </w:r>
        <w:proofErr w:type="spellEnd"/>
        <w:r w:rsidR="002643AF" w:rsidRPr="00030BB0">
          <w:rPr>
            <w:rStyle w:val="Hyperlink"/>
            <w:rFonts w:cs="Arial"/>
          </w:rPr>
          <w:t xml:space="preserve"> </w:t>
        </w:r>
        <w:proofErr w:type="spellStart"/>
        <w:r w:rsidR="002643AF" w:rsidRPr="00030BB0">
          <w:rPr>
            <w:rStyle w:val="Hyperlink"/>
            <w:rFonts w:cs="Arial"/>
          </w:rPr>
          <w:t>emergenze</w:t>
        </w:r>
        <w:proofErr w:type="spellEnd"/>
      </w:hyperlink>
    </w:p>
    <w:p w14:paraId="70A1CD3D" w14:textId="1907A350" w:rsidR="00881AEF" w:rsidRPr="00881AEF" w:rsidRDefault="002643AF" w:rsidP="00F36AAD">
      <w:pPr>
        <w:spacing w:before="240" w:after="120" w:line="240" w:lineRule="auto"/>
        <w:rPr>
          <w:b/>
        </w:rPr>
      </w:pPr>
      <w:r w:rsidRPr="00030BB0">
        <w:rPr>
          <w:rFonts w:cs="Arial"/>
          <w:b/>
        </w:rPr>
        <w:t xml:space="preserve">Reporting </w:t>
      </w:r>
      <w:proofErr w:type="gramStart"/>
      <w:r w:rsidRPr="00030BB0">
        <w:rPr>
          <w:rFonts w:cs="Arial"/>
          <w:b/>
        </w:rPr>
        <w:t>sui</w:t>
      </w:r>
      <w:proofErr w:type="gramEnd"/>
      <w:r w:rsidRPr="00030BB0">
        <w:rPr>
          <w:rFonts w:cs="Arial"/>
          <w:b/>
        </w:rPr>
        <w:t xml:space="preserve"> TAP</w:t>
      </w:r>
    </w:p>
    <w:p w14:paraId="4F004DE2" w14:textId="77777777" w:rsidR="002643AF" w:rsidRPr="00030BB0" w:rsidRDefault="002643AF" w:rsidP="002643AF">
      <w:pPr>
        <w:spacing w:before="240" w:after="120" w:line="240" w:lineRule="auto"/>
        <w:rPr>
          <w:rFonts w:cs="Arial"/>
          <w:lang w:val="it-IT"/>
        </w:rPr>
      </w:pPr>
      <w:r w:rsidRPr="00030BB0">
        <w:rPr>
          <w:rFonts w:cs="Arial"/>
          <w:lang w:val="it-IT"/>
        </w:rPr>
        <w:t>Con l’ADS, tutti i governi si sono impegnati a fornire resoconti più completi e visibili per garantire maggiore trasparenza e responsabilità nel migliorare la vita delle persone con disabilità.</w:t>
      </w:r>
    </w:p>
    <w:p w14:paraId="59B8ABB2" w14:textId="77777777" w:rsidR="002643AF" w:rsidRPr="00030BB0" w:rsidRDefault="002643AF" w:rsidP="002643AF">
      <w:pPr>
        <w:spacing w:before="240" w:after="120" w:line="240" w:lineRule="auto"/>
        <w:rPr>
          <w:rFonts w:cs="Arial"/>
          <w:lang w:val="it-IT"/>
        </w:rPr>
      </w:pPr>
      <w:r w:rsidRPr="00030BB0">
        <w:rPr>
          <w:rFonts w:cs="Arial"/>
          <w:lang w:val="it-IT"/>
        </w:rPr>
        <w:t>La relazione annuale TAP fornisce un aggiornamento sui progressi compiuti dai governi per implementare e portare avanti le azioni TAP e i relativi successi. I rapporti TAP vengono pubblicati annualmente per anno finanziario, in linea con i requisiti di rendicontazione migliorati previsti dall’ADS.</w:t>
      </w:r>
    </w:p>
    <w:p w14:paraId="4D3A41EF" w14:textId="1C9FA847" w:rsidR="002643AF" w:rsidRDefault="002643AF" w:rsidP="002643AF">
      <w:pPr>
        <w:spacing w:before="240" w:after="120" w:line="240" w:lineRule="auto"/>
        <w:rPr>
          <w:b/>
        </w:rPr>
      </w:pPr>
      <w:r w:rsidRPr="00030BB0">
        <w:rPr>
          <w:rFonts w:cs="Arial"/>
          <w:lang w:val="it-IT"/>
        </w:rPr>
        <w:t>La prima relazione annuale sui TAP (1</w:t>
      </w:r>
      <w:r w:rsidRPr="00030BB0">
        <w:rPr>
          <w:rFonts w:cs="Arial"/>
          <w:color w:val="4D5156"/>
          <w:sz w:val="21"/>
          <w:szCs w:val="21"/>
          <w:shd w:val="clear" w:color="auto" w:fill="FFFFFF"/>
          <w:lang w:val="it-IT"/>
        </w:rPr>
        <w:t>ª</w:t>
      </w:r>
      <w:r w:rsidRPr="00030BB0">
        <w:rPr>
          <w:rFonts w:cs="Arial"/>
          <w:vertAlign w:val="superscript"/>
          <w:lang w:val="it-IT"/>
        </w:rPr>
        <w:t xml:space="preserve"> </w:t>
      </w:r>
      <w:r w:rsidRPr="00030BB0">
        <w:rPr>
          <w:rFonts w:cs="Arial"/>
          <w:lang w:val="it-IT"/>
        </w:rPr>
        <w:t>Relazione TAP), è stata pubblicata il 25 novembre 2022 e copre il periodo dall’inaugurazione in data 3 dicembre 2021, al 30 giugno 2022.</w:t>
      </w:r>
    </w:p>
    <w:p w14:paraId="764CE917" w14:textId="17664A42" w:rsidR="00396DD5" w:rsidRPr="00396DD5" w:rsidRDefault="002643AF" w:rsidP="00F36AAD">
      <w:pPr>
        <w:spacing w:before="240" w:after="120" w:line="240" w:lineRule="auto"/>
        <w:rPr>
          <w:b/>
        </w:rPr>
      </w:pPr>
      <w:r w:rsidRPr="00030BB0">
        <w:rPr>
          <w:rFonts w:cs="Arial"/>
          <w:b/>
        </w:rPr>
        <w:t xml:space="preserve">La </w:t>
      </w:r>
      <w:proofErr w:type="spellStart"/>
      <w:r w:rsidRPr="00030BB0">
        <w:rPr>
          <w:rFonts w:cs="Arial"/>
          <w:b/>
        </w:rPr>
        <w:t>relazione</w:t>
      </w:r>
      <w:proofErr w:type="spellEnd"/>
    </w:p>
    <w:p w14:paraId="7271646A" w14:textId="77777777" w:rsidR="002643AF" w:rsidRPr="00030BB0" w:rsidRDefault="002643AF" w:rsidP="002643AF">
      <w:pPr>
        <w:spacing w:before="120" w:after="240" w:line="240" w:lineRule="auto"/>
        <w:rPr>
          <w:rFonts w:cs="Arial"/>
          <w:lang w:val="it-IT"/>
        </w:rPr>
      </w:pPr>
      <w:r w:rsidRPr="00030BB0">
        <w:rPr>
          <w:rFonts w:cs="Arial"/>
          <w:lang w:val="it-IT"/>
        </w:rPr>
        <w:t>La 2</w:t>
      </w:r>
      <w:r w:rsidRPr="00030BB0">
        <w:rPr>
          <w:rFonts w:cs="Arial"/>
          <w:color w:val="4D5156"/>
          <w:sz w:val="21"/>
          <w:szCs w:val="21"/>
          <w:shd w:val="clear" w:color="auto" w:fill="FFFFFF"/>
          <w:lang w:val="it-IT"/>
        </w:rPr>
        <w:t>ª</w:t>
      </w:r>
      <w:r w:rsidRPr="00030BB0" w:rsidDel="00193FC7">
        <w:rPr>
          <w:rFonts w:cs="Arial"/>
          <w:lang w:val="it-IT"/>
        </w:rPr>
        <w:t xml:space="preserve"> </w:t>
      </w:r>
      <w:r w:rsidRPr="00030BB0">
        <w:rPr>
          <w:rFonts w:cs="Arial"/>
          <w:lang w:val="it-IT"/>
        </w:rPr>
        <w:t xml:space="preserve"> relazione annuale sui TAP (2</w:t>
      </w:r>
      <w:r w:rsidRPr="00030BB0">
        <w:rPr>
          <w:rFonts w:cs="Arial"/>
          <w:color w:val="4D5156"/>
          <w:sz w:val="21"/>
          <w:szCs w:val="21"/>
          <w:shd w:val="clear" w:color="auto" w:fill="FFFFFF"/>
          <w:lang w:val="it-IT"/>
        </w:rPr>
        <w:t>ª</w:t>
      </w:r>
      <w:r w:rsidRPr="00030BB0" w:rsidDel="00193FC7">
        <w:rPr>
          <w:rFonts w:cs="Arial"/>
          <w:lang w:val="it-IT"/>
        </w:rPr>
        <w:t xml:space="preserve"> </w:t>
      </w:r>
      <w:r w:rsidRPr="00030BB0">
        <w:rPr>
          <w:rFonts w:cs="Arial"/>
          <w:lang w:val="it-IT"/>
        </w:rPr>
        <w:t xml:space="preserve"> relazione</w:t>
      </w:r>
      <w:r w:rsidRPr="00030BB0">
        <w:rPr>
          <w:rFonts w:cs="Arial"/>
          <w:vertAlign w:val="superscript"/>
          <w:lang w:val="it-IT"/>
        </w:rPr>
        <w:t xml:space="preserve"> </w:t>
      </w:r>
      <w:r w:rsidRPr="00030BB0">
        <w:rPr>
          <w:rFonts w:cs="Arial"/>
          <w:lang w:val="it-IT"/>
        </w:rPr>
        <w:t>TAP) si basa sui progressi riportati nel primo anno</w:t>
      </w:r>
      <w:r w:rsidRPr="00030BB0">
        <w:rPr>
          <w:rFonts w:cs="Arial"/>
          <w:vertAlign w:val="superscript"/>
          <w:lang w:val="it-IT"/>
        </w:rPr>
        <w:t xml:space="preserve"> </w:t>
      </w:r>
      <w:r w:rsidRPr="00030BB0">
        <w:rPr>
          <w:rFonts w:cs="Arial"/>
          <w:lang w:val="it-IT"/>
        </w:rPr>
        <w:t>dell'ADS e copre il periodo dal 1° luglio 2022 al 30 giugno 2023. Vengono forniti aggiornamenti da tutti i governi: dal governo australiano a quello degli stati e territori con punti salienti inclusi per una serie di azioni.</w:t>
      </w:r>
    </w:p>
    <w:p w14:paraId="03262328" w14:textId="77777777" w:rsidR="002643AF" w:rsidRPr="00030BB0" w:rsidRDefault="002643AF" w:rsidP="002643AF">
      <w:pPr>
        <w:spacing w:before="120" w:after="240" w:line="240" w:lineRule="auto"/>
        <w:rPr>
          <w:rFonts w:cs="Arial"/>
          <w:lang w:val="it-IT"/>
        </w:rPr>
      </w:pPr>
      <w:r w:rsidRPr="00030BB0">
        <w:rPr>
          <w:rFonts w:cs="Arial"/>
          <w:lang w:val="it-IT"/>
        </w:rPr>
        <w:t>La Relazione si compone di due documenti; la 2</w:t>
      </w:r>
      <w:r w:rsidRPr="00030BB0">
        <w:rPr>
          <w:rFonts w:cs="Arial"/>
          <w:color w:val="4D5156"/>
          <w:sz w:val="21"/>
          <w:szCs w:val="21"/>
          <w:shd w:val="clear" w:color="auto" w:fill="FFFFFF"/>
          <w:lang w:val="it-IT"/>
        </w:rPr>
        <w:t>ª</w:t>
      </w:r>
      <w:r w:rsidRPr="00030BB0" w:rsidDel="00C53556">
        <w:rPr>
          <w:rFonts w:cs="Arial"/>
          <w:vertAlign w:val="superscript"/>
          <w:lang w:val="it-IT"/>
        </w:rPr>
        <w:t xml:space="preserve"> </w:t>
      </w:r>
      <w:r w:rsidRPr="00030BB0">
        <w:rPr>
          <w:rFonts w:cs="Arial"/>
          <w:vertAlign w:val="superscript"/>
          <w:lang w:val="it-IT"/>
        </w:rPr>
        <w:t xml:space="preserve"> </w:t>
      </w:r>
      <w:r w:rsidRPr="00030BB0">
        <w:rPr>
          <w:rFonts w:cs="Arial"/>
          <w:lang w:val="it-IT"/>
        </w:rPr>
        <w:t>relazione TAP e un'appendice.</w:t>
      </w:r>
    </w:p>
    <w:p w14:paraId="691F778A" w14:textId="77777777" w:rsidR="002643AF" w:rsidRPr="00030BB0" w:rsidRDefault="002643AF" w:rsidP="002643AF">
      <w:pPr>
        <w:autoSpaceDE w:val="0"/>
        <w:autoSpaceDN w:val="0"/>
        <w:adjustRightInd w:val="0"/>
        <w:spacing w:before="120" w:after="240" w:line="240" w:lineRule="auto"/>
        <w:rPr>
          <w:rFonts w:cs="Arial"/>
          <w:lang w:val="it-IT"/>
        </w:rPr>
      </w:pPr>
      <w:r w:rsidRPr="00030BB0">
        <w:rPr>
          <w:rFonts w:cs="Arial"/>
          <w:lang w:val="it-IT"/>
        </w:rPr>
        <w:t>La 2</w:t>
      </w:r>
      <w:r w:rsidRPr="00030BB0">
        <w:rPr>
          <w:rFonts w:cs="Arial"/>
          <w:color w:val="4D5156"/>
          <w:sz w:val="21"/>
          <w:szCs w:val="21"/>
          <w:shd w:val="clear" w:color="auto" w:fill="FFFFFF"/>
          <w:lang w:val="it-IT"/>
        </w:rPr>
        <w:t>ª</w:t>
      </w:r>
      <w:r w:rsidRPr="00030BB0" w:rsidDel="00C53556">
        <w:rPr>
          <w:rFonts w:cs="Arial"/>
          <w:vertAlign w:val="superscript"/>
          <w:lang w:val="it-IT"/>
        </w:rPr>
        <w:t xml:space="preserve"> </w:t>
      </w:r>
      <w:r w:rsidRPr="00030BB0">
        <w:rPr>
          <w:rFonts w:cs="Arial"/>
          <w:vertAlign w:val="superscript"/>
          <w:lang w:val="it-IT"/>
        </w:rPr>
        <w:t xml:space="preserve"> </w:t>
      </w:r>
      <w:r w:rsidRPr="00030BB0">
        <w:rPr>
          <w:rFonts w:cs="Arial"/>
          <w:lang w:val="it-IT"/>
        </w:rPr>
        <w:t xml:space="preserve">relazione TAP fornisce panoramica, dati e grafici. Include anche una serie di esempi per mostrare come le azioni vengono implementate e portate avanti. </w:t>
      </w:r>
      <w:r w:rsidRPr="00030BB0">
        <w:rPr>
          <w:rFonts w:cs="Arial"/>
          <w:color w:val="000000"/>
          <w:lang w:val="it-IT"/>
        </w:rPr>
        <w:t>La relazione include anche una breve panoramica sui progressi compiuti dall’inaugurazione di ADS (dicembre 2021 - giugno 2023</w:t>
      </w:r>
      <w:r w:rsidRPr="00030BB0">
        <w:rPr>
          <w:rFonts w:cs="Arial"/>
          <w:color w:val="000000"/>
          <w:sz w:val="20"/>
          <w:szCs w:val="20"/>
          <w:lang w:val="it-IT"/>
        </w:rPr>
        <w:t xml:space="preserve"> </w:t>
      </w:r>
      <w:r w:rsidRPr="00030BB0">
        <w:rPr>
          <w:rFonts w:cs="Arial"/>
          <w:color w:val="000000"/>
          <w:lang w:val="it-IT"/>
        </w:rPr>
        <w:t>periodo).</w:t>
      </w:r>
      <w:r w:rsidRPr="00030BB0">
        <w:rPr>
          <w:rFonts w:cs="Arial"/>
          <w:color w:val="000000"/>
          <w:sz w:val="20"/>
          <w:szCs w:val="20"/>
          <w:lang w:val="it-IT"/>
        </w:rPr>
        <w:t xml:space="preserve"> </w:t>
      </w:r>
    </w:p>
    <w:p w14:paraId="560755BF" w14:textId="7739EA4F" w:rsidR="002643AF" w:rsidRDefault="002643AF" w:rsidP="002643AF">
      <w:pPr>
        <w:spacing w:before="120" w:after="240" w:line="240" w:lineRule="auto"/>
      </w:pPr>
      <w:r w:rsidRPr="00030BB0">
        <w:rPr>
          <w:rFonts w:cs="Arial"/>
          <w:lang w:val="it-IT"/>
        </w:rPr>
        <w:t>L'Appendice presenta lo stato di progresso al 30 giugno 2023 e un aggiornamento per ciascuna delle 374 azioni rimanenti per indicare come sta procedendo l'azione:</w:t>
      </w:r>
    </w:p>
    <w:p w14:paraId="3D4290A9" w14:textId="5D5195C2" w:rsidR="00396DD5" w:rsidRDefault="005F0FC0" w:rsidP="00F36AAD">
      <w:pPr>
        <w:tabs>
          <w:tab w:val="left" w:pos="1980"/>
          <w:tab w:val="left" w:pos="2160"/>
        </w:tabs>
        <w:spacing w:before="240" w:after="120" w:line="240" w:lineRule="auto"/>
      </w:pPr>
      <w:r w:rsidRPr="00030BB0">
        <w:rPr>
          <w:rFonts w:cs="Arial"/>
          <w:b/>
          <w:lang w:val="it-IT"/>
        </w:rPr>
        <w:t>Completato</w:t>
      </w:r>
      <w:r w:rsidR="00396DD5">
        <w:tab/>
      </w:r>
      <w:r w:rsidRPr="00030BB0">
        <w:rPr>
          <w:rFonts w:cs="Arial"/>
          <w:lang w:val="it-IT"/>
        </w:rPr>
        <w:t>L'azione è stata completata tra il 1° luglio 2022 e il 30 giugno 2023.</w:t>
      </w:r>
    </w:p>
    <w:p w14:paraId="3DB46794" w14:textId="6B04F799" w:rsidR="00396DD5" w:rsidRDefault="005F0FC0" w:rsidP="00F36AAD">
      <w:pPr>
        <w:tabs>
          <w:tab w:val="left" w:pos="1980"/>
          <w:tab w:val="left" w:pos="2160"/>
        </w:tabs>
        <w:spacing w:before="240" w:after="120" w:line="240" w:lineRule="auto"/>
      </w:pPr>
      <w:r w:rsidRPr="00030BB0">
        <w:rPr>
          <w:rFonts w:cs="Arial"/>
          <w:b/>
          <w:lang w:val="it-IT"/>
        </w:rPr>
        <w:t>In corso</w:t>
      </w:r>
      <w:r w:rsidR="00396DD5">
        <w:tab/>
      </w:r>
      <w:r w:rsidRPr="00030BB0">
        <w:rPr>
          <w:rFonts w:cs="Arial"/>
          <w:lang w:val="it-IT"/>
        </w:rPr>
        <w:t>Le azioni procedono in linea con i piani.</w:t>
      </w:r>
    </w:p>
    <w:p w14:paraId="4CF67DD8" w14:textId="0641FE84" w:rsidR="00396DD5" w:rsidRDefault="005F0FC0" w:rsidP="00F36AAD">
      <w:pPr>
        <w:tabs>
          <w:tab w:val="left" w:pos="1980"/>
          <w:tab w:val="left" w:pos="2160"/>
        </w:tabs>
        <w:spacing w:before="240" w:after="120" w:line="240" w:lineRule="auto"/>
      </w:pPr>
      <w:r w:rsidRPr="00030BB0">
        <w:rPr>
          <w:rFonts w:cs="Arial"/>
          <w:b/>
          <w:lang w:val="it-IT"/>
        </w:rPr>
        <w:t>Alcuni ritardi</w:t>
      </w:r>
      <w:r w:rsidR="00396DD5">
        <w:tab/>
      </w:r>
      <w:r w:rsidRPr="00030BB0">
        <w:rPr>
          <w:rFonts w:cs="Arial"/>
          <w:lang w:val="it-IT"/>
        </w:rPr>
        <w:t>L'azione è in corso, ma è in ritardo rispetto al programma originale.</w:t>
      </w:r>
    </w:p>
    <w:p w14:paraId="2746A295" w14:textId="25FCAC48" w:rsidR="00396DD5" w:rsidRDefault="005F0FC0" w:rsidP="00F36AAD">
      <w:pPr>
        <w:tabs>
          <w:tab w:val="left" w:pos="1980"/>
          <w:tab w:val="left" w:pos="2160"/>
        </w:tabs>
        <w:spacing w:before="240" w:after="120" w:line="240" w:lineRule="auto"/>
        <w:ind w:left="1987" w:hanging="1987"/>
      </w:pPr>
      <w:r w:rsidRPr="00030BB0">
        <w:rPr>
          <w:rFonts w:cs="Arial"/>
          <w:b/>
          <w:lang w:val="it-IT"/>
        </w:rPr>
        <w:t>In pausa</w:t>
      </w:r>
      <w:r w:rsidR="00396DD5">
        <w:tab/>
      </w:r>
      <w:r w:rsidRPr="00030BB0">
        <w:rPr>
          <w:rFonts w:cs="Arial"/>
          <w:lang w:val="it-IT"/>
        </w:rPr>
        <w:t>L'azione è iniziata o stava per iniziare, ma è stata messa in pausa.</w:t>
      </w:r>
    </w:p>
    <w:p w14:paraId="5BD8032C" w14:textId="35E4DD2D" w:rsidR="00396DD5" w:rsidRDefault="005F0FC0" w:rsidP="00F36AAD">
      <w:pPr>
        <w:tabs>
          <w:tab w:val="left" w:pos="1980"/>
          <w:tab w:val="left" w:pos="2160"/>
        </w:tabs>
        <w:spacing w:before="240" w:after="120" w:line="240" w:lineRule="auto"/>
      </w:pPr>
      <w:r w:rsidRPr="00030BB0">
        <w:rPr>
          <w:rFonts w:cs="Arial"/>
          <w:b/>
          <w:lang w:val="it-IT"/>
        </w:rPr>
        <w:t>Avvio futuro</w:t>
      </w:r>
      <w:r w:rsidR="00396DD5">
        <w:tab/>
      </w:r>
      <w:r w:rsidRPr="00030BB0">
        <w:rPr>
          <w:rFonts w:cs="Arial"/>
          <w:lang w:val="it-IT"/>
        </w:rPr>
        <w:t>L'azione avrebbe dovuto iniziare dopo il 30 giugno 2023</w:t>
      </w:r>
    </w:p>
    <w:p w14:paraId="65DC99DA" w14:textId="6FCCFF82" w:rsidR="0020422A" w:rsidRDefault="005F0FC0" w:rsidP="00F36AAD">
      <w:pPr>
        <w:tabs>
          <w:tab w:val="left" w:pos="1980"/>
          <w:tab w:val="left" w:pos="2160"/>
        </w:tabs>
        <w:spacing w:before="240" w:after="120" w:line="240" w:lineRule="auto"/>
      </w:pPr>
      <w:r w:rsidRPr="00030BB0">
        <w:rPr>
          <w:rFonts w:cs="Arial"/>
          <w:b/>
          <w:lang w:val="it-IT"/>
        </w:rPr>
        <w:t>N/D</w:t>
      </w:r>
      <w:r w:rsidR="0020422A">
        <w:tab/>
      </w:r>
      <w:r w:rsidRPr="00030BB0">
        <w:rPr>
          <w:rFonts w:cs="Arial"/>
          <w:lang w:val="it-IT"/>
        </w:rPr>
        <w:t>L'azione è stata completata entro il 30 giugno 2022.</w:t>
      </w:r>
    </w:p>
    <w:p w14:paraId="0D2BFF93" w14:textId="3A931F01" w:rsidR="00A80F5E" w:rsidRDefault="005F0FC0" w:rsidP="00F36AAD">
      <w:pPr>
        <w:spacing w:before="240" w:after="120" w:line="240" w:lineRule="auto"/>
      </w:pPr>
      <w:r w:rsidRPr="00030BB0">
        <w:rPr>
          <w:rFonts w:cs="Arial"/>
          <w:lang w:val="it-IT"/>
        </w:rPr>
        <w:t>L'Appendice include anche lo stato delle azioni della 1</w:t>
      </w:r>
      <w:r w:rsidRPr="00030BB0">
        <w:rPr>
          <w:rFonts w:cs="Arial"/>
          <w:color w:val="4D5156"/>
          <w:sz w:val="21"/>
          <w:szCs w:val="21"/>
          <w:shd w:val="clear" w:color="auto" w:fill="FFFFFF"/>
          <w:lang w:val="it-IT"/>
        </w:rPr>
        <w:t>ª</w:t>
      </w:r>
      <w:r w:rsidRPr="00030BB0">
        <w:rPr>
          <w:rFonts w:cs="Arial"/>
          <w:vertAlign w:val="superscript"/>
          <w:lang w:val="it-IT"/>
        </w:rPr>
        <w:t xml:space="preserve"> </w:t>
      </w:r>
      <w:r w:rsidRPr="00030BB0">
        <w:rPr>
          <w:rFonts w:cs="Arial"/>
          <w:lang w:val="it-IT"/>
        </w:rPr>
        <w:t>Relazione TAP a titolo comparativo. Tutte le azioni sono state collegate alla relativa priorità politica in ADS.</w:t>
      </w:r>
    </w:p>
    <w:p w14:paraId="28C26D98" w14:textId="67C50245" w:rsidR="007F1217" w:rsidRDefault="005F0FC0" w:rsidP="00F36AAD">
      <w:pPr>
        <w:spacing w:before="240" w:after="120" w:line="240" w:lineRule="auto"/>
        <w:rPr>
          <w:rStyle w:val="Hyperlink"/>
          <w:b w:val="0"/>
        </w:rPr>
      </w:pPr>
      <w:r w:rsidRPr="00030BB0">
        <w:rPr>
          <w:rFonts w:cs="Arial"/>
          <w:lang w:val="it-IT"/>
        </w:rPr>
        <w:lastRenderedPageBreak/>
        <w:t>Ulteriori informazioni sugli ADS, compresi i TAP, sono disponibili al sito</w:t>
      </w:r>
      <w:r w:rsidR="00396DD5">
        <w:t xml:space="preserve"> </w:t>
      </w:r>
      <w:hyperlink r:id="rId17" w:history="1">
        <w:r w:rsidR="00396DD5" w:rsidRPr="008F6E78">
          <w:rPr>
            <w:rStyle w:val="Hyperlink"/>
            <w:b w:val="0"/>
          </w:rPr>
          <w:t>www.disabilitygateway.gov.au/ads</w:t>
        </w:r>
      </w:hyperlink>
    </w:p>
    <w:p w14:paraId="717D5B5F" w14:textId="77777777" w:rsidR="007F1217" w:rsidRDefault="007F1217" w:rsidP="007F1217">
      <w:pPr>
        <w:rPr>
          <w:rStyle w:val="Hyperlink"/>
          <w:b w:val="0"/>
        </w:rPr>
      </w:pPr>
      <w:r>
        <w:rPr>
          <w:rStyle w:val="Hyperlink"/>
          <w:b w:val="0"/>
        </w:rPr>
        <w:br w:type="page"/>
      </w:r>
    </w:p>
    <w:p w14:paraId="19B1C08E" w14:textId="3B801168" w:rsidR="00396DD5" w:rsidRPr="00F36AAD" w:rsidRDefault="009725E5" w:rsidP="00F36AAD">
      <w:pPr>
        <w:pStyle w:val="Heading1"/>
      </w:pPr>
      <w:bookmarkStart w:id="2" w:name="_Toc153298572"/>
      <w:r w:rsidRPr="00030BB0">
        <w:rPr>
          <w:rFonts w:cs="Arial"/>
        </w:rPr>
        <w:lastRenderedPageBreak/>
        <w:t xml:space="preserve">Progresso </w:t>
      </w:r>
      <w:proofErr w:type="spellStart"/>
      <w:r w:rsidRPr="00030BB0">
        <w:rPr>
          <w:rFonts w:cs="Arial"/>
        </w:rPr>
        <w:t>nazionale</w:t>
      </w:r>
      <w:bookmarkEnd w:id="2"/>
      <w:proofErr w:type="spellEnd"/>
    </w:p>
    <w:p w14:paraId="50395894" w14:textId="77777777" w:rsidR="009725E5" w:rsidRPr="00030BB0" w:rsidRDefault="009725E5" w:rsidP="009725E5">
      <w:pPr>
        <w:spacing w:before="240" w:after="240" w:line="240" w:lineRule="auto"/>
        <w:rPr>
          <w:rFonts w:cs="Arial"/>
          <w:lang w:val="it-IT"/>
        </w:rPr>
      </w:pPr>
      <w:r w:rsidRPr="00030BB0">
        <w:rPr>
          <w:rFonts w:cs="Arial"/>
          <w:lang w:val="it-IT"/>
        </w:rPr>
        <w:t>Il focus della relazione, il periodo di riferimento 2022-2023, si incentra sullo stato di progresso delle 374 azioni rimanenti (non completate) dal periodo di riferimento 2021-2022. Sebbene i progressi sulle azioni per questo periodo di riferimento mostrino un aumento delle azioni completate rispetto al periodo di riferimento 2021-2022, ci sono un paio di TAP con una serie di azioni che hanno subito ritardi o sono state interrotte.</w:t>
      </w:r>
    </w:p>
    <w:p w14:paraId="6A18B089" w14:textId="4307F351" w:rsidR="009725E5" w:rsidRDefault="009725E5" w:rsidP="009725E5">
      <w:pPr>
        <w:spacing w:before="240" w:after="240" w:line="240" w:lineRule="auto"/>
      </w:pPr>
      <w:r w:rsidRPr="00030BB0">
        <w:rPr>
          <w:rFonts w:cs="Arial"/>
          <w:lang w:val="it-IT"/>
        </w:rPr>
        <w:t>A prima vista i progressi nazionali in tutti e 5 i TAP comprendenti le 374 azioni rimanenti nel periodo di riferimento 2022-2023 mostrano:</w:t>
      </w:r>
    </w:p>
    <w:p w14:paraId="2D9F9455" w14:textId="5C1D2472" w:rsidR="00396DD5" w:rsidRDefault="009725E5" w:rsidP="00B67DD9">
      <w:pPr>
        <w:pStyle w:val="ListParagraph"/>
        <w:numPr>
          <w:ilvl w:val="0"/>
          <w:numId w:val="14"/>
        </w:numPr>
        <w:spacing w:before="120" w:after="120" w:line="240" w:lineRule="auto"/>
        <w:ind w:left="360"/>
        <w:contextualSpacing w:val="0"/>
      </w:pPr>
      <w:r w:rsidRPr="00030BB0">
        <w:rPr>
          <w:rFonts w:cs="Arial"/>
          <w:b/>
          <w:lang w:val="it-IT"/>
        </w:rPr>
        <w:t xml:space="preserve">310 (83%) </w:t>
      </w:r>
      <w:r w:rsidRPr="00030BB0">
        <w:rPr>
          <w:rFonts w:cs="Arial"/>
          <w:lang w:val="it-IT"/>
        </w:rPr>
        <w:t>azioni risultano completate o in corso</w:t>
      </w:r>
    </w:p>
    <w:p w14:paraId="451973E5" w14:textId="666372B5" w:rsidR="00E37F9D" w:rsidRPr="00E37F9D" w:rsidRDefault="009725E5" w:rsidP="00B67DD9">
      <w:pPr>
        <w:pStyle w:val="ListParagraph"/>
        <w:numPr>
          <w:ilvl w:val="1"/>
          <w:numId w:val="15"/>
        </w:numPr>
        <w:spacing w:before="120" w:after="120" w:line="240" w:lineRule="auto"/>
        <w:ind w:left="720"/>
        <w:contextualSpacing w:val="0"/>
      </w:pPr>
      <w:r w:rsidRPr="00030BB0">
        <w:rPr>
          <w:rFonts w:cs="Arial"/>
          <w:b/>
        </w:rPr>
        <w:t xml:space="preserve">101 (27%) </w:t>
      </w:r>
      <w:proofErr w:type="spellStart"/>
      <w:r w:rsidRPr="00030BB0">
        <w:rPr>
          <w:rFonts w:cs="Arial"/>
        </w:rPr>
        <w:t>azioni</w:t>
      </w:r>
      <w:proofErr w:type="spellEnd"/>
      <w:r w:rsidRPr="00030BB0">
        <w:rPr>
          <w:rFonts w:cs="Arial"/>
        </w:rPr>
        <w:t xml:space="preserve"> </w:t>
      </w:r>
      <w:proofErr w:type="spellStart"/>
      <w:r w:rsidRPr="00030BB0">
        <w:rPr>
          <w:rFonts w:cs="Arial"/>
        </w:rPr>
        <w:t>completate</w:t>
      </w:r>
      <w:proofErr w:type="spellEnd"/>
      <w:r w:rsidRPr="00030BB0">
        <w:rPr>
          <w:rFonts w:cs="Arial"/>
        </w:rPr>
        <w:t>, e</w:t>
      </w:r>
      <w:r w:rsidR="00D77A09">
        <w:t xml:space="preserve"> </w:t>
      </w:r>
    </w:p>
    <w:p w14:paraId="7BFDD2C3" w14:textId="1D9289FA" w:rsidR="00E37F9D" w:rsidRDefault="009725E5" w:rsidP="00B67DD9">
      <w:pPr>
        <w:pStyle w:val="ListParagraph"/>
        <w:numPr>
          <w:ilvl w:val="1"/>
          <w:numId w:val="15"/>
        </w:numPr>
        <w:spacing w:before="120" w:after="120" w:line="240" w:lineRule="auto"/>
        <w:ind w:left="720"/>
        <w:contextualSpacing w:val="0"/>
      </w:pPr>
      <w:r w:rsidRPr="00030BB0">
        <w:rPr>
          <w:rFonts w:cs="Arial"/>
          <w:b/>
        </w:rPr>
        <w:t xml:space="preserve">209 (56%) </w:t>
      </w:r>
      <w:proofErr w:type="spellStart"/>
      <w:r w:rsidRPr="00030BB0">
        <w:rPr>
          <w:rFonts w:cs="Arial"/>
        </w:rPr>
        <w:t>azioni</w:t>
      </w:r>
      <w:proofErr w:type="spellEnd"/>
      <w:r w:rsidRPr="00030BB0">
        <w:rPr>
          <w:rFonts w:cs="Arial"/>
        </w:rPr>
        <w:t xml:space="preserve"> in </w:t>
      </w:r>
      <w:proofErr w:type="spellStart"/>
      <w:r w:rsidRPr="00030BB0">
        <w:rPr>
          <w:rFonts w:cs="Arial"/>
        </w:rPr>
        <w:t>corso</w:t>
      </w:r>
      <w:proofErr w:type="spellEnd"/>
      <w:r w:rsidRPr="00030BB0">
        <w:rPr>
          <w:rFonts w:cs="Arial"/>
        </w:rPr>
        <w:t>.</w:t>
      </w:r>
    </w:p>
    <w:p w14:paraId="26B11882" w14:textId="33612F09" w:rsidR="00CC6483" w:rsidRDefault="009725E5" w:rsidP="00B67DD9">
      <w:pPr>
        <w:pStyle w:val="ListParagraph"/>
        <w:numPr>
          <w:ilvl w:val="0"/>
          <w:numId w:val="14"/>
        </w:numPr>
        <w:spacing w:before="120" w:after="120" w:line="240" w:lineRule="auto"/>
        <w:ind w:left="360"/>
        <w:contextualSpacing w:val="0"/>
      </w:pPr>
      <w:r w:rsidRPr="00030BB0">
        <w:rPr>
          <w:rFonts w:cs="Arial"/>
          <w:b/>
          <w:lang w:val="it-IT"/>
        </w:rPr>
        <w:t xml:space="preserve">64 azioni (17%) </w:t>
      </w:r>
      <w:r w:rsidRPr="00030BB0">
        <w:rPr>
          <w:rFonts w:cs="Arial"/>
          <w:lang w:val="it-IT"/>
        </w:rPr>
        <w:t>hanno subito ritardi, sono state messe in pausa o hanno una data di inizio futura.</w:t>
      </w:r>
    </w:p>
    <w:p w14:paraId="5616A0CA" w14:textId="38BFA101" w:rsidR="008363E4" w:rsidRDefault="009725E5" w:rsidP="00F36AAD">
      <w:pPr>
        <w:spacing w:before="240" w:after="240" w:line="240" w:lineRule="auto"/>
      </w:pPr>
      <w:r w:rsidRPr="00030BB0">
        <w:rPr>
          <w:rFonts w:cs="Arial"/>
          <w:lang w:val="it-IT"/>
        </w:rPr>
        <w:t>Le seguenti giurisdizioni hanno registrato i seguenti risultati:</w:t>
      </w:r>
    </w:p>
    <w:p w14:paraId="0A56C1EA" w14:textId="77777777" w:rsidR="009725E5" w:rsidRPr="00030BB0" w:rsidRDefault="009725E5" w:rsidP="00B67DD9">
      <w:pPr>
        <w:pStyle w:val="ListParagraph"/>
        <w:numPr>
          <w:ilvl w:val="0"/>
          <w:numId w:val="14"/>
        </w:numPr>
        <w:spacing w:before="120" w:after="120" w:line="240" w:lineRule="auto"/>
        <w:ind w:left="360"/>
        <w:contextualSpacing w:val="0"/>
        <w:rPr>
          <w:rFonts w:cs="Arial"/>
          <w:lang w:val="it-IT"/>
        </w:rPr>
      </w:pPr>
      <w:r w:rsidRPr="00030BB0">
        <w:rPr>
          <w:rFonts w:cs="Arial"/>
          <w:lang w:val="it-IT"/>
        </w:rPr>
        <w:t xml:space="preserve">L'Australian Capital Territory ha la più alta percentuale di azioni completate con il </w:t>
      </w:r>
      <w:r w:rsidRPr="00030BB0">
        <w:rPr>
          <w:rFonts w:cs="Arial"/>
          <w:b/>
          <w:lang w:val="it-IT"/>
        </w:rPr>
        <w:t>58%</w:t>
      </w:r>
    </w:p>
    <w:p w14:paraId="3D59DC8A" w14:textId="77777777" w:rsidR="009725E5" w:rsidRPr="00030BB0" w:rsidRDefault="009725E5" w:rsidP="00B67DD9">
      <w:pPr>
        <w:pStyle w:val="ListParagraph"/>
        <w:numPr>
          <w:ilvl w:val="0"/>
          <w:numId w:val="14"/>
        </w:numPr>
        <w:spacing w:before="120" w:after="120" w:line="240" w:lineRule="auto"/>
        <w:ind w:left="360"/>
        <w:contextualSpacing w:val="0"/>
        <w:rPr>
          <w:rFonts w:cs="Arial"/>
          <w:lang w:val="it-IT"/>
        </w:rPr>
      </w:pPr>
      <w:r w:rsidRPr="00030BB0">
        <w:rPr>
          <w:rFonts w:cs="Arial"/>
          <w:lang w:val="it-IT"/>
        </w:rPr>
        <w:t xml:space="preserve">I Territori del Nord hanno la percentuale più alta di azioni in corso con il </w:t>
      </w:r>
      <w:r w:rsidRPr="00030BB0">
        <w:rPr>
          <w:rFonts w:cs="Arial"/>
          <w:b/>
          <w:lang w:val="it-IT"/>
        </w:rPr>
        <w:t>79%</w:t>
      </w:r>
    </w:p>
    <w:p w14:paraId="3B6E6C41" w14:textId="77777777" w:rsidR="009725E5" w:rsidRPr="00030BB0" w:rsidRDefault="009725E5" w:rsidP="00B67DD9">
      <w:pPr>
        <w:pStyle w:val="ListParagraph"/>
        <w:numPr>
          <w:ilvl w:val="0"/>
          <w:numId w:val="14"/>
        </w:numPr>
        <w:spacing w:before="120" w:after="120" w:line="240" w:lineRule="auto"/>
        <w:ind w:left="360"/>
        <w:contextualSpacing w:val="0"/>
        <w:rPr>
          <w:rFonts w:cs="Arial"/>
          <w:lang w:val="it-IT"/>
        </w:rPr>
      </w:pPr>
      <w:r w:rsidRPr="00030BB0">
        <w:rPr>
          <w:rFonts w:cs="Arial"/>
          <w:lang w:val="it-IT"/>
        </w:rPr>
        <w:t xml:space="preserve">Victoria e Western Australia hanno registrato una percentuale di azioni completate e in corso rispettivamente del </w:t>
      </w:r>
      <w:r w:rsidRPr="00030BB0">
        <w:rPr>
          <w:rFonts w:cs="Arial"/>
          <w:b/>
          <w:lang w:val="it-IT"/>
        </w:rPr>
        <w:t xml:space="preserve">96% </w:t>
      </w:r>
      <w:r w:rsidRPr="00030BB0">
        <w:rPr>
          <w:rFonts w:cs="Arial"/>
          <w:lang w:val="it-IT"/>
        </w:rPr>
        <w:t xml:space="preserve">e </w:t>
      </w:r>
      <w:r w:rsidRPr="00030BB0">
        <w:rPr>
          <w:rFonts w:cs="Arial"/>
          <w:b/>
          <w:lang w:val="it-IT"/>
        </w:rPr>
        <w:t>del 97%.</w:t>
      </w:r>
    </w:p>
    <w:p w14:paraId="04F01B5F" w14:textId="1DA4DAEE" w:rsidR="009725E5" w:rsidRDefault="009725E5" w:rsidP="00B67DD9">
      <w:pPr>
        <w:pStyle w:val="ListParagraph"/>
        <w:numPr>
          <w:ilvl w:val="0"/>
          <w:numId w:val="14"/>
        </w:numPr>
        <w:spacing w:before="120" w:after="120" w:line="240" w:lineRule="auto"/>
        <w:ind w:left="360"/>
        <w:contextualSpacing w:val="0"/>
      </w:pPr>
      <w:r w:rsidRPr="00030BB0">
        <w:rPr>
          <w:rFonts w:cs="Arial"/>
          <w:lang w:val="it-IT"/>
        </w:rPr>
        <w:t xml:space="preserve">Il governo australiano e il New South Wales presentano la percentuale più alta di ritardi e azioni interrotte, rispettivamente con </w:t>
      </w:r>
      <w:r w:rsidRPr="00030BB0">
        <w:rPr>
          <w:rFonts w:cs="Arial"/>
          <w:b/>
          <w:lang w:val="it-IT"/>
        </w:rPr>
        <w:t>il 3</w:t>
      </w:r>
      <w:r w:rsidR="008E3222">
        <w:rPr>
          <w:rFonts w:cs="Arial"/>
          <w:b/>
          <w:lang w:val="it-IT"/>
        </w:rPr>
        <w:t>1</w:t>
      </w:r>
      <w:bookmarkStart w:id="3" w:name="_GoBack"/>
      <w:bookmarkEnd w:id="3"/>
      <w:r w:rsidRPr="00030BB0">
        <w:rPr>
          <w:rFonts w:cs="Arial"/>
          <w:b/>
          <w:lang w:val="it-IT"/>
        </w:rPr>
        <w:t xml:space="preserve">% </w:t>
      </w:r>
      <w:r w:rsidRPr="00030BB0">
        <w:rPr>
          <w:rFonts w:cs="Arial"/>
          <w:lang w:val="it-IT"/>
        </w:rPr>
        <w:t xml:space="preserve">e </w:t>
      </w:r>
      <w:r w:rsidRPr="00030BB0">
        <w:rPr>
          <w:rFonts w:cs="Arial"/>
          <w:b/>
          <w:lang w:val="it-IT"/>
        </w:rPr>
        <w:t>il 35%.</w:t>
      </w:r>
    </w:p>
    <w:p w14:paraId="6CCA47BF" w14:textId="2A356756" w:rsidR="00A505E0" w:rsidRDefault="009725E5" w:rsidP="00F36AAD">
      <w:pPr>
        <w:spacing w:before="240" w:after="240" w:line="240" w:lineRule="auto"/>
      </w:pPr>
      <w:r w:rsidRPr="00030BB0">
        <w:rPr>
          <w:rFonts w:cs="Arial"/>
          <w:lang w:val="it-IT"/>
        </w:rPr>
        <w:t>Le giurisdizioni hanno notato che alcuni ritardi o pause sono ripercussioni di precedenti problemi dovuti a ritardi come COVID-19 o di attesa dei risultati di revisioni come la Royal Commission into Violence, Abuse, Neglect and Exploitation of People with Disability (Commissione reale sulla violenza, gli abusi, l'abbandono e lo sfruttamento delle persone con disabilità) e la revisione NDIS. Altre ragioni per azioni ritardate e in pausa possono essere attribuite alle revisioni delle tempistiche per allinearle con altri lavori governativi come la Strategia nazionale sull’autismo, la Strategia per la prima infanzia e in alcuni casi la negoziazione delle posizioni e il raggiungimento di un accordo per condividere i dati tra le giurisdizioni richiede più tempo del previsto.</w:t>
      </w:r>
    </w:p>
    <w:p w14:paraId="0482E5CE" w14:textId="2CB6C590" w:rsidR="00A54DB9" w:rsidRDefault="00A54DB9">
      <w:pPr>
        <w:rPr>
          <w:b/>
        </w:rPr>
      </w:pPr>
      <w:r>
        <w:rPr>
          <w:b/>
        </w:rPr>
        <w:br w:type="page"/>
      </w:r>
    </w:p>
    <w:p w14:paraId="1C36F253" w14:textId="2BCE5296" w:rsidR="00A54DB9" w:rsidRPr="0066071F" w:rsidRDefault="002464B7" w:rsidP="0066071F">
      <w:pPr>
        <w:rPr>
          <w:b/>
          <w:bCs/>
          <w:color w:val="6C1740"/>
          <w:sz w:val="94"/>
          <w:szCs w:val="94"/>
        </w:rPr>
      </w:pPr>
      <w:r w:rsidRPr="002464B7">
        <w:rPr>
          <w:b/>
          <w:bCs/>
          <w:color w:val="6C1740"/>
          <w:sz w:val="94"/>
          <w:szCs w:val="94"/>
        </w:rPr>
        <w:lastRenderedPageBreak/>
        <w:t xml:space="preserve">Progresso </w:t>
      </w:r>
      <w:proofErr w:type="spellStart"/>
      <w:r w:rsidRPr="002464B7">
        <w:rPr>
          <w:b/>
          <w:bCs/>
          <w:color w:val="6C1740"/>
          <w:sz w:val="94"/>
          <w:szCs w:val="94"/>
        </w:rPr>
        <w:t>nazionale</w:t>
      </w:r>
      <w:proofErr w:type="spellEnd"/>
    </w:p>
    <w:p w14:paraId="66441F99" w14:textId="73F02BCB" w:rsidR="00CC1683" w:rsidRDefault="002464B7" w:rsidP="00F36AAD">
      <w:pPr>
        <w:spacing w:before="240" w:after="240" w:line="240" w:lineRule="auto"/>
      </w:pPr>
      <w:r w:rsidRPr="00030BB0">
        <w:rPr>
          <w:rFonts w:cs="Arial"/>
          <w:lang w:val="it-IT"/>
        </w:rPr>
        <w:t>Per il periodo dal 1° luglio 2022 al 30 giugno 2023, la maggior parte dei TAP ha registrato almeno l’80% delle proprie azioni come completate o in linea con il periodo di riferimento. Il TAP per la gestione delle emergenze ha registrato la percentuale più alta di azioni completate e in corso con il 93%. Mentre il TAP per la Sicurezza aveva la percentuale più bassa di azioni completate e in linea con il 74%, ha avuto la seconda percentuale più alta di azioni completate con il 29%.</w:t>
      </w:r>
    </w:p>
    <w:p w14:paraId="276FB7F2" w14:textId="20237873" w:rsidR="006B3368" w:rsidRPr="003848ED" w:rsidRDefault="002464B7" w:rsidP="00F36AAD">
      <w:pPr>
        <w:spacing w:before="240" w:after="240"/>
        <w:rPr>
          <w:b/>
          <w:color w:val="6C1740"/>
        </w:rPr>
      </w:pPr>
      <w:r w:rsidRPr="003848ED">
        <w:rPr>
          <w:rFonts w:cs="Arial"/>
          <w:b/>
          <w:color w:val="6C1740"/>
          <w:lang w:val="it-IT"/>
        </w:rPr>
        <w:t>Tabella 1: Stato di progresso delle azioni TAP per il periodo di riferimento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64"/>
        <w:gridCol w:w="1414"/>
        <w:gridCol w:w="1272"/>
        <w:gridCol w:w="1273"/>
        <w:gridCol w:w="1273"/>
        <w:gridCol w:w="1273"/>
        <w:gridCol w:w="1273"/>
      </w:tblGrid>
      <w:tr w:rsidR="00752358" w:rsidRPr="007F1217" w14:paraId="640E416C" w14:textId="77777777" w:rsidTr="006634B5">
        <w:tc>
          <w:tcPr>
            <w:tcW w:w="789" w:type="pct"/>
            <w:tcBorders>
              <w:top w:val="single" w:sz="4" w:space="0" w:color="auto"/>
              <w:bottom w:val="single" w:sz="4" w:space="0" w:color="auto"/>
              <w:right w:val="single" w:sz="4" w:space="0" w:color="FFFFFF" w:themeColor="background1"/>
            </w:tcBorders>
            <w:shd w:val="clear" w:color="auto" w:fill="6C1740"/>
          </w:tcPr>
          <w:p w14:paraId="2549FB2D" w14:textId="11833F5B" w:rsidR="00752358" w:rsidRPr="003848ED" w:rsidRDefault="003848ED" w:rsidP="006877D0">
            <w:pPr>
              <w:rPr>
                <w:b/>
                <w:color w:val="FFFFFF" w:themeColor="background1"/>
                <w:sz w:val="20"/>
                <w:szCs w:val="20"/>
              </w:rPr>
            </w:pPr>
            <w:bookmarkStart w:id="4" w:name="Title_01"/>
            <w:bookmarkEnd w:id="4"/>
            <w:r w:rsidRPr="003848ED">
              <w:rPr>
                <w:rFonts w:eastAsia="Times New Roman" w:cs="Calibri"/>
                <w:b/>
                <w:bCs/>
                <w:color w:val="FFFFFF" w:themeColor="background1"/>
                <w:lang w:val="it" w:eastAsia="en-AU"/>
              </w:rPr>
              <w:t>Governo</w:t>
            </w:r>
          </w:p>
        </w:tc>
        <w:tc>
          <w:tcPr>
            <w:tcW w:w="76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2214C25B" w:rsidR="00752358" w:rsidRPr="003848ED" w:rsidRDefault="003848ED" w:rsidP="00F36AAD">
            <w:pPr>
              <w:jc w:val="right"/>
              <w:rPr>
                <w:b/>
                <w:color w:val="FFFFFF" w:themeColor="background1"/>
                <w:sz w:val="20"/>
                <w:szCs w:val="20"/>
              </w:rPr>
            </w:pPr>
            <w:r w:rsidRPr="003848ED">
              <w:rPr>
                <w:rFonts w:eastAsia="Times New Roman" w:cs="Calibri"/>
                <w:b/>
                <w:bCs/>
                <w:color w:val="FFFFFF" w:themeColor="background1"/>
                <w:lang w:val="it" w:eastAsia="en-AU"/>
              </w:rPr>
              <w:t>Completate</w:t>
            </w:r>
          </w:p>
        </w:tc>
        <w:tc>
          <w:tcPr>
            <w:tcW w:w="68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56FE18C8" w:rsidR="00752358" w:rsidRPr="003848ED" w:rsidRDefault="003848ED" w:rsidP="00F36AAD">
            <w:pPr>
              <w:jc w:val="right"/>
              <w:rPr>
                <w:b/>
                <w:color w:val="FFFFFF" w:themeColor="background1"/>
                <w:sz w:val="20"/>
                <w:szCs w:val="20"/>
              </w:rPr>
            </w:pPr>
            <w:r w:rsidRPr="003848ED">
              <w:rPr>
                <w:rFonts w:eastAsia="Times New Roman" w:cs="Calibri"/>
                <w:b/>
                <w:bCs/>
                <w:color w:val="FFFFFF" w:themeColor="background1"/>
                <w:lang w:val="it" w:eastAsia="en-AU"/>
              </w:rPr>
              <w:t>In linea con i piani</w:t>
            </w:r>
          </w:p>
        </w:tc>
        <w:tc>
          <w:tcPr>
            <w:tcW w:w="68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7A211E6B" w:rsidR="00752358" w:rsidRPr="003848ED" w:rsidRDefault="003848ED" w:rsidP="00F36AAD">
            <w:pPr>
              <w:jc w:val="right"/>
              <w:rPr>
                <w:b/>
                <w:color w:val="FFFFFF" w:themeColor="background1"/>
                <w:sz w:val="20"/>
                <w:szCs w:val="20"/>
              </w:rPr>
            </w:pPr>
            <w:r w:rsidRPr="003848ED">
              <w:rPr>
                <w:rFonts w:eastAsia="Times New Roman" w:cs="Calibri"/>
                <w:b/>
                <w:bCs/>
                <w:color w:val="FFFFFF" w:themeColor="background1"/>
                <w:lang w:val="it" w:eastAsia="en-AU"/>
              </w:rPr>
              <w:t>Alcuni ritardi</w:t>
            </w:r>
          </w:p>
        </w:tc>
        <w:tc>
          <w:tcPr>
            <w:tcW w:w="68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56A52C1B" w:rsidR="00752358" w:rsidRPr="003848ED" w:rsidRDefault="003848ED" w:rsidP="00F36AAD">
            <w:pPr>
              <w:jc w:val="right"/>
              <w:rPr>
                <w:b/>
                <w:color w:val="FFFFFF" w:themeColor="background1"/>
                <w:sz w:val="20"/>
                <w:szCs w:val="20"/>
              </w:rPr>
            </w:pPr>
            <w:r w:rsidRPr="003848ED">
              <w:rPr>
                <w:rFonts w:eastAsia="Times New Roman" w:cs="Calibri"/>
                <w:b/>
                <w:bCs/>
                <w:color w:val="FFFFFF" w:themeColor="background1"/>
                <w:lang w:val="it" w:eastAsia="en-AU"/>
              </w:rPr>
              <w:t>In pausa</w:t>
            </w:r>
          </w:p>
        </w:tc>
        <w:tc>
          <w:tcPr>
            <w:tcW w:w="68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77D235E3" w:rsidR="00752358" w:rsidRPr="003848ED" w:rsidRDefault="003848ED" w:rsidP="00F36AAD">
            <w:pPr>
              <w:jc w:val="right"/>
              <w:rPr>
                <w:b/>
                <w:color w:val="FFFFFF" w:themeColor="background1"/>
                <w:sz w:val="20"/>
                <w:szCs w:val="20"/>
              </w:rPr>
            </w:pPr>
            <w:r w:rsidRPr="003848ED">
              <w:rPr>
                <w:rFonts w:eastAsia="Times New Roman" w:cs="Calibri"/>
                <w:b/>
                <w:bCs/>
                <w:color w:val="FFFFFF" w:themeColor="background1"/>
                <w:lang w:val="it" w:eastAsia="en-AU"/>
              </w:rPr>
              <w:t>Avvio futuro</w:t>
            </w:r>
          </w:p>
        </w:tc>
        <w:tc>
          <w:tcPr>
            <w:tcW w:w="689" w:type="pct"/>
            <w:tcBorders>
              <w:top w:val="single" w:sz="4" w:space="0" w:color="auto"/>
              <w:left w:val="single" w:sz="4" w:space="0" w:color="FFFFFF" w:themeColor="background1"/>
              <w:bottom w:val="single" w:sz="4" w:space="0" w:color="auto"/>
            </w:tcBorders>
            <w:shd w:val="clear" w:color="auto" w:fill="6C1740"/>
          </w:tcPr>
          <w:p w14:paraId="6904466A" w14:textId="6337C245" w:rsidR="00752358" w:rsidRPr="003848ED" w:rsidRDefault="003848ED" w:rsidP="00F36AAD">
            <w:pPr>
              <w:jc w:val="right"/>
              <w:rPr>
                <w:b/>
                <w:color w:val="FFFFFF" w:themeColor="background1"/>
                <w:sz w:val="20"/>
                <w:szCs w:val="20"/>
              </w:rPr>
            </w:pPr>
            <w:r w:rsidRPr="003848ED">
              <w:rPr>
                <w:rFonts w:eastAsia="Times New Roman" w:cs="Calibri"/>
                <w:b/>
                <w:bCs/>
                <w:color w:val="FFFFFF" w:themeColor="background1"/>
                <w:lang w:val="it" w:eastAsia="en-AU"/>
              </w:rPr>
              <w:t>Totale</w:t>
            </w:r>
          </w:p>
        </w:tc>
      </w:tr>
      <w:tr w:rsidR="006634B5" w:rsidRPr="007F1217" w14:paraId="7C32DC8E" w14:textId="77777777" w:rsidTr="006634B5">
        <w:tc>
          <w:tcPr>
            <w:tcW w:w="789" w:type="pct"/>
            <w:tcBorders>
              <w:top w:val="single" w:sz="4" w:space="0" w:color="auto"/>
            </w:tcBorders>
            <w:vAlign w:val="bottom"/>
          </w:tcPr>
          <w:p w14:paraId="11F0C22D" w14:textId="75229E07" w:rsidR="006634B5" w:rsidRPr="007F1217" w:rsidRDefault="006634B5" w:rsidP="006877D0">
            <w:pPr>
              <w:rPr>
                <w:sz w:val="20"/>
                <w:szCs w:val="20"/>
              </w:rPr>
            </w:pPr>
            <w:r w:rsidRPr="00F0567C">
              <w:rPr>
                <w:rFonts w:eastAsia="Times New Roman" w:cs="Calibri"/>
                <w:color w:val="000000"/>
                <w:lang w:val="it" w:eastAsia="en-AU"/>
              </w:rPr>
              <w:t>Gov. Australiano</w:t>
            </w:r>
          </w:p>
        </w:tc>
        <w:tc>
          <w:tcPr>
            <w:tcW w:w="765" w:type="pct"/>
            <w:tcBorders>
              <w:top w:val="single" w:sz="4" w:space="0" w:color="auto"/>
            </w:tcBorders>
          </w:tcPr>
          <w:p w14:paraId="5C55E813" w14:textId="15D5BD1F" w:rsidR="006634B5" w:rsidRPr="007F1217" w:rsidRDefault="006634B5" w:rsidP="00F36AAD">
            <w:pPr>
              <w:jc w:val="right"/>
              <w:rPr>
                <w:sz w:val="20"/>
                <w:szCs w:val="20"/>
              </w:rPr>
            </w:pPr>
            <w:r w:rsidRPr="007F1217">
              <w:rPr>
                <w:sz w:val="20"/>
                <w:szCs w:val="20"/>
              </w:rPr>
              <w:t>12</w:t>
            </w:r>
          </w:p>
        </w:tc>
        <w:tc>
          <w:tcPr>
            <w:tcW w:w="689" w:type="pct"/>
            <w:tcBorders>
              <w:top w:val="single" w:sz="4" w:space="0" w:color="auto"/>
            </w:tcBorders>
          </w:tcPr>
          <w:p w14:paraId="66B515CA" w14:textId="63BE37D8" w:rsidR="006634B5" w:rsidRPr="007F1217" w:rsidRDefault="006634B5" w:rsidP="00F36AAD">
            <w:pPr>
              <w:jc w:val="right"/>
              <w:rPr>
                <w:sz w:val="20"/>
                <w:szCs w:val="20"/>
              </w:rPr>
            </w:pPr>
            <w:r w:rsidRPr="007F1217">
              <w:rPr>
                <w:sz w:val="20"/>
                <w:szCs w:val="20"/>
              </w:rPr>
              <w:t>23</w:t>
            </w:r>
          </w:p>
        </w:tc>
        <w:tc>
          <w:tcPr>
            <w:tcW w:w="689" w:type="pct"/>
            <w:tcBorders>
              <w:top w:val="single" w:sz="4" w:space="0" w:color="auto"/>
            </w:tcBorders>
          </w:tcPr>
          <w:p w14:paraId="4C11CE02" w14:textId="1371394E" w:rsidR="006634B5" w:rsidRPr="007F1217" w:rsidRDefault="006634B5" w:rsidP="00F36AAD">
            <w:pPr>
              <w:jc w:val="right"/>
              <w:rPr>
                <w:sz w:val="20"/>
                <w:szCs w:val="20"/>
              </w:rPr>
            </w:pPr>
            <w:r w:rsidRPr="007F1217">
              <w:rPr>
                <w:sz w:val="20"/>
                <w:szCs w:val="20"/>
              </w:rPr>
              <w:t>16</w:t>
            </w:r>
          </w:p>
        </w:tc>
        <w:tc>
          <w:tcPr>
            <w:tcW w:w="689" w:type="pct"/>
            <w:tcBorders>
              <w:top w:val="single" w:sz="4" w:space="0" w:color="auto"/>
            </w:tcBorders>
          </w:tcPr>
          <w:p w14:paraId="62190495" w14:textId="77777777" w:rsidR="006634B5" w:rsidRPr="007F1217" w:rsidRDefault="006634B5" w:rsidP="00F36AAD">
            <w:pPr>
              <w:jc w:val="right"/>
              <w:rPr>
                <w:sz w:val="20"/>
                <w:szCs w:val="20"/>
              </w:rPr>
            </w:pPr>
            <w:r w:rsidRPr="007F1217">
              <w:rPr>
                <w:sz w:val="20"/>
                <w:szCs w:val="20"/>
              </w:rPr>
              <w:t>1</w:t>
            </w:r>
          </w:p>
        </w:tc>
        <w:tc>
          <w:tcPr>
            <w:tcW w:w="689" w:type="pct"/>
            <w:tcBorders>
              <w:top w:val="single" w:sz="4" w:space="0" w:color="auto"/>
            </w:tcBorders>
          </w:tcPr>
          <w:p w14:paraId="74D1AA82" w14:textId="77777777" w:rsidR="006634B5" w:rsidRPr="007F1217" w:rsidRDefault="006634B5" w:rsidP="00F36AAD">
            <w:pPr>
              <w:jc w:val="right"/>
              <w:rPr>
                <w:sz w:val="20"/>
                <w:szCs w:val="20"/>
              </w:rPr>
            </w:pPr>
            <w:r w:rsidRPr="007F1217">
              <w:rPr>
                <w:sz w:val="20"/>
                <w:szCs w:val="20"/>
              </w:rPr>
              <w:t>2</w:t>
            </w:r>
          </w:p>
        </w:tc>
        <w:tc>
          <w:tcPr>
            <w:tcW w:w="689" w:type="pct"/>
            <w:tcBorders>
              <w:top w:val="single" w:sz="4" w:space="0" w:color="auto"/>
            </w:tcBorders>
          </w:tcPr>
          <w:p w14:paraId="1E63F821" w14:textId="2F14D76B" w:rsidR="006634B5" w:rsidRPr="007F1217" w:rsidRDefault="006634B5" w:rsidP="00F36AAD">
            <w:pPr>
              <w:jc w:val="right"/>
              <w:rPr>
                <w:sz w:val="20"/>
                <w:szCs w:val="20"/>
              </w:rPr>
            </w:pPr>
            <w:r w:rsidRPr="007F1217">
              <w:rPr>
                <w:sz w:val="20"/>
                <w:szCs w:val="20"/>
              </w:rPr>
              <w:t>54</w:t>
            </w:r>
          </w:p>
        </w:tc>
      </w:tr>
      <w:tr w:rsidR="006634B5" w:rsidRPr="007F1217" w14:paraId="7F4E5126" w14:textId="77777777" w:rsidTr="006634B5">
        <w:tc>
          <w:tcPr>
            <w:tcW w:w="789" w:type="pct"/>
            <w:shd w:val="clear" w:color="auto" w:fill="FAF9F8"/>
            <w:vAlign w:val="bottom"/>
          </w:tcPr>
          <w:p w14:paraId="46443A3B" w14:textId="6C58ECB8" w:rsidR="006634B5" w:rsidRPr="007F1217" w:rsidRDefault="006634B5" w:rsidP="006877D0">
            <w:pPr>
              <w:rPr>
                <w:sz w:val="20"/>
                <w:szCs w:val="20"/>
              </w:rPr>
            </w:pPr>
            <w:r w:rsidRPr="00F0567C">
              <w:rPr>
                <w:rFonts w:eastAsia="Times New Roman" w:cs="Calibri"/>
                <w:color w:val="000000"/>
                <w:lang w:val="it" w:eastAsia="en-AU"/>
              </w:rPr>
              <w:t>NSW</w:t>
            </w:r>
          </w:p>
        </w:tc>
        <w:tc>
          <w:tcPr>
            <w:tcW w:w="765" w:type="pct"/>
            <w:shd w:val="clear" w:color="auto" w:fill="FAF9F8"/>
          </w:tcPr>
          <w:p w14:paraId="427AD302" w14:textId="77777777" w:rsidR="006634B5" w:rsidRPr="007F1217" w:rsidRDefault="006634B5" w:rsidP="00F36AAD">
            <w:pPr>
              <w:jc w:val="right"/>
              <w:rPr>
                <w:sz w:val="20"/>
                <w:szCs w:val="20"/>
              </w:rPr>
            </w:pPr>
            <w:r w:rsidRPr="007F1217">
              <w:rPr>
                <w:sz w:val="20"/>
                <w:szCs w:val="20"/>
              </w:rPr>
              <w:t>3</w:t>
            </w:r>
          </w:p>
        </w:tc>
        <w:tc>
          <w:tcPr>
            <w:tcW w:w="689" w:type="pct"/>
            <w:shd w:val="clear" w:color="auto" w:fill="FAF9F8"/>
          </w:tcPr>
          <w:p w14:paraId="7CFDCAF1" w14:textId="77777777" w:rsidR="006634B5" w:rsidRPr="007F1217" w:rsidRDefault="006634B5" w:rsidP="00F36AAD">
            <w:pPr>
              <w:jc w:val="right"/>
              <w:rPr>
                <w:sz w:val="20"/>
                <w:szCs w:val="20"/>
                <w:lang w:val="en-US"/>
              </w:rPr>
            </w:pPr>
            <w:r w:rsidRPr="007F1217">
              <w:rPr>
                <w:sz w:val="20"/>
                <w:szCs w:val="20"/>
              </w:rPr>
              <w:t>25</w:t>
            </w:r>
          </w:p>
        </w:tc>
        <w:tc>
          <w:tcPr>
            <w:tcW w:w="689" w:type="pct"/>
            <w:shd w:val="clear" w:color="auto" w:fill="FAF9F8"/>
          </w:tcPr>
          <w:p w14:paraId="2F5F69E0" w14:textId="77777777" w:rsidR="006634B5" w:rsidRPr="007F1217" w:rsidRDefault="006634B5" w:rsidP="00F36AAD">
            <w:pPr>
              <w:jc w:val="right"/>
              <w:rPr>
                <w:sz w:val="20"/>
                <w:szCs w:val="20"/>
              </w:rPr>
            </w:pPr>
            <w:r w:rsidRPr="007F1217">
              <w:rPr>
                <w:sz w:val="20"/>
                <w:szCs w:val="20"/>
              </w:rPr>
              <w:t>12</w:t>
            </w:r>
          </w:p>
        </w:tc>
        <w:tc>
          <w:tcPr>
            <w:tcW w:w="689" w:type="pct"/>
            <w:shd w:val="clear" w:color="auto" w:fill="FAF9F8"/>
          </w:tcPr>
          <w:p w14:paraId="7A6D869F" w14:textId="77777777" w:rsidR="006634B5" w:rsidRPr="007F1217" w:rsidRDefault="006634B5" w:rsidP="00F36AAD">
            <w:pPr>
              <w:jc w:val="right"/>
              <w:rPr>
                <w:sz w:val="20"/>
                <w:szCs w:val="20"/>
              </w:rPr>
            </w:pPr>
            <w:r w:rsidRPr="007F1217">
              <w:rPr>
                <w:sz w:val="20"/>
                <w:szCs w:val="20"/>
              </w:rPr>
              <w:t>3</w:t>
            </w:r>
          </w:p>
        </w:tc>
        <w:tc>
          <w:tcPr>
            <w:tcW w:w="689" w:type="pct"/>
            <w:shd w:val="clear" w:color="auto" w:fill="FAF9F8"/>
          </w:tcPr>
          <w:p w14:paraId="56D27034" w14:textId="77777777" w:rsidR="006634B5" w:rsidRPr="007F1217" w:rsidRDefault="006634B5" w:rsidP="00F36AAD">
            <w:pPr>
              <w:jc w:val="right"/>
              <w:rPr>
                <w:sz w:val="20"/>
                <w:szCs w:val="20"/>
              </w:rPr>
            </w:pPr>
            <w:r w:rsidRPr="007F1217">
              <w:rPr>
                <w:sz w:val="20"/>
                <w:szCs w:val="20"/>
              </w:rPr>
              <w:t>0</w:t>
            </w:r>
          </w:p>
        </w:tc>
        <w:tc>
          <w:tcPr>
            <w:tcW w:w="689" w:type="pct"/>
            <w:shd w:val="clear" w:color="auto" w:fill="FAF9F8"/>
          </w:tcPr>
          <w:p w14:paraId="1E2EAA77" w14:textId="5B9FE22D" w:rsidR="006634B5" w:rsidRPr="007F1217" w:rsidRDefault="006634B5" w:rsidP="00F36AAD">
            <w:pPr>
              <w:jc w:val="right"/>
              <w:rPr>
                <w:sz w:val="20"/>
                <w:szCs w:val="20"/>
              </w:rPr>
            </w:pPr>
            <w:r w:rsidRPr="007F1217">
              <w:rPr>
                <w:sz w:val="20"/>
                <w:szCs w:val="20"/>
              </w:rPr>
              <w:t>43</w:t>
            </w:r>
          </w:p>
        </w:tc>
      </w:tr>
      <w:tr w:rsidR="006634B5" w:rsidRPr="007F1217" w14:paraId="6873084C" w14:textId="77777777" w:rsidTr="006634B5">
        <w:tc>
          <w:tcPr>
            <w:tcW w:w="789" w:type="pct"/>
            <w:vAlign w:val="bottom"/>
          </w:tcPr>
          <w:p w14:paraId="7A8C084D" w14:textId="49667FA5" w:rsidR="006634B5" w:rsidRPr="007F1217" w:rsidRDefault="006634B5" w:rsidP="006877D0">
            <w:pPr>
              <w:rPr>
                <w:sz w:val="20"/>
                <w:szCs w:val="20"/>
              </w:rPr>
            </w:pPr>
            <w:r w:rsidRPr="00F0567C">
              <w:rPr>
                <w:rFonts w:eastAsia="Times New Roman" w:cs="Calibri"/>
                <w:color w:val="000000"/>
                <w:lang w:val="it" w:eastAsia="en-AU"/>
              </w:rPr>
              <w:t>VIC</w:t>
            </w:r>
          </w:p>
        </w:tc>
        <w:tc>
          <w:tcPr>
            <w:tcW w:w="765" w:type="pct"/>
          </w:tcPr>
          <w:p w14:paraId="69276895" w14:textId="77777777" w:rsidR="006634B5" w:rsidRPr="007F1217" w:rsidRDefault="006634B5" w:rsidP="00F36AAD">
            <w:pPr>
              <w:jc w:val="right"/>
              <w:rPr>
                <w:sz w:val="20"/>
                <w:szCs w:val="20"/>
              </w:rPr>
            </w:pPr>
            <w:r w:rsidRPr="007F1217">
              <w:rPr>
                <w:sz w:val="20"/>
                <w:szCs w:val="20"/>
              </w:rPr>
              <w:t>18</w:t>
            </w:r>
          </w:p>
        </w:tc>
        <w:tc>
          <w:tcPr>
            <w:tcW w:w="689" w:type="pct"/>
          </w:tcPr>
          <w:p w14:paraId="27E40AA6" w14:textId="77777777" w:rsidR="006634B5" w:rsidRPr="007F1217" w:rsidRDefault="006634B5" w:rsidP="00F36AAD">
            <w:pPr>
              <w:jc w:val="right"/>
              <w:rPr>
                <w:sz w:val="20"/>
                <w:szCs w:val="20"/>
              </w:rPr>
            </w:pPr>
            <w:r w:rsidRPr="007F1217">
              <w:rPr>
                <w:sz w:val="20"/>
                <w:szCs w:val="20"/>
              </w:rPr>
              <w:t>30</w:t>
            </w:r>
          </w:p>
        </w:tc>
        <w:tc>
          <w:tcPr>
            <w:tcW w:w="689" w:type="pct"/>
          </w:tcPr>
          <w:p w14:paraId="72795912" w14:textId="77777777" w:rsidR="006634B5" w:rsidRPr="007F1217" w:rsidRDefault="006634B5" w:rsidP="00F36AAD">
            <w:pPr>
              <w:jc w:val="right"/>
              <w:rPr>
                <w:sz w:val="20"/>
                <w:szCs w:val="20"/>
              </w:rPr>
            </w:pPr>
            <w:r w:rsidRPr="007F1217">
              <w:rPr>
                <w:sz w:val="20"/>
                <w:szCs w:val="20"/>
              </w:rPr>
              <w:t>2</w:t>
            </w:r>
          </w:p>
        </w:tc>
        <w:tc>
          <w:tcPr>
            <w:tcW w:w="689" w:type="pct"/>
          </w:tcPr>
          <w:p w14:paraId="345AEE6B" w14:textId="77777777" w:rsidR="006634B5" w:rsidRPr="007F1217" w:rsidRDefault="006634B5" w:rsidP="00F36AAD">
            <w:pPr>
              <w:jc w:val="right"/>
              <w:rPr>
                <w:sz w:val="20"/>
                <w:szCs w:val="20"/>
              </w:rPr>
            </w:pPr>
            <w:r w:rsidRPr="007F1217">
              <w:rPr>
                <w:sz w:val="20"/>
                <w:szCs w:val="20"/>
              </w:rPr>
              <w:t>0</w:t>
            </w:r>
          </w:p>
        </w:tc>
        <w:tc>
          <w:tcPr>
            <w:tcW w:w="689" w:type="pct"/>
          </w:tcPr>
          <w:p w14:paraId="1F79417C" w14:textId="77777777" w:rsidR="006634B5" w:rsidRPr="007F1217" w:rsidRDefault="006634B5" w:rsidP="00F36AAD">
            <w:pPr>
              <w:jc w:val="right"/>
              <w:rPr>
                <w:sz w:val="20"/>
                <w:szCs w:val="20"/>
              </w:rPr>
            </w:pPr>
            <w:r w:rsidRPr="007F1217">
              <w:rPr>
                <w:sz w:val="20"/>
                <w:szCs w:val="20"/>
              </w:rPr>
              <w:t>0</w:t>
            </w:r>
          </w:p>
        </w:tc>
        <w:tc>
          <w:tcPr>
            <w:tcW w:w="689" w:type="pct"/>
          </w:tcPr>
          <w:p w14:paraId="571F57AA" w14:textId="7293703B" w:rsidR="006634B5" w:rsidRPr="007F1217" w:rsidRDefault="006634B5" w:rsidP="00F36AAD">
            <w:pPr>
              <w:jc w:val="right"/>
              <w:rPr>
                <w:sz w:val="20"/>
                <w:szCs w:val="20"/>
              </w:rPr>
            </w:pPr>
            <w:r w:rsidRPr="007F1217">
              <w:rPr>
                <w:sz w:val="20"/>
                <w:szCs w:val="20"/>
              </w:rPr>
              <w:t>50</w:t>
            </w:r>
          </w:p>
        </w:tc>
      </w:tr>
      <w:tr w:rsidR="006634B5" w:rsidRPr="007F1217" w14:paraId="7901D185" w14:textId="77777777" w:rsidTr="006634B5">
        <w:tc>
          <w:tcPr>
            <w:tcW w:w="789" w:type="pct"/>
            <w:shd w:val="clear" w:color="auto" w:fill="FAF9F8"/>
            <w:vAlign w:val="bottom"/>
          </w:tcPr>
          <w:p w14:paraId="201228E6" w14:textId="1A9ABFED" w:rsidR="006634B5" w:rsidRPr="007F1217" w:rsidRDefault="006634B5" w:rsidP="006877D0">
            <w:pPr>
              <w:rPr>
                <w:sz w:val="20"/>
                <w:szCs w:val="20"/>
              </w:rPr>
            </w:pPr>
            <w:r w:rsidRPr="00F0567C">
              <w:rPr>
                <w:rFonts w:eastAsia="Times New Roman" w:cs="Calibri"/>
                <w:color w:val="000000"/>
                <w:lang w:val="it" w:eastAsia="en-AU"/>
              </w:rPr>
              <w:t>QLD</w:t>
            </w:r>
          </w:p>
        </w:tc>
        <w:tc>
          <w:tcPr>
            <w:tcW w:w="765" w:type="pct"/>
            <w:shd w:val="clear" w:color="auto" w:fill="FAF9F8"/>
          </w:tcPr>
          <w:p w14:paraId="73B7B87F" w14:textId="77777777" w:rsidR="006634B5" w:rsidRPr="007F1217" w:rsidRDefault="006634B5" w:rsidP="00F36AAD">
            <w:pPr>
              <w:jc w:val="right"/>
              <w:rPr>
                <w:sz w:val="20"/>
                <w:szCs w:val="20"/>
              </w:rPr>
            </w:pPr>
            <w:r w:rsidRPr="007F1217">
              <w:rPr>
                <w:sz w:val="20"/>
                <w:szCs w:val="20"/>
              </w:rPr>
              <w:t>14</w:t>
            </w:r>
          </w:p>
        </w:tc>
        <w:tc>
          <w:tcPr>
            <w:tcW w:w="689" w:type="pct"/>
            <w:shd w:val="clear" w:color="auto" w:fill="FAF9F8"/>
          </w:tcPr>
          <w:p w14:paraId="6A2DE223" w14:textId="77777777" w:rsidR="006634B5" w:rsidRPr="007F1217" w:rsidRDefault="006634B5" w:rsidP="00F36AAD">
            <w:pPr>
              <w:jc w:val="right"/>
              <w:rPr>
                <w:sz w:val="20"/>
                <w:szCs w:val="20"/>
              </w:rPr>
            </w:pPr>
            <w:r w:rsidRPr="007F1217">
              <w:rPr>
                <w:sz w:val="20"/>
                <w:szCs w:val="20"/>
              </w:rPr>
              <w:t>28</w:t>
            </w:r>
          </w:p>
        </w:tc>
        <w:tc>
          <w:tcPr>
            <w:tcW w:w="689" w:type="pct"/>
            <w:shd w:val="clear" w:color="auto" w:fill="FAF9F8"/>
          </w:tcPr>
          <w:p w14:paraId="7D49383F" w14:textId="77777777" w:rsidR="006634B5" w:rsidRPr="007F1217" w:rsidRDefault="006634B5" w:rsidP="00F36AAD">
            <w:pPr>
              <w:jc w:val="right"/>
              <w:rPr>
                <w:sz w:val="20"/>
                <w:szCs w:val="20"/>
              </w:rPr>
            </w:pPr>
            <w:r w:rsidRPr="007F1217">
              <w:rPr>
                <w:sz w:val="20"/>
                <w:szCs w:val="20"/>
              </w:rPr>
              <w:t>4</w:t>
            </w:r>
          </w:p>
        </w:tc>
        <w:tc>
          <w:tcPr>
            <w:tcW w:w="689" w:type="pct"/>
            <w:shd w:val="clear" w:color="auto" w:fill="FAF9F8"/>
          </w:tcPr>
          <w:p w14:paraId="7CFFB96D" w14:textId="77777777" w:rsidR="006634B5" w:rsidRPr="007F1217" w:rsidRDefault="006634B5" w:rsidP="00F36AAD">
            <w:pPr>
              <w:jc w:val="right"/>
              <w:rPr>
                <w:sz w:val="20"/>
                <w:szCs w:val="20"/>
              </w:rPr>
            </w:pPr>
            <w:r w:rsidRPr="007F1217">
              <w:rPr>
                <w:sz w:val="20"/>
                <w:szCs w:val="20"/>
              </w:rPr>
              <w:t>0</w:t>
            </w:r>
          </w:p>
        </w:tc>
        <w:tc>
          <w:tcPr>
            <w:tcW w:w="689" w:type="pct"/>
            <w:shd w:val="clear" w:color="auto" w:fill="FAF9F8"/>
          </w:tcPr>
          <w:p w14:paraId="79798434" w14:textId="77777777" w:rsidR="006634B5" w:rsidRPr="007F1217" w:rsidRDefault="006634B5" w:rsidP="00F36AAD">
            <w:pPr>
              <w:jc w:val="right"/>
              <w:rPr>
                <w:sz w:val="20"/>
                <w:szCs w:val="20"/>
              </w:rPr>
            </w:pPr>
            <w:r w:rsidRPr="007F1217">
              <w:rPr>
                <w:sz w:val="20"/>
                <w:szCs w:val="20"/>
              </w:rPr>
              <w:t>0</w:t>
            </w:r>
          </w:p>
        </w:tc>
        <w:tc>
          <w:tcPr>
            <w:tcW w:w="689" w:type="pct"/>
            <w:shd w:val="clear" w:color="auto" w:fill="FAF9F8"/>
          </w:tcPr>
          <w:p w14:paraId="197D5A67" w14:textId="0FB5C204" w:rsidR="006634B5" w:rsidRPr="007F1217" w:rsidRDefault="006634B5" w:rsidP="00F36AAD">
            <w:pPr>
              <w:jc w:val="right"/>
              <w:rPr>
                <w:sz w:val="20"/>
                <w:szCs w:val="20"/>
              </w:rPr>
            </w:pPr>
            <w:r w:rsidRPr="007F1217">
              <w:rPr>
                <w:sz w:val="20"/>
                <w:szCs w:val="20"/>
              </w:rPr>
              <w:t>46</w:t>
            </w:r>
          </w:p>
        </w:tc>
      </w:tr>
      <w:tr w:rsidR="006634B5" w:rsidRPr="007F1217" w14:paraId="2D0D5C2C" w14:textId="77777777" w:rsidTr="006634B5">
        <w:tc>
          <w:tcPr>
            <w:tcW w:w="789" w:type="pct"/>
            <w:vAlign w:val="bottom"/>
          </w:tcPr>
          <w:p w14:paraId="55CFCCAF" w14:textId="475F4A8F" w:rsidR="006634B5" w:rsidRPr="007F1217" w:rsidRDefault="006634B5" w:rsidP="006877D0">
            <w:pPr>
              <w:rPr>
                <w:sz w:val="20"/>
                <w:szCs w:val="20"/>
              </w:rPr>
            </w:pPr>
            <w:r w:rsidRPr="00F0567C">
              <w:rPr>
                <w:rFonts w:eastAsia="Times New Roman" w:cs="Calibri"/>
                <w:color w:val="000000"/>
                <w:lang w:val="it" w:eastAsia="en-AU"/>
              </w:rPr>
              <w:t>WA</w:t>
            </w:r>
          </w:p>
        </w:tc>
        <w:tc>
          <w:tcPr>
            <w:tcW w:w="765" w:type="pct"/>
          </w:tcPr>
          <w:p w14:paraId="1FEC28AC" w14:textId="77777777" w:rsidR="006634B5" w:rsidRPr="007F1217" w:rsidRDefault="006634B5" w:rsidP="00F36AAD">
            <w:pPr>
              <w:jc w:val="right"/>
              <w:rPr>
                <w:sz w:val="20"/>
                <w:szCs w:val="20"/>
              </w:rPr>
            </w:pPr>
            <w:r w:rsidRPr="007F1217">
              <w:rPr>
                <w:sz w:val="20"/>
                <w:szCs w:val="20"/>
              </w:rPr>
              <w:t>10</w:t>
            </w:r>
          </w:p>
        </w:tc>
        <w:tc>
          <w:tcPr>
            <w:tcW w:w="689" w:type="pct"/>
          </w:tcPr>
          <w:p w14:paraId="41E112D2" w14:textId="77777777" w:rsidR="006634B5" w:rsidRPr="007F1217" w:rsidRDefault="006634B5" w:rsidP="00F36AAD">
            <w:pPr>
              <w:jc w:val="right"/>
              <w:rPr>
                <w:sz w:val="20"/>
                <w:szCs w:val="20"/>
              </w:rPr>
            </w:pPr>
            <w:r w:rsidRPr="007F1217">
              <w:rPr>
                <w:sz w:val="20"/>
                <w:szCs w:val="20"/>
              </w:rPr>
              <w:t>20</w:t>
            </w:r>
          </w:p>
        </w:tc>
        <w:tc>
          <w:tcPr>
            <w:tcW w:w="689" w:type="pct"/>
          </w:tcPr>
          <w:p w14:paraId="729BCEF0" w14:textId="77777777" w:rsidR="006634B5" w:rsidRPr="007F1217" w:rsidRDefault="006634B5" w:rsidP="00F36AAD">
            <w:pPr>
              <w:jc w:val="right"/>
              <w:rPr>
                <w:sz w:val="20"/>
                <w:szCs w:val="20"/>
              </w:rPr>
            </w:pPr>
            <w:r w:rsidRPr="007F1217">
              <w:rPr>
                <w:sz w:val="20"/>
                <w:szCs w:val="20"/>
              </w:rPr>
              <w:t>1</w:t>
            </w:r>
          </w:p>
        </w:tc>
        <w:tc>
          <w:tcPr>
            <w:tcW w:w="689" w:type="pct"/>
          </w:tcPr>
          <w:p w14:paraId="5E5EC66C" w14:textId="77777777" w:rsidR="006634B5" w:rsidRPr="007F1217" w:rsidRDefault="006634B5" w:rsidP="00F36AAD">
            <w:pPr>
              <w:jc w:val="right"/>
              <w:rPr>
                <w:sz w:val="20"/>
                <w:szCs w:val="20"/>
              </w:rPr>
            </w:pPr>
            <w:r w:rsidRPr="007F1217">
              <w:rPr>
                <w:sz w:val="20"/>
                <w:szCs w:val="20"/>
              </w:rPr>
              <w:t>0</w:t>
            </w:r>
          </w:p>
        </w:tc>
        <w:tc>
          <w:tcPr>
            <w:tcW w:w="689" w:type="pct"/>
          </w:tcPr>
          <w:p w14:paraId="74EEF32D" w14:textId="77777777" w:rsidR="006634B5" w:rsidRPr="007F1217" w:rsidRDefault="006634B5" w:rsidP="00F36AAD">
            <w:pPr>
              <w:jc w:val="right"/>
              <w:rPr>
                <w:sz w:val="20"/>
                <w:szCs w:val="20"/>
              </w:rPr>
            </w:pPr>
            <w:r w:rsidRPr="007F1217">
              <w:rPr>
                <w:sz w:val="20"/>
                <w:szCs w:val="20"/>
              </w:rPr>
              <w:t>0</w:t>
            </w:r>
          </w:p>
        </w:tc>
        <w:tc>
          <w:tcPr>
            <w:tcW w:w="689" w:type="pct"/>
          </w:tcPr>
          <w:p w14:paraId="61BD0FA0" w14:textId="065E98FA" w:rsidR="006634B5" w:rsidRPr="007F1217" w:rsidRDefault="006634B5" w:rsidP="00F36AAD">
            <w:pPr>
              <w:jc w:val="right"/>
              <w:rPr>
                <w:sz w:val="20"/>
                <w:szCs w:val="20"/>
              </w:rPr>
            </w:pPr>
            <w:r w:rsidRPr="007F1217">
              <w:rPr>
                <w:sz w:val="20"/>
                <w:szCs w:val="20"/>
              </w:rPr>
              <w:t>31</w:t>
            </w:r>
          </w:p>
        </w:tc>
      </w:tr>
      <w:tr w:rsidR="006634B5" w:rsidRPr="007F1217" w14:paraId="7894ADD2" w14:textId="77777777" w:rsidTr="006634B5">
        <w:tc>
          <w:tcPr>
            <w:tcW w:w="789" w:type="pct"/>
            <w:shd w:val="clear" w:color="auto" w:fill="FAF9F8"/>
            <w:vAlign w:val="bottom"/>
          </w:tcPr>
          <w:p w14:paraId="7495BECD" w14:textId="24125949" w:rsidR="006634B5" w:rsidRPr="007F1217" w:rsidRDefault="006634B5" w:rsidP="006877D0">
            <w:pPr>
              <w:rPr>
                <w:sz w:val="20"/>
                <w:szCs w:val="20"/>
              </w:rPr>
            </w:pPr>
            <w:r w:rsidRPr="00F0567C">
              <w:rPr>
                <w:rFonts w:eastAsia="Times New Roman" w:cs="Calibri"/>
                <w:color w:val="000000"/>
                <w:lang w:val="it" w:eastAsia="en-AU"/>
              </w:rPr>
              <w:t>SA</w:t>
            </w:r>
          </w:p>
        </w:tc>
        <w:tc>
          <w:tcPr>
            <w:tcW w:w="765" w:type="pct"/>
            <w:shd w:val="clear" w:color="auto" w:fill="FAF9F8"/>
          </w:tcPr>
          <w:p w14:paraId="2FC5AEDE" w14:textId="77777777" w:rsidR="006634B5" w:rsidRPr="007F1217" w:rsidRDefault="006634B5" w:rsidP="00F36AAD">
            <w:pPr>
              <w:jc w:val="right"/>
              <w:rPr>
                <w:sz w:val="20"/>
                <w:szCs w:val="20"/>
              </w:rPr>
            </w:pPr>
            <w:r w:rsidRPr="007F1217">
              <w:rPr>
                <w:sz w:val="20"/>
                <w:szCs w:val="20"/>
              </w:rPr>
              <w:t>13</w:t>
            </w:r>
          </w:p>
        </w:tc>
        <w:tc>
          <w:tcPr>
            <w:tcW w:w="689" w:type="pct"/>
            <w:shd w:val="clear" w:color="auto" w:fill="FAF9F8"/>
          </w:tcPr>
          <w:p w14:paraId="4DD23FCF" w14:textId="77777777" w:rsidR="006634B5" w:rsidRPr="007F1217" w:rsidRDefault="006634B5" w:rsidP="00F36AAD">
            <w:pPr>
              <w:jc w:val="right"/>
              <w:rPr>
                <w:sz w:val="20"/>
                <w:szCs w:val="20"/>
              </w:rPr>
            </w:pPr>
            <w:r w:rsidRPr="007F1217">
              <w:rPr>
                <w:sz w:val="20"/>
                <w:szCs w:val="20"/>
              </w:rPr>
              <w:t>31</w:t>
            </w:r>
          </w:p>
        </w:tc>
        <w:tc>
          <w:tcPr>
            <w:tcW w:w="689" w:type="pct"/>
            <w:shd w:val="clear" w:color="auto" w:fill="FAF9F8"/>
          </w:tcPr>
          <w:p w14:paraId="15E6B4C7" w14:textId="77777777" w:rsidR="006634B5" w:rsidRPr="007F1217" w:rsidRDefault="006634B5" w:rsidP="00F36AAD">
            <w:pPr>
              <w:jc w:val="right"/>
              <w:rPr>
                <w:sz w:val="20"/>
                <w:szCs w:val="20"/>
              </w:rPr>
            </w:pPr>
            <w:r w:rsidRPr="007F1217">
              <w:rPr>
                <w:sz w:val="20"/>
                <w:szCs w:val="20"/>
              </w:rPr>
              <w:t>7</w:t>
            </w:r>
          </w:p>
        </w:tc>
        <w:tc>
          <w:tcPr>
            <w:tcW w:w="689" w:type="pct"/>
            <w:shd w:val="clear" w:color="auto" w:fill="FAF9F8"/>
          </w:tcPr>
          <w:p w14:paraId="4EB20232" w14:textId="77777777" w:rsidR="006634B5" w:rsidRPr="007F1217" w:rsidRDefault="006634B5" w:rsidP="00F36AAD">
            <w:pPr>
              <w:jc w:val="right"/>
              <w:rPr>
                <w:sz w:val="20"/>
                <w:szCs w:val="20"/>
              </w:rPr>
            </w:pPr>
            <w:r w:rsidRPr="007F1217">
              <w:rPr>
                <w:sz w:val="20"/>
                <w:szCs w:val="20"/>
              </w:rPr>
              <w:t>2</w:t>
            </w:r>
          </w:p>
        </w:tc>
        <w:tc>
          <w:tcPr>
            <w:tcW w:w="689" w:type="pct"/>
            <w:shd w:val="clear" w:color="auto" w:fill="FAF9F8"/>
          </w:tcPr>
          <w:p w14:paraId="1E0B1215" w14:textId="77777777" w:rsidR="006634B5" w:rsidRPr="007F1217" w:rsidRDefault="006634B5" w:rsidP="00F36AAD">
            <w:pPr>
              <w:jc w:val="right"/>
              <w:rPr>
                <w:sz w:val="20"/>
                <w:szCs w:val="20"/>
              </w:rPr>
            </w:pPr>
            <w:r w:rsidRPr="007F1217">
              <w:rPr>
                <w:sz w:val="20"/>
                <w:szCs w:val="20"/>
              </w:rPr>
              <w:t>1</w:t>
            </w:r>
          </w:p>
        </w:tc>
        <w:tc>
          <w:tcPr>
            <w:tcW w:w="689" w:type="pct"/>
            <w:shd w:val="clear" w:color="auto" w:fill="FAF9F8"/>
          </w:tcPr>
          <w:p w14:paraId="7AD5D68C" w14:textId="7BCCB44F" w:rsidR="006634B5" w:rsidRPr="007F1217" w:rsidRDefault="006634B5" w:rsidP="00F36AAD">
            <w:pPr>
              <w:jc w:val="right"/>
              <w:rPr>
                <w:sz w:val="20"/>
                <w:szCs w:val="20"/>
              </w:rPr>
            </w:pPr>
            <w:r w:rsidRPr="007F1217">
              <w:rPr>
                <w:sz w:val="20"/>
                <w:szCs w:val="20"/>
              </w:rPr>
              <w:t>54</w:t>
            </w:r>
          </w:p>
        </w:tc>
      </w:tr>
      <w:tr w:rsidR="006634B5" w:rsidRPr="007F1217" w14:paraId="0805B50E" w14:textId="77777777" w:rsidTr="006634B5">
        <w:tc>
          <w:tcPr>
            <w:tcW w:w="789" w:type="pct"/>
            <w:vAlign w:val="bottom"/>
          </w:tcPr>
          <w:p w14:paraId="7ADD3FF4" w14:textId="3B9F0EB9" w:rsidR="006634B5" w:rsidRPr="007F1217" w:rsidRDefault="006634B5" w:rsidP="006877D0">
            <w:pPr>
              <w:rPr>
                <w:sz w:val="20"/>
                <w:szCs w:val="20"/>
              </w:rPr>
            </w:pPr>
            <w:r w:rsidRPr="00F0567C">
              <w:rPr>
                <w:rFonts w:eastAsia="Times New Roman" w:cs="Calibri"/>
                <w:color w:val="000000"/>
                <w:lang w:val="it" w:eastAsia="en-AU"/>
              </w:rPr>
              <w:t>TAS</w:t>
            </w:r>
          </w:p>
        </w:tc>
        <w:tc>
          <w:tcPr>
            <w:tcW w:w="765" w:type="pct"/>
          </w:tcPr>
          <w:p w14:paraId="14EB7EC9" w14:textId="77777777" w:rsidR="006634B5" w:rsidRPr="007F1217" w:rsidRDefault="006634B5" w:rsidP="00F36AAD">
            <w:pPr>
              <w:jc w:val="right"/>
              <w:rPr>
                <w:sz w:val="20"/>
                <w:szCs w:val="20"/>
              </w:rPr>
            </w:pPr>
            <w:r w:rsidRPr="007F1217">
              <w:rPr>
                <w:sz w:val="20"/>
                <w:szCs w:val="20"/>
              </w:rPr>
              <w:t>5</w:t>
            </w:r>
          </w:p>
        </w:tc>
        <w:tc>
          <w:tcPr>
            <w:tcW w:w="689" w:type="pct"/>
          </w:tcPr>
          <w:p w14:paraId="296BA456" w14:textId="77777777" w:rsidR="006634B5" w:rsidRPr="007F1217" w:rsidRDefault="006634B5" w:rsidP="00F36AAD">
            <w:pPr>
              <w:jc w:val="right"/>
              <w:rPr>
                <w:sz w:val="20"/>
                <w:szCs w:val="20"/>
              </w:rPr>
            </w:pPr>
            <w:r w:rsidRPr="007F1217">
              <w:rPr>
                <w:sz w:val="20"/>
                <w:szCs w:val="20"/>
              </w:rPr>
              <w:t>13</w:t>
            </w:r>
          </w:p>
        </w:tc>
        <w:tc>
          <w:tcPr>
            <w:tcW w:w="689" w:type="pct"/>
          </w:tcPr>
          <w:p w14:paraId="218C3D61" w14:textId="77777777" w:rsidR="006634B5" w:rsidRPr="007F1217" w:rsidRDefault="006634B5" w:rsidP="00F36AAD">
            <w:pPr>
              <w:jc w:val="right"/>
              <w:rPr>
                <w:sz w:val="20"/>
                <w:szCs w:val="20"/>
              </w:rPr>
            </w:pPr>
            <w:r w:rsidRPr="007F1217">
              <w:rPr>
                <w:sz w:val="20"/>
                <w:szCs w:val="20"/>
              </w:rPr>
              <w:t>8</w:t>
            </w:r>
          </w:p>
        </w:tc>
        <w:tc>
          <w:tcPr>
            <w:tcW w:w="689" w:type="pct"/>
          </w:tcPr>
          <w:p w14:paraId="1C1B6651" w14:textId="77777777" w:rsidR="006634B5" w:rsidRPr="007F1217" w:rsidRDefault="006634B5" w:rsidP="00F36AAD">
            <w:pPr>
              <w:jc w:val="right"/>
              <w:rPr>
                <w:sz w:val="20"/>
                <w:szCs w:val="20"/>
              </w:rPr>
            </w:pPr>
            <w:r w:rsidRPr="007F1217">
              <w:rPr>
                <w:sz w:val="20"/>
                <w:szCs w:val="20"/>
              </w:rPr>
              <w:t>0</w:t>
            </w:r>
          </w:p>
        </w:tc>
        <w:tc>
          <w:tcPr>
            <w:tcW w:w="689" w:type="pct"/>
          </w:tcPr>
          <w:p w14:paraId="6230EE1E" w14:textId="77777777" w:rsidR="006634B5" w:rsidRPr="007F1217" w:rsidRDefault="006634B5" w:rsidP="00F36AAD">
            <w:pPr>
              <w:jc w:val="right"/>
              <w:rPr>
                <w:sz w:val="20"/>
                <w:szCs w:val="20"/>
              </w:rPr>
            </w:pPr>
            <w:r w:rsidRPr="007F1217">
              <w:rPr>
                <w:sz w:val="20"/>
                <w:szCs w:val="20"/>
              </w:rPr>
              <w:t>0</w:t>
            </w:r>
          </w:p>
        </w:tc>
        <w:tc>
          <w:tcPr>
            <w:tcW w:w="689" w:type="pct"/>
          </w:tcPr>
          <w:p w14:paraId="4E64B1CC" w14:textId="6F203834" w:rsidR="006634B5" w:rsidRPr="007F1217" w:rsidRDefault="006634B5" w:rsidP="00F36AAD">
            <w:pPr>
              <w:jc w:val="right"/>
              <w:rPr>
                <w:sz w:val="20"/>
                <w:szCs w:val="20"/>
              </w:rPr>
            </w:pPr>
            <w:r w:rsidRPr="007F1217">
              <w:rPr>
                <w:sz w:val="20"/>
                <w:szCs w:val="20"/>
              </w:rPr>
              <w:t>26</w:t>
            </w:r>
          </w:p>
        </w:tc>
      </w:tr>
      <w:tr w:rsidR="006634B5" w:rsidRPr="007F1217" w14:paraId="18FC710A" w14:textId="77777777" w:rsidTr="006634B5">
        <w:tc>
          <w:tcPr>
            <w:tcW w:w="789" w:type="pct"/>
            <w:shd w:val="clear" w:color="auto" w:fill="FAF9F8"/>
            <w:vAlign w:val="bottom"/>
          </w:tcPr>
          <w:p w14:paraId="5DFF9AAC" w14:textId="2A43EC29" w:rsidR="006634B5" w:rsidRPr="007F1217" w:rsidRDefault="006634B5" w:rsidP="006877D0">
            <w:pPr>
              <w:rPr>
                <w:sz w:val="20"/>
                <w:szCs w:val="20"/>
              </w:rPr>
            </w:pPr>
            <w:r w:rsidRPr="00F0567C">
              <w:rPr>
                <w:rFonts w:eastAsia="Times New Roman" w:cs="Calibri"/>
                <w:color w:val="000000"/>
                <w:lang w:val="it" w:eastAsia="en-AU"/>
              </w:rPr>
              <w:t>ACT</w:t>
            </w:r>
          </w:p>
        </w:tc>
        <w:tc>
          <w:tcPr>
            <w:tcW w:w="765" w:type="pct"/>
            <w:shd w:val="clear" w:color="auto" w:fill="FAF9F8"/>
          </w:tcPr>
          <w:p w14:paraId="31DDA85A" w14:textId="77777777" w:rsidR="006634B5" w:rsidRPr="007F1217" w:rsidRDefault="006634B5" w:rsidP="00F36AAD">
            <w:pPr>
              <w:jc w:val="right"/>
              <w:rPr>
                <w:sz w:val="20"/>
                <w:szCs w:val="20"/>
              </w:rPr>
            </w:pPr>
            <w:r w:rsidRPr="007F1217">
              <w:rPr>
                <w:sz w:val="20"/>
                <w:szCs w:val="20"/>
              </w:rPr>
              <w:t>21</w:t>
            </w:r>
          </w:p>
        </w:tc>
        <w:tc>
          <w:tcPr>
            <w:tcW w:w="689" w:type="pct"/>
            <w:shd w:val="clear" w:color="auto" w:fill="FAF9F8"/>
          </w:tcPr>
          <w:p w14:paraId="1F9065CE" w14:textId="77777777" w:rsidR="006634B5" w:rsidRPr="007F1217" w:rsidRDefault="006634B5" w:rsidP="00F36AAD">
            <w:pPr>
              <w:jc w:val="right"/>
              <w:rPr>
                <w:sz w:val="20"/>
                <w:szCs w:val="20"/>
              </w:rPr>
            </w:pPr>
            <w:r w:rsidRPr="007F1217">
              <w:rPr>
                <w:sz w:val="20"/>
                <w:szCs w:val="20"/>
              </w:rPr>
              <w:t>12</w:t>
            </w:r>
          </w:p>
        </w:tc>
        <w:tc>
          <w:tcPr>
            <w:tcW w:w="689" w:type="pct"/>
            <w:shd w:val="clear" w:color="auto" w:fill="FAF9F8"/>
          </w:tcPr>
          <w:p w14:paraId="019E52E7" w14:textId="77777777" w:rsidR="006634B5" w:rsidRPr="007F1217" w:rsidRDefault="006634B5" w:rsidP="00F36AAD">
            <w:pPr>
              <w:jc w:val="right"/>
              <w:rPr>
                <w:sz w:val="20"/>
                <w:szCs w:val="20"/>
              </w:rPr>
            </w:pPr>
            <w:r w:rsidRPr="007F1217">
              <w:rPr>
                <w:sz w:val="20"/>
                <w:szCs w:val="20"/>
              </w:rPr>
              <w:t>3</w:t>
            </w:r>
          </w:p>
        </w:tc>
        <w:tc>
          <w:tcPr>
            <w:tcW w:w="689" w:type="pct"/>
            <w:shd w:val="clear" w:color="auto" w:fill="FAF9F8"/>
          </w:tcPr>
          <w:p w14:paraId="31DF0AD6" w14:textId="77777777" w:rsidR="006634B5" w:rsidRPr="007F1217" w:rsidRDefault="006634B5" w:rsidP="00F36AAD">
            <w:pPr>
              <w:jc w:val="right"/>
              <w:rPr>
                <w:sz w:val="20"/>
                <w:szCs w:val="20"/>
              </w:rPr>
            </w:pPr>
            <w:r w:rsidRPr="007F1217">
              <w:rPr>
                <w:sz w:val="20"/>
                <w:szCs w:val="20"/>
              </w:rPr>
              <w:t>0</w:t>
            </w:r>
          </w:p>
        </w:tc>
        <w:tc>
          <w:tcPr>
            <w:tcW w:w="689" w:type="pct"/>
            <w:shd w:val="clear" w:color="auto" w:fill="FAF9F8"/>
          </w:tcPr>
          <w:p w14:paraId="54AF7FF2" w14:textId="77777777" w:rsidR="006634B5" w:rsidRPr="007F1217" w:rsidRDefault="006634B5" w:rsidP="00F36AAD">
            <w:pPr>
              <w:jc w:val="right"/>
              <w:rPr>
                <w:sz w:val="20"/>
                <w:szCs w:val="20"/>
              </w:rPr>
            </w:pPr>
            <w:r w:rsidRPr="007F1217">
              <w:rPr>
                <w:sz w:val="20"/>
                <w:szCs w:val="20"/>
              </w:rPr>
              <w:t>0</w:t>
            </w:r>
          </w:p>
        </w:tc>
        <w:tc>
          <w:tcPr>
            <w:tcW w:w="689" w:type="pct"/>
            <w:shd w:val="clear" w:color="auto" w:fill="FAF9F8"/>
          </w:tcPr>
          <w:p w14:paraId="1606ABE0" w14:textId="5E08201B" w:rsidR="006634B5" w:rsidRPr="007F1217" w:rsidRDefault="006634B5" w:rsidP="00F36AAD">
            <w:pPr>
              <w:jc w:val="right"/>
              <w:rPr>
                <w:sz w:val="20"/>
                <w:szCs w:val="20"/>
              </w:rPr>
            </w:pPr>
            <w:r w:rsidRPr="007F1217">
              <w:rPr>
                <w:sz w:val="20"/>
                <w:szCs w:val="20"/>
              </w:rPr>
              <w:t>36</w:t>
            </w:r>
          </w:p>
        </w:tc>
      </w:tr>
      <w:tr w:rsidR="006634B5" w:rsidRPr="007F1217" w14:paraId="2237BA33" w14:textId="77777777" w:rsidTr="006634B5">
        <w:tc>
          <w:tcPr>
            <w:tcW w:w="789" w:type="pct"/>
            <w:vAlign w:val="bottom"/>
          </w:tcPr>
          <w:p w14:paraId="27895D1C" w14:textId="266E485B" w:rsidR="006634B5" w:rsidRPr="007F1217" w:rsidRDefault="006634B5" w:rsidP="006877D0">
            <w:pPr>
              <w:rPr>
                <w:sz w:val="20"/>
                <w:szCs w:val="20"/>
              </w:rPr>
            </w:pPr>
            <w:r w:rsidRPr="00F0567C">
              <w:rPr>
                <w:rFonts w:eastAsia="Times New Roman" w:cs="Calibri"/>
                <w:color w:val="000000"/>
                <w:lang w:val="it" w:eastAsia="en-AU"/>
              </w:rPr>
              <w:t>NT</w:t>
            </w:r>
          </w:p>
        </w:tc>
        <w:tc>
          <w:tcPr>
            <w:tcW w:w="765" w:type="pct"/>
          </w:tcPr>
          <w:p w14:paraId="5BC5B1CB" w14:textId="77777777" w:rsidR="006634B5" w:rsidRPr="007F1217" w:rsidRDefault="006634B5" w:rsidP="00F36AAD">
            <w:pPr>
              <w:jc w:val="right"/>
              <w:rPr>
                <w:sz w:val="20"/>
                <w:szCs w:val="20"/>
              </w:rPr>
            </w:pPr>
            <w:r w:rsidRPr="007F1217">
              <w:rPr>
                <w:sz w:val="20"/>
                <w:szCs w:val="20"/>
              </w:rPr>
              <w:t>5</w:t>
            </w:r>
          </w:p>
        </w:tc>
        <w:tc>
          <w:tcPr>
            <w:tcW w:w="689" w:type="pct"/>
          </w:tcPr>
          <w:p w14:paraId="4A42A28B" w14:textId="77777777" w:rsidR="006634B5" w:rsidRPr="007F1217" w:rsidRDefault="006634B5" w:rsidP="00F36AAD">
            <w:pPr>
              <w:jc w:val="right"/>
              <w:rPr>
                <w:sz w:val="20"/>
                <w:szCs w:val="20"/>
              </w:rPr>
            </w:pPr>
            <w:r w:rsidRPr="007F1217">
              <w:rPr>
                <w:sz w:val="20"/>
                <w:szCs w:val="20"/>
              </w:rPr>
              <w:t>27</w:t>
            </w:r>
          </w:p>
        </w:tc>
        <w:tc>
          <w:tcPr>
            <w:tcW w:w="689" w:type="pct"/>
          </w:tcPr>
          <w:p w14:paraId="79629A9D" w14:textId="77777777" w:rsidR="006634B5" w:rsidRPr="007F1217" w:rsidRDefault="006634B5" w:rsidP="00F36AAD">
            <w:pPr>
              <w:jc w:val="right"/>
              <w:rPr>
                <w:sz w:val="20"/>
                <w:szCs w:val="20"/>
              </w:rPr>
            </w:pPr>
            <w:r w:rsidRPr="007F1217">
              <w:rPr>
                <w:sz w:val="20"/>
                <w:szCs w:val="20"/>
              </w:rPr>
              <w:t>1</w:t>
            </w:r>
          </w:p>
        </w:tc>
        <w:tc>
          <w:tcPr>
            <w:tcW w:w="689" w:type="pct"/>
          </w:tcPr>
          <w:p w14:paraId="56D27D5C" w14:textId="77777777" w:rsidR="006634B5" w:rsidRPr="007F1217" w:rsidRDefault="006634B5" w:rsidP="00F36AAD">
            <w:pPr>
              <w:jc w:val="right"/>
              <w:rPr>
                <w:sz w:val="20"/>
                <w:szCs w:val="20"/>
              </w:rPr>
            </w:pPr>
            <w:r w:rsidRPr="007F1217">
              <w:rPr>
                <w:sz w:val="20"/>
                <w:szCs w:val="20"/>
              </w:rPr>
              <w:t>1</w:t>
            </w:r>
          </w:p>
        </w:tc>
        <w:tc>
          <w:tcPr>
            <w:tcW w:w="689" w:type="pct"/>
          </w:tcPr>
          <w:p w14:paraId="642003DE" w14:textId="77777777" w:rsidR="006634B5" w:rsidRPr="007F1217" w:rsidRDefault="006634B5" w:rsidP="00F36AAD">
            <w:pPr>
              <w:jc w:val="right"/>
              <w:rPr>
                <w:sz w:val="20"/>
                <w:szCs w:val="20"/>
              </w:rPr>
            </w:pPr>
            <w:r w:rsidRPr="007F1217">
              <w:rPr>
                <w:sz w:val="20"/>
                <w:szCs w:val="20"/>
              </w:rPr>
              <w:t>0</w:t>
            </w:r>
          </w:p>
        </w:tc>
        <w:tc>
          <w:tcPr>
            <w:tcW w:w="689" w:type="pct"/>
          </w:tcPr>
          <w:p w14:paraId="523A50B9" w14:textId="222C2A5C" w:rsidR="006634B5" w:rsidRPr="007F1217" w:rsidRDefault="006634B5" w:rsidP="00F36AAD">
            <w:pPr>
              <w:jc w:val="right"/>
              <w:rPr>
                <w:sz w:val="20"/>
                <w:szCs w:val="20"/>
              </w:rPr>
            </w:pPr>
            <w:r w:rsidRPr="007F1217">
              <w:rPr>
                <w:sz w:val="20"/>
                <w:szCs w:val="20"/>
              </w:rPr>
              <w:t>34</w:t>
            </w:r>
          </w:p>
        </w:tc>
      </w:tr>
      <w:tr w:rsidR="006634B5" w:rsidRPr="007F1217" w14:paraId="2E3630A4" w14:textId="77777777" w:rsidTr="006634B5">
        <w:tc>
          <w:tcPr>
            <w:tcW w:w="789" w:type="pct"/>
            <w:shd w:val="clear" w:color="auto" w:fill="E4E9F3"/>
            <w:vAlign w:val="bottom"/>
          </w:tcPr>
          <w:p w14:paraId="4EEF0D12" w14:textId="30F228DE" w:rsidR="006634B5" w:rsidRPr="007F1217" w:rsidRDefault="006634B5" w:rsidP="006877D0">
            <w:pPr>
              <w:rPr>
                <w:b/>
                <w:sz w:val="20"/>
                <w:szCs w:val="20"/>
              </w:rPr>
            </w:pPr>
            <w:r w:rsidRPr="00F0567C">
              <w:rPr>
                <w:rFonts w:eastAsia="Times New Roman" w:cs="Calibri"/>
                <w:b/>
                <w:bCs/>
                <w:color w:val="000000"/>
                <w:lang w:val="it" w:eastAsia="en-AU"/>
              </w:rPr>
              <w:t>Totale nazionale</w:t>
            </w:r>
          </w:p>
        </w:tc>
        <w:tc>
          <w:tcPr>
            <w:tcW w:w="765" w:type="pct"/>
            <w:shd w:val="clear" w:color="auto" w:fill="E4E9F3"/>
          </w:tcPr>
          <w:p w14:paraId="43D53D83" w14:textId="7091504E" w:rsidR="006634B5" w:rsidRPr="007F1217" w:rsidRDefault="006634B5" w:rsidP="00F36AAD">
            <w:pPr>
              <w:jc w:val="right"/>
              <w:rPr>
                <w:b/>
                <w:sz w:val="20"/>
                <w:szCs w:val="20"/>
              </w:rPr>
            </w:pPr>
            <w:r w:rsidRPr="007F1217">
              <w:rPr>
                <w:b/>
                <w:sz w:val="20"/>
                <w:szCs w:val="20"/>
              </w:rPr>
              <w:t>101</w:t>
            </w:r>
          </w:p>
        </w:tc>
        <w:tc>
          <w:tcPr>
            <w:tcW w:w="689" w:type="pct"/>
            <w:shd w:val="clear" w:color="auto" w:fill="E4E9F3"/>
          </w:tcPr>
          <w:p w14:paraId="66A5997D" w14:textId="79B02506" w:rsidR="006634B5" w:rsidRPr="007F1217" w:rsidRDefault="006634B5" w:rsidP="00F36AAD">
            <w:pPr>
              <w:jc w:val="right"/>
              <w:rPr>
                <w:b/>
                <w:sz w:val="20"/>
                <w:szCs w:val="20"/>
              </w:rPr>
            </w:pPr>
            <w:r w:rsidRPr="007F1217">
              <w:rPr>
                <w:b/>
                <w:sz w:val="20"/>
                <w:szCs w:val="20"/>
              </w:rPr>
              <w:t>209</w:t>
            </w:r>
          </w:p>
        </w:tc>
        <w:tc>
          <w:tcPr>
            <w:tcW w:w="689" w:type="pct"/>
            <w:shd w:val="clear" w:color="auto" w:fill="E4E9F3"/>
          </w:tcPr>
          <w:p w14:paraId="79FE3483" w14:textId="75894027" w:rsidR="006634B5" w:rsidRPr="007F1217" w:rsidRDefault="006634B5" w:rsidP="00F36AAD">
            <w:pPr>
              <w:jc w:val="right"/>
              <w:rPr>
                <w:b/>
                <w:sz w:val="20"/>
                <w:szCs w:val="20"/>
              </w:rPr>
            </w:pPr>
            <w:r w:rsidRPr="007F1217">
              <w:rPr>
                <w:b/>
                <w:sz w:val="20"/>
                <w:szCs w:val="20"/>
              </w:rPr>
              <w:t>54</w:t>
            </w:r>
          </w:p>
        </w:tc>
        <w:tc>
          <w:tcPr>
            <w:tcW w:w="689" w:type="pct"/>
            <w:shd w:val="clear" w:color="auto" w:fill="E4E9F3"/>
          </w:tcPr>
          <w:p w14:paraId="28317935" w14:textId="77777777" w:rsidR="006634B5" w:rsidRPr="007F1217" w:rsidRDefault="006634B5" w:rsidP="00F36AAD">
            <w:pPr>
              <w:jc w:val="right"/>
              <w:rPr>
                <w:b/>
                <w:sz w:val="20"/>
                <w:szCs w:val="20"/>
              </w:rPr>
            </w:pPr>
            <w:r w:rsidRPr="007F1217">
              <w:rPr>
                <w:b/>
                <w:sz w:val="20"/>
                <w:szCs w:val="20"/>
              </w:rPr>
              <w:t>7</w:t>
            </w:r>
          </w:p>
        </w:tc>
        <w:tc>
          <w:tcPr>
            <w:tcW w:w="689" w:type="pct"/>
            <w:shd w:val="clear" w:color="auto" w:fill="E4E9F3"/>
          </w:tcPr>
          <w:p w14:paraId="0D03A439" w14:textId="77777777" w:rsidR="006634B5" w:rsidRPr="007F1217" w:rsidRDefault="006634B5" w:rsidP="00F36AAD">
            <w:pPr>
              <w:jc w:val="right"/>
              <w:rPr>
                <w:b/>
                <w:sz w:val="20"/>
                <w:szCs w:val="20"/>
              </w:rPr>
            </w:pPr>
            <w:r w:rsidRPr="007F1217">
              <w:rPr>
                <w:b/>
                <w:sz w:val="20"/>
                <w:szCs w:val="20"/>
              </w:rPr>
              <w:t>3</w:t>
            </w:r>
          </w:p>
        </w:tc>
        <w:tc>
          <w:tcPr>
            <w:tcW w:w="689" w:type="pct"/>
            <w:shd w:val="clear" w:color="auto" w:fill="E4E9F3"/>
          </w:tcPr>
          <w:p w14:paraId="5E2E3864" w14:textId="3EFF644A" w:rsidR="006634B5" w:rsidRPr="007F1217" w:rsidRDefault="006634B5" w:rsidP="00F36AAD">
            <w:pPr>
              <w:jc w:val="right"/>
              <w:rPr>
                <w:b/>
                <w:sz w:val="20"/>
                <w:szCs w:val="20"/>
              </w:rPr>
            </w:pPr>
            <w:r w:rsidRPr="007F1217">
              <w:rPr>
                <w:b/>
                <w:sz w:val="20"/>
                <w:szCs w:val="20"/>
              </w:rPr>
              <w:t>374</w:t>
            </w:r>
          </w:p>
        </w:tc>
      </w:tr>
      <w:tr w:rsidR="00957224" w:rsidRPr="007F1217" w14:paraId="67F38C51" w14:textId="77777777" w:rsidTr="006634B5">
        <w:tc>
          <w:tcPr>
            <w:tcW w:w="789" w:type="pct"/>
          </w:tcPr>
          <w:p w14:paraId="2FCFB9B9" w14:textId="3561C143" w:rsidR="00957224" w:rsidRPr="007F1217" w:rsidRDefault="006634B5" w:rsidP="006877D0">
            <w:pPr>
              <w:rPr>
                <w:b/>
                <w:sz w:val="20"/>
                <w:szCs w:val="20"/>
              </w:rPr>
            </w:pPr>
            <w:r w:rsidRPr="00F0567C">
              <w:rPr>
                <w:rFonts w:eastAsia="Times New Roman" w:cs="Calibri"/>
                <w:b/>
                <w:bCs/>
                <w:color w:val="000000"/>
                <w:lang w:val="it" w:eastAsia="en-AU"/>
              </w:rPr>
              <w:t>Percentuale</w:t>
            </w:r>
          </w:p>
        </w:tc>
        <w:tc>
          <w:tcPr>
            <w:tcW w:w="765"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689"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689"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689"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689"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689" w:type="pct"/>
          </w:tcPr>
          <w:p w14:paraId="057B5835" w14:textId="77777777" w:rsidR="00957224" w:rsidRPr="007F1217" w:rsidRDefault="00957224" w:rsidP="00F36AAD">
            <w:pPr>
              <w:jc w:val="right"/>
              <w:rPr>
                <w:b/>
                <w:sz w:val="20"/>
                <w:szCs w:val="20"/>
              </w:rPr>
            </w:pPr>
          </w:p>
        </w:tc>
      </w:tr>
    </w:tbl>
    <w:p w14:paraId="7ED513EA" w14:textId="15BC8855" w:rsidR="008E35C9" w:rsidRPr="006B3368" w:rsidRDefault="002464B7" w:rsidP="006877D0">
      <w:pPr>
        <w:spacing w:before="240" w:after="240"/>
        <w:rPr>
          <w:b/>
        </w:rPr>
      </w:pPr>
      <w:r w:rsidRPr="00030BB0">
        <w:rPr>
          <w:rFonts w:cs="Arial"/>
          <w:b/>
          <w:lang w:val="it-IT"/>
        </w:rPr>
        <w:t>Tabella 2: Progresso di 374 azioni per TAP e stato per il periodo di riferimento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757"/>
        <w:gridCol w:w="1415"/>
        <w:gridCol w:w="1214"/>
        <w:gridCol w:w="1214"/>
        <w:gridCol w:w="1214"/>
        <w:gridCol w:w="1214"/>
        <w:gridCol w:w="1214"/>
      </w:tblGrid>
      <w:tr w:rsidR="003848ED" w:rsidRPr="00E97622" w14:paraId="4F4D0CEF" w14:textId="77777777" w:rsidTr="003F5EFB">
        <w:trPr>
          <w:tblHeader/>
        </w:trPr>
        <w:tc>
          <w:tcPr>
            <w:tcW w:w="950" w:type="pct"/>
            <w:tcBorders>
              <w:top w:val="single" w:sz="4" w:space="0" w:color="auto"/>
              <w:bottom w:val="single" w:sz="4" w:space="0" w:color="auto"/>
              <w:right w:val="single" w:sz="4" w:space="0" w:color="FFFFFF" w:themeColor="background1"/>
            </w:tcBorders>
            <w:shd w:val="clear" w:color="auto" w:fill="6C1740"/>
          </w:tcPr>
          <w:p w14:paraId="536AC5C2" w14:textId="77777777" w:rsidR="003848ED" w:rsidRPr="00E97622" w:rsidRDefault="003848ED" w:rsidP="00EF2C6E">
            <w:pPr>
              <w:rPr>
                <w:b/>
                <w:sz w:val="20"/>
                <w:szCs w:val="20"/>
              </w:rPr>
            </w:pPr>
            <w:bookmarkStart w:id="5" w:name="Title_02"/>
            <w:bookmarkEnd w:id="5"/>
            <w:r w:rsidRPr="00E97622">
              <w:rPr>
                <w:b/>
                <w:sz w:val="20"/>
                <w:szCs w:val="20"/>
              </w:rPr>
              <w:lastRenderedPageBreak/>
              <w:t>TAP</w:t>
            </w:r>
          </w:p>
        </w:tc>
        <w:tc>
          <w:tcPr>
            <w:tcW w:w="76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570EBA47" w:rsidR="003848ED" w:rsidRPr="00E97622" w:rsidRDefault="003848ED" w:rsidP="006877D0">
            <w:pPr>
              <w:jc w:val="right"/>
              <w:rPr>
                <w:b/>
                <w:sz w:val="20"/>
                <w:szCs w:val="20"/>
              </w:rPr>
            </w:pPr>
            <w:r w:rsidRPr="003848ED">
              <w:rPr>
                <w:rFonts w:eastAsia="Times New Roman" w:cs="Calibri"/>
                <w:b/>
                <w:bCs/>
                <w:color w:val="FFFFFF" w:themeColor="background1"/>
                <w:lang w:val="it" w:eastAsia="en-AU"/>
              </w:rPr>
              <w:t>Completate</w:t>
            </w:r>
          </w:p>
        </w:tc>
        <w:tc>
          <w:tcPr>
            <w:tcW w:w="6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6DDE79E0" w:rsidR="003848ED" w:rsidRPr="00E97622" w:rsidRDefault="003848ED" w:rsidP="006877D0">
            <w:pPr>
              <w:jc w:val="right"/>
              <w:rPr>
                <w:b/>
                <w:sz w:val="20"/>
                <w:szCs w:val="20"/>
              </w:rPr>
            </w:pPr>
            <w:r w:rsidRPr="003848ED">
              <w:rPr>
                <w:rFonts w:eastAsia="Times New Roman" w:cs="Calibri"/>
                <w:b/>
                <w:bCs/>
                <w:color w:val="FFFFFF" w:themeColor="background1"/>
                <w:lang w:val="it" w:eastAsia="en-AU"/>
              </w:rPr>
              <w:t>In linea con i piani</w:t>
            </w:r>
          </w:p>
        </w:tc>
        <w:tc>
          <w:tcPr>
            <w:tcW w:w="6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2E173334" w:rsidR="003848ED" w:rsidRPr="00E97622" w:rsidRDefault="003848ED" w:rsidP="006877D0">
            <w:pPr>
              <w:jc w:val="right"/>
              <w:rPr>
                <w:b/>
                <w:sz w:val="20"/>
                <w:szCs w:val="20"/>
              </w:rPr>
            </w:pPr>
            <w:r w:rsidRPr="003848ED">
              <w:rPr>
                <w:rFonts w:eastAsia="Times New Roman" w:cs="Calibri"/>
                <w:b/>
                <w:bCs/>
                <w:color w:val="FFFFFF" w:themeColor="background1"/>
                <w:lang w:val="it" w:eastAsia="en-AU"/>
              </w:rPr>
              <w:t>Alcuni ritardi</w:t>
            </w:r>
          </w:p>
        </w:tc>
        <w:tc>
          <w:tcPr>
            <w:tcW w:w="6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5F461D75" w:rsidR="003848ED" w:rsidRPr="00E97622" w:rsidRDefault="003848ED" w:rsidP="006877D0">
            <w:pPr>
              <w:jc w:val="right"/>
              <w:rPr>
                <w:b/>
                <w:sz w:val="20"/>
                <w:szCs w:val="20"/>
              </w:rPr>
            </w:pPr>
            <w:r w:rsidRPr="003848ED">
              <w:rPr>
                <w:rFonts w:eastAsia="Times New Roman" w:cs="Calibri"/>
                <w:b/>
                <w:bCs/>
                <w:color w:val="FFFFFF" w:themeColor="background1"/>
                <w:lang w:val="it" w:eastAsia="en-AU"/>
              </w:rPr>
              <w:t>In pausa</w:t>
            </w:r>
          </w:p>
        </w:tc>
        <w:tc>
          <w:tcPr>
            <w:tcW w:w="6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30109382" w:rsidR="003848ED" w:rsidRPr="00E97622" w:rsidRDefault="003848ED" w:rsidP="006877D0">
            <w:pPr>
              <w:jc w:val="right"/>
              <w:rPr>
                <w:b/>
                <w:sz w:val="20"/>
                <w:szCs w:val="20"/>
              </w:rPr>
            </w:pPr>
            <w:r w:rsidRPr="003848ED">
              <w:rPr>
                <w:rFonts w:eastAsia="Times New Roman" w:cs="Calibri"/>
                <w:b/>
                <w:bCs/>
                <w:color w:val="FFFFFF" w:themeColor="background1"/>
                <w:lang w:val="it" w:eastAsia="en-AU"/>
              </w:rPr>
              <w:t>Avvio futuro</w:t>
            </w:r>
          </w:p>
        </w:tc>
        <w:tc>
          <w:tcPr>
            <w:tcW w:w="657" w:type="pct"/>
            <w:tcBorders>
              <w:top w:val="single" w:sz="4" w:space="0" w:color="auto"/>
              <w:left w:val="single" w:sz="4" w:space="0" w:color="FFFFFF" w:themeColor="background1"/>
              <w:bottom w:val="single" w:sz="4" w:space="0" w:color="auto"/>
            </w:tcBorders>
            <w:shd w:val="clear" w:color="auto" w:fill="6C1740"/>
          </w:tcPr>
          <w:p w14:paraId="00156194" w14:textId="6613EB15" w:rsidR="003848ED" w:rsidRPr="00E97622" w:rsidRDefault="003848ED" w:rsidP="006877D0">
            <w:pPr>
              <w:jc w:val="right"/>
              <w:rPr>
                <w:b/>
                <w:sz w:val="20"/>
                <w:szCs w:val="20"/>
              </w:rPr>
            </w:pPr>
            <w:r w:rsidRPr="003848ED">
              <w:rPr>
                <w:rFonts w:eastAsia="Times New Roman" w:cs="Calibri"/>
                <w:b/>
                <w:bCs/>
                <w:color w:val="FFFFFF" w:themeColor="background1"/>
                <w:lang w:val="it" w:eastAsia="en-AU"/>
              </w:rPr>
              <w:t>Totale</w:t>
            </w:r>
          </w:p>
        </w:tc>
      </w:tr>
      <w:tr w:rsidR="003F5EFB" w:rsidRPr="00E97622" w14:paraId="08F605E0" w14:textId="77777777" w:rsidTr="003F5EFB">
        <w:tc>
          <w:tcPr>
            <w:tcW w:w="950" w:type="pct"/>
            <w:tcBorders>
              <w:top w:val="single" w:sz="4" w:space="0" w:color="auto"/>
            </w:tcBorders>
            <w:vAlign w:val="bottom"/>
          </w:tcPr>
          <w:p w14:paraId="59F60012" w14:textId="377E3D64" w:rsidR="003F5EFB" w:rsidRPr="00E97622" w:rsidRDefault="003F5EFB" w:rsidP="00EF2C6E">
            <w:pPr>
              <w:rPr>
                <w:sz w:val="20"/>
                <w:szCs w:val="20"/>
              </w:rPr>
            </w:pPr>
            <w:r w:rsidRPr="00F0567C">
              <w:rPr>
                <w:rFonts w:eastAsia="Times New Roman" w:cs="Calibri"/>
                <w:b/>
                <w:bCs/>
                <w:color w:val="000000"/>
                <w:lang w:val="it" w:eastAsia="en-AU"/>
              </w:rPr>
              <w:t>Occupazione</w:t>
            </w:r>
          </w:p>
        </w:tc>
        <w:tc>
          <w:tcPr>
            <w:tcW w:w="765" w:type="pct"/>
            <w:tcBorders>
              <w:top w:val="single" w:sz="4" w:space="0" w:color="auto"/>
            </w:tcBorders>
          </w:tcPr>
          <w:p w14:paraId="4D6D9272" w14:textId="77777777" w:rsidR="003F5EFB" w:rsidRPr="00E97622" w:rsidRDefault="003F5EFB" w:rsidP="006877D0">
            <w:pPr>
              <w:jc w:val="right"/>
              <w:rPr>
                <w:sz w:val="20"/>
                <w:szCs w:val="20"/>
              </w:rPr>
            </w:pPr>
            <w:r w:rsidRPr="00E97622">
              <w:rPr>
                <w:sz w:val="20"/>
                <w:szCs w:val="20"/>
              </w:rPr>
              <w:t>17</w:t>
            </w:r>
          </w:p>
        </w:tc>
        <w:tc>
          <w:tcPr>
            <w:tcW w:w="657" w:type="pct"/>
            <w:tcBorders>
              <w:top w:val="single" w:sz="4" w:space="0" w:color="auto"/>
            </w:tcBorders>
          </w:tcPr>
          <w:p w14:paraId="7F980C6E" w14:textId="6898C556" w:rsidR="003F5EFB" w:rsidRPr="00E97622" w:rsidRDefault="003F5EFB" w:rsidP="006877D0">
            <w:pPr>
              <w:jc w:val="right"/>
              <w:rPr>
                <w:sz w:val="20"/>
                <w:szCs w:val="20"/>
              </w:rPr>
            </w:pPr>
            <w:r w:rsidRPr="00E97622">
              <w:rPr>
                <w:sz w:val="20"/>
                <w:szCs w:val="20"/>
              </w:rPr>
              <w:t>47</w:t>
            </w:r>
          </w:p>
        </w:tc>
        <w:tc>
          <w:tcPr>
            <w:tcW w:w="657" w:type="pct"/>
            <w:tcBorders>
              <w:top w:val="single" w:sz="4" w:space="0" w:color="auto"/>
            </w:tcBorders>
          </w:tcPr>
          <w:p w14:paraId="0721E32E" w14:textId="47D76768" w:rsidR="003F5EFB" w:rsidRPr="00E97622" w:rsidRDefault="003F5EFB" w:rsidP="006877D0">
            <w:pPr>
              <w:jc w:val="right"/>
              <w:rPr>
                <w:sz w:val="20"/>
                <w:szCs w:val="20"/>
              </w:rPr>
            </w:pPr>
            <w:r w:rsidRPr="00E97622">
              <w:rPr>
                <w:sz w:val="20"/>
                <w:szCs w:val="20"/>
              </w:rPr>
              <w:t>9</w:t>
            </w:r>
          </w:p>
        </w:tc>
        <w:tc>
          <w:tcPr>
            <w:tcW w:w="657" w:type="pct"/>
            <w:tcBorders>
              <w:top w:val="single" w:sz="4" w:space="0" w:color="auto"/>
            </w:tcBorders>
          </w:tcPr>
          <w:p w14:paraId="3A152212" w14:textId="77777777" w:rsidR="003F5EFB" w:rsidRPr="00E97622" w:rsidRDefault="003F5EFB" w:rsidP="006877D0">
            <w:pPr>
              <w:jc w:val="right"/>
              <w:rPr>
                <w:sz w:val="20"/>
                <w:szCs w:val="20"/>
              </w:rPr>
            </w:pPr>
            <w:r w:rsidRPr="00E97622">
              <w:rPr>
                <w:sz w:val="20"/>
                <w:szCs w:val="20"/>
              </w:rPr>
              <w:t>0</w:t>
            </w:r>
          </w:p>
        </w:tc>
        <w:tc>
          <w:tcPr>
            <w:tcW w:w="657" w:type="pct"/>
            <w:tcBorders>
              <w:top w:val="single" w:sz="4" w:space="0" w:color="auto"/>
            </w:tcBorders>
          </w:tcPr>
          <w:p w14:paraId="57C8D585" w14:textId="77777777" w:rsidR="003F5EFB" w:rsidRPr="00E97622" w:rsidRDefault="003F5EFB" w:rsidP="006877D0">
            <w:pPr>
              <w:jc w:val="right"/>
              <w:rPr>
                <w:sz w:val="20"/>
                <w:szCs w:val="20"/>
              </w:rPr>
            </w:pPr>
            <w:r w:rsidRPr="00E97622">
              <w:rPr>
                <w:sz w:val="20"/>
                <w:szCs w:val="20"/>
              </w:rPr>
              <w:t>0</w:t>
            </w:r>
          </w:p>
        </w:tc>
        <w:tc>
          <w:tcPr>
            <w:tcW w:w="657" w:type="pct"/>
            <w:tcBorders>
              <w:top w:val="single" w:sz="4" w:space="0" w:color="auto"/>
            </w:tcBorders>
          </w:tcPr>
          <w:p w14:paraId="7022FAA2" w14:textId="181CF0E4" w:rsidR="003F5EFB" w:rsidRPr="00E97622" w:rsidRDefault="003F5EFB" w:rsidP="006877D0">
            <w:pPr>
              <w:jc w:val="right"/>
              <w:rPr>
                <w:sz w:val="20"/>
                <w:szCs w:val="20"/>
              </w:rPr>
            </w:pPr>
            <w:r w:rsidRPr="00E97622">
              <w:rPr>
                <w:sz w:val="20"/>
                <w:szCs w:val="20"/>
              </w:rPr>
              <w:t>73</w:t>
            </w:r>
          </w:p>
        </w:tc>
      </w:tr>
      <w:tr w:rsidR="003F5EFB" w:rsidRPr="00E97622" w14:paraId="65D34C9A" w14:textId="77777777" w:rsidTr="003F5EFB">
        <w:tc>
          <w:tcPr>
            <w:tcW w:w="950" w:type="pct"/>
            <w:shd w:val="clear" w:color="auto" w:fill="FAF9F8"/>
            <w:vAlign w:val="bottom"/>
          </w:tcPr>
          <w:p w14:paraId="614C20F0" w14:textId="5BA282BE" w:rsidR="003F5EFB" w:rsidRPr="00E97622" w:rsidRDefault="003F5EFB" w:rsidP="00EF2C6E">
            <w:pPr>
              <w:rPr>
                <w:sz w:val="20"/>
                <w:szCs w:val="20"/>
              </w:rPr>
            </w:pPr>
            <w:r w:rsidRPr="00F0567C">
              <w:rPr>
                <w:rFonts w:eastAsia="Times New Roman" w:cs="Calibri"/>
                <w:b/>
                <w:bCs/>
                <w:color w:val="000000"/>
                <w:lang w:val="it" w:eastAsia="en-AU"/>
              </w:rPr>
              <w:t>Atteggiamento della comunità</w:t>
            </w:r>
          </w:p>
        </w:tc>
        <w:tc>
          <w:tcPr>
            <w:tcW w:w="765" w:type="pct"/>
            <w:shd w:val="clear" w:color="auto" w:fill="FAF9F8"/>
          </w:tcPr>
          <w:p w14:paraId="40988ABA" w14:textId="2DA6E197" w:rsidR="003F5EFB" w:rsidRPr="00E97622" w:rsidRDefault="003F5EFB" w:rsidP="006877D0">
            <w:pPr>
              <w:jc w:val="right"/>
              <w:rPr>
                <w:sz w:val="20"/>
                <w:szCs w:val="20"/>
              </w:rPr>
            </w:pPr>
            <w:r w:rsidRPr="00E97622">
              <w:rPr>
                <w:sz w:val="20"/>
                <w:szCs w:val="20"/>
              </w:rPr>
              <w:t>20</w:t>
            </w:r>
          </w:p>
        </w:tc>
        <w:tc>
          <w:tcPr>
            <w:tcW w:w="657" w:type="pct"/>
            <w:shd w:val="clear" w:color="auto" w:fill="FAF9F8"/>
          </w:tcPr>
          <w:p w14:paraId="370EDEDB" w14:textId="76292B67" w:rsidR="003F5EFB" w:rsidRPr="00E97622" w:rsidRDefault="003F5EFB" w:rsidP="006877D0">
            <w:pPr>
              <w:jc w:val="right"/>
              <w:rPr>
                <w:sz w:val="20"/>
                <w:szCs w:val="20"/>
              </w:rPr>
            </w:pPr>
            <w:r w:rsidRPr="00E97622">
              <w:rPr>
                <w:sz w:val="20"/>
                <w:szCs w:val="20"/>
              </w:rPr>
              <w:t>33</w:t>
            </w:r>
          </w:p>
        </w:tc>
        <w:tc>
          <w:tcPr>
            <w:tcW w:w="657" w:type="pct"/>
            <w:shd w:val="clear" w:color="auto" w:fill="FAF9F8"/>
          </w:tcPr>
          <w:p w14:paraId="508856DE" w14:textId="24730E8C" w:rsidR="003F5EFB" w:rsidRPr="00E97622" w:rsidRDefault="003F5EFB" w:rsidP="006877D0">
            <w:pPr>
              <w:jc w:val="right"/>
              <w:rPr>
                <w:sz w:val="20"/>
                <w:szCs w:val="20"/>
              </w:rPr>
            </w:pPr>
            <w:r w:rsidRPr="00E97622">
              <w:rPr>
                <w:sz w:val="20"/>
                <w:szCs w:val="20"/>
              </w:rPr>
              <w:t>10</w:t>
            </w:r>
          </w:p>
        </w:tc>
        <w:tc>
          <w:tcPr>
            <w:tcW w:w="657" w:type="pct"/>
            <w:shd w:val="clear" w:color="auto" w:fill="FAF9F8"/>
          </w:tcPr>
          <w:p w14:paraId="19795E4A" w14:textId="77777777" w:rsidR="003F5EFB" w:rsidRPr="00E97622" w:rsidRDefault="003F5EFB" w:rsidP="006877D0">
            <w:pPr>
              <w:jc w:val="right"/>
              <w:rPr>
                <w:sz w:val="20"/>
                <w:szCs w:val="20"/>
              </w:rPr>
            </w:pPr>
            <w:r w:rsidRPr="00E97622">
              <w:rPr>
                <w:sz w:val="20"/>
                <w:szCs w:val="20"/>
              </w:rPr>
              <w:t>0</w:t>
            </w:r>
          </w:p>
        </w:tc>
        <w:tc>
          <w:tcPr>
            <w:tcW w:w="657" w:type="pct"/>
            <w:shd w:val="clear" w:color="auto" w:fill="FAF9F8"/>
          </w:tcPr>
          <w:p w14:paraId="6022F5FA" w14:textId="77777777" w:rsidR="003F5EFB" w:rsidRPr="00E97622" w:rsidRDefault="003F5EFB" w:rsidP="006877D0">
            <w:pPr>
              <w:jc w:val="right"/>
              <w:rPr>
                <w:sz w:val="20"/>
                <w:szCs w:val="20"/>
              </w:rPr>
            </w:pPr>
            <w:r w:rsidRPr="00E97622">
              <w:rPr>
                <w:sz w:val="20"/>
                <w:szCs w:val="20"/>
              </w:rPr>
              <w:t>0</w:t>
            </w:r>
          </w:p>
        </w:tc>
        <w:tc>
          <w:tcPr>
            <w:tcW w:w="657" w:type="pct"/>
            <w:shd w:val="clear" w:color="auto" w:fill="FAF9F8"/>
          </w:tcPr>
          <w:p w14:paraId="0BFC36E9" w14:textId="772C3EF7" w:rsidR="003F5EFB" w:rsidRPr="00E97622" w:rsidRDefault="003F5EFB" w:rsidP="006877D0">
            <w:pPr>
              <w:jc w:val="right"/>
              <w:rPr>
                <w:sz w:val="20"/>
                <w:szCs w:val="20"/>
              </w:rPr>
            </w:pPr>
            <w:r w:rsidRPr="00E97622">
              <w:rPr>
                <w:sz w:val="20"/>
                <w:szCs w:val="20"/>
              </w:rPr>
              <w:t>63</w:t>
            </w:r>
          </w:p>
        </w:tc>
      </w:tr>
      <w:tr w:rsidR="003F5EFB" w:rsidRPr="00E97622" w14:paraId="79E8D389" w14:textId="77777777" w:rsidTr="003F5EFB">
        <w:tc>
          <w:tcPr>
            <w:tcW w:w="950" w:type="pct"/>
            <w:vAlign w:val="bottom"/>
          </w:tcPr>
          <w:p w14:paraId="762EA67B" w14:textId="0980EE4D" w:rsidR="003F5EFB" w:rsidRPr="00E97622" w:rsidRDefault="003F5EFB" w:rsidP="00EF2C6E">
            <w:pPr>
              <w:rPr>
                <w:sz w:val="20"/>
                <w:szCs w:val="20"/>
              </w:rPr>
            </w:pPr>
            <w:r w:rsidRPr="00F0567C">
              <w:rPr>
                <w:rFonts w:eastAsia="Times New Roman" w:cs="Calibri"/>
                <w:b/>
                <w:bCs/>
                <w:color w:val="000000"/>
                <w:lang w:val="it" w:eastAsia="en-AU"/>
              </w:rPr>
              <w:t>Prima infanzia</w:t>
            </w:r>
          </w:p>
        </w:tc>
        <w:tc>
          <w:tcPr>
            <w:tcW w:w="765" w:type="pct"/>
          </w:tcPr>
          <w:p w14:paraId="76B5A428" w14:textId="6D01DBB6" w:rsidR="003F5EFB" w:rsidRPr="00E97622" w:rsidRDefault="003F5EFB" w:rsidP="006877D0">
            <w:pPr>
              <w:jc w:val="right"/>
              <w:rPr>
                <w:sz w:val="20"/>
                <w:szCs w:val="20"/>
              </w:rPr>
            </w:pPr>
            <w:r w:rsidRPr="00E97622">
              <w:rPr>
                <w:sz w:val="20"/>
                <w:szCs w:val="20"/>
              </w:rPr>
              <w:t>20</w:t>
            </w:r>
          </w:p>
        </w:tc>
        <w:tc>
          <w:tcPr>
            <w:tcW w:w="657" w:type="pct"/>
          </w:tcPr>
          <w:p w14:paraId="31678CE4" w14:textId="2D6F0471" w:rsidR="003F5EFB" w:rsidRPr="00E97622" w:rsidRDefault="003F5EFB" w:rsidP="006877D0">
            <w:pPr>
              <w:jc w:val="right"/>
              <w:rPr>
                <w:sz w:val="20"/>
                <w:szCs w:val="20"/>
              </w:rPr>
            </w:pPr>
            <w:r w:rsidRPr="00E97622">
              <w:rPr>
                <w:sz w:val="20"/>
                <w:szCs w:val="20"/>
              </w:rPr>
              <w:t>43</w:t>
            </w:r>
          </w:p>
        </w:tc>
        <w:tc>
          <w:tcPr>
            <w:tcW w:w="657" w:type="pct"/>
          </w:tcPr>
          <w:p w14:paraId="6C94D221" w14:textId="170A28A9" w:rsidR="003F5EFB" w:rsidRPr="00E97622" w:rsidRDefault="003F5EFB" w:rsidP="006877D0">
            <w:pPr>
              <w:jc w:val="right"/>
              <w:rPr>
                <w:sz w:val="20"/>
                <w:szCs w:val="20"/>
              </w:rPr>
            </w:pPr>
            <w:r w:rsidRPr="00E97622">
              <w:rPr>
                <w:sz w:val="20"/>
                <w:szCs w:val="20"/>
              </w:rPr>
              <w:t>7</w:t>
            </w:r>
          </w:p>
        </w:tc>
        <w:tc>
          <w:tcPr>
            <w:tcW w:w="657" w:type="pct"/>
          </w:tcPr>
          <w:p w14:paraId="244E2AE2" w14:textId="77777777" w:rsidR="003F5EFB" w:rsidRPr="00E97622" w:rsidRDefault="003F5EFB" w:rsidP="006877D0">
            <w:pPr>
              <w:jc w:val="right"/>
              <w:rPr>
                <w:sz w:val="20"/>
                <w:szCs w:val="20"/>
              </w:rPr>
            </w:pPr>
            <w:r w:rsidRPr="00E97622">
              <w:rPr>
                <w:sz w:val="20"/>
                <w:szCs w:val="20"/>
              </w:rPr>
              <w:t>3</w:t>
            </w:r>
          </w:p>
        </w:tc>
        <w:tc>
          <w:tcPr>
            <w:tcW w:w="657" w:type="pct"/>
          </w:tcPr>
          <w:p w14:paraId="65CFF358" w14:textId="77777777" w:rsidR="003F5EFB" w:rsidRPr="00E97622" w:rsidRDefault="003F5EFB" w:rsidP="006877D0">
            <w:pPr>
              <w:jc w:val="right"/>
              <w:rPr>
                <w:sz w:val="20"/>
                <w:szCs w:val="20"/>
              </w:rPr>
            </w:pPr>
            <w:r w:rsidRPr="00E97622">
              <w:rPr>
                <w:sz w:val="20"/>
                <w:szCs w:val="20"/>
              </w:rPr>
              <w:t>1</w:t>
            </w:r>
          </w:p>
        </w:tc>
        <w:tc>
          <w:tcPr>
            <w:tcW w:w="657" w:type="pct"/>
          </w:tcPr>
          <w:p w14:paraId="194151B9" w14:textId="38B8663B" w:rsidR="003F5EFB" w:rsidRPr="00E97622" w:rsidRDefault="003F5EFB" w:rsidP="006877D0">
            <w:pPr>
              <w:jc w:val="right"/>
              <w:rPr>
                <w:sz w:val="20"/>
                <w:szCs w:val="20"/>
              </w:rPr>
            </w:pPr>
            <w:r w:rsidRPr="00E97622">
              <w:rPr>
                <w:sz w:val="20"/>
                <w:szCs w:val="20"/>
              </w:rPr>
              <w:t>74</w:t>
            </w:r>
          </w:p>
        </w:tc>
      </w:tr>
      <w:tr w:rsidR="003F5EFB" w:rsidRPr="00E97622" w14:paraId="51E90B34" w14:textId="77777777" w:rsidTr="003F5EFB">
        <w:tc>
          <w:tcPr>
            <w:tcW w:w="950" w:type="pct"/>
            <w:shd w:val="clear" w:color="auto" w:fill="FAF9F8"/>
            <w:vAlign w:val="bottom"/>
          </w:tcPr>
          <w:p w14:paraId="74082AD9" w14:textId="41BA8DAB" w:rsidR="003F5EFB" w:rsidRPr="00E97622" w:rsidRDefault="003F5EFB" w:rsidP="00EF2C6E">
            <w:pPr>
              <w:rPr>
                <w:sz w:val="20"/>
                <w:szCs w:val="20"/>
              </w:rPr>
            </w:pPr>
            <w:r w:rsidRPr="00F0567C">
              <w:rPr>
                <w:rFonts w:eastAsia="Times New Roman" w:cs="Calibri"/>
                <w:b/>
                <w:bCs/>
                <w:color w:val="000000"/>
                <w:lang w:val="it" w:eastAsia="en-AU"/>
              </w:rPr>
              <w:t>Sicurezza</w:t>
            </w:r>
          </w:p>
        </w:tc>
        <w:tc>
          <w:tcPr>
            <w:tcW w:w="765" w:type="pct"/>
            <w:shd w:val="clear" w:color="auto" w:fill="FAF9F8"/>
          </w:tcPr>
          <w:p w14:paraId="7860BF3D" w14:textId="77777777" w:rsidR="003F5EFB" w:rsidRPr="00E97622" w:rsidRDefault="003F5EFB" w:rsidP="006877D0">
            <w:pPr>
              <w:jc w:val="right"/>
              <w:rPr>
                <w:sz w:val="20"/>
                <w:szCs w:val="20"/>
              </w:rPr>
            </w:pPr>
            <w:r w:rsidRPr="00E97622">
              <w:rPr>
                <w:sz w:val="20"/>
                <w:szCs w:val="20"/>
              </w:rPr>
              <w:t>34</w:t>
            </w:r>
          </w:p>
        </w:tc>
        <w:tc>
          <w:tcPr>
            <w:tcW w:w="657" w:type="pct"/>
            <w:shd w:val="clear" w:color="auto" w:fill="FAF9F8"/>
          </w:tcPr>
          <w:p w14:paraId="32958378" w14:textId="77777777" w:rsidR="003F5EFB" w:rsidRPr="00E97622" w:rsidRDefault="003F5EFB" w:rsidP="006877D0">
            <w:pPr>
              <w:jc w:val="right"/>
              <w:rPr>
                <w:sz w:val="20"/>
                <w:szCs w:val="20"/>
              </w:rPr>
            </w:pPr>
            <w:r w:rsidRPr="00E97622">
              <w:rPr>
                <w:sz w:val="20"/>
                <w:szCs w:val="20"/>
              </w:rPr>
              <w:t>52</w:t>
            </w:r>
          </w:p>
        </w:tc>
        <w:tc>
          <w:tcPr>
            <w:tcW w:w="657" w:type="pct"/>
            <w:shd w:val="clear" w:color="auto" w:fill="FAF9F8"/>
          </w:tcPr>
          <w:p w14:paraId="2CE15342" w14:textId="77777777" w:rsidR="003F5EFB" w:rsidRPr="00E97622" w:rsidRDefault="003F5EFB" w:rsidP="006877D0">
            <w:pPr>
              <w:jc w:val="right"/>
              <w:rPr>
                <w:sz w:val="20"/>
                <w:szCs w:val="20"/>
              </w:rPr>
            </w:pPr>
            <w:r w:rsidRPr="00E97622">
              <w:rPr>
                <w:sz w:val="20"/>
                <w:szCs w:val="20"/>
              </w:rPr>
              <w:t>25</w:t>
            </w:r>
          </w:p>
        </w:tc>
        <w:tc>
          <w:tcPr>
            <w:tcW w:w="657" w:type="pct"/>
            <w:shd w:val="clear" w:color="auto" w:fill="FAF9F8"/>
          </w:tcPr>
          <w:p w14:paraId="5B43DB73" w14:textId="77777777" w:rsidR="003F5EFB" w:rsidRPr="00E97622" w:rsidRDefault="003F5EFB" w:rsidP="006877D0">
            <w:pPr>
              <w:jc w:val="right"/>
              <w:rPr>
                <w:sz w:val="20"/>
                <w:szCs w:val="20"/>
              </w:rPr>
            </w:pPr>
            <w:r w:rsidRPr="00E97622">
              <w:rPr>
                <w:sz w:val="20"/>
                <w:szCs w:val="20"/>
              </w:rPr>
              <w:t>4</w:t>
            </w:r>
          </w:p>
        </w:tc>
        <w:tc>
          <w:tcPr>
            <w:tcW w:w="657" w:type="pct"/>
            <w:shd w:val="clear" w:color="auto" w:fill="FAF9F8"/>
          </w:tcPr>
          <w:p w14:paraId="5546A7C3" w14:textId="77777777" w:rsidR="003F5EFB" w:rsidRPr="00E97622" w:rsidRDefault="003F5EFB" w:rsidP="006877D0">
            <w:pPr>
              <w:jc w:val="right"/>
              <w:rPr>
                <w:sz w:val="20"/>
                <w:szCs w:val="20"/>
              </w:rPr>
            </w:pPr>
            <w:r w:rsidRPr="00E97622">
              <w:rPr>
                <w:sz w:val="20"/>
                <w:szCs w:val="20"/>
              </w:rPr>
              <w:t>2</w:t>
            </w:r>
          </w:p>
        </w:tc>
        <w:tc>
          <w:tcPr>
            <w:tcW w:w="657" w:type="pct"/>
            <w:shd w:val="clear" w:color="auto" w:fill="FAF9F8"/>
          </w:tcPr>
          <w:p w14:paraId="7143D255" w14:textId="3F4AA248" w:rsidR="003F5EFB" w:rsidRPr="00E97622" w:rsidRDefault="003F5EFB" w:rsidP="006877D0">
            <w:pPr>
              <w:jc w:val="right"/>
              <w:rPr>
                <w:sz w:val="20"/>
                <w:szCs w:val="20"/>
              </w:rPr>
            </w:pPr>
            <w:r w:rsidRPr="00E97622">
              <w:rPr>
                <w:sz w:val="20"/>
                <w:szCs w:val="20"/>
              </w:rPr>
              <w:t>117</w:t>
            </w:r>
          </w:p>
        </w:tc>
      </w:tr>
      <w:tr w:rsidR="003F5EFB" w:rsidRPr="00E97622" w14:paraId="2EE15BDB" w14:textId="77777777" w:rsidTr="003F5EFB">
        <w:tc>
          <w:tcPr>
            <w:tcW w:w="950" w:type="pct"/>
            <w:vAlign w:val="bottom"/>
          </w:tcPr>
          <w:p w14:paraId="745F9B56" w14:textId="36547D4F" w:rsidR="003F5EFB" w:rsidRPr="00E97622" w:rsidRDefault="003F5EFB" w:rsidP="00EF2C6E">
            <w:pPr>
              <w:rPr>
                <w:sz w:val="20"/>
                <w:szCs w:val="20"/>
              </w:rPr>
            </w:pPr>
            <w:r w:rsidRPr="00F0567C">
              <w:rPr>
                <w:rFonts w:eastAsia="Times New Roman" w:cs="Calibri"/>
                <w:b/>
                <w:bCs/>
                <w:color w:val="000000"/>
                <w:lang w:val="it" w:eastAsia="en-AU"/>
              </w:rPr>
              <w:t>Gestione delle emergenze</w:t>
            </w:r>
          </w:p>
        </w:tc>
        <w:tc>
          <w:tcPr>
            <w:tcW w:w="765" w:type="pct"/>
          </w:tcPr>
          <w:p w14:paraId="12D71D18" w14:textId="77777777" w:rsidR="003F5EFB" w:rsidRPr="00E97622" w:rsidRDefault="003F5EFB" w:rsidP="006877D0">
            <w:pPr>
              <w:jc w:val="right"/>
              <w:rPr>
                <w:sz w:val="20"/>
                <w:szCs w:val="20"/>
              </w:rPr>
            </w:pPr>
            <w:r w:rsidRPr="00E97622">
              <w:rPr>
                <w:sz w:val="20"/>
                <w:szCs w:val="20"/>
              </w:rPr>
              <w:t>10</w:t>
            </w:r>
          </w:p>
        </w:tc>
        <w:tc>
          <w:tcPr>
            <w:tcW w:w="657" w:type="pct"/>
          </w:tcPr>
          <w:p w14:paraId="6183D618" w14:textId="77777777" w:rsidR="003F5EFB" w:rsidRPr="00E97622" w:rsidRDefault="003F5EFB" w:rsidP="006877D0">
            <w:pPr>
              <w:jc w:val="right"/>
              <w:rPr>
                <w:sz w:val="20"/>
                <w:szCs w:val="20"/>
              </w:rPr>
            </w:pPr>
            <w:r w:rsidRPr="00E97622">
              <w:rPr>
                <w:sz w:val="20"/>
                <w:szCs w:val="20"/>
              </w:rPr>
              <w:t>34</w:t>
            </w:r>
          </w:p>
        </w:tc>
        <w:tc>
          <w:tcPr>
            <w:tcW w:w="657" w:type="pct"/>
          </w:tcPr>
          <w:p w14:paraId="19B92F49" w14:textId="77777777" w:rsidR="003F5EFB" w:rsidRPr="00E97622" w:rsidRDefault="003F5EFB" w:rsidP="006877D0">
            <w:pPr>
              <w:jc w:val="right"/>
              <w:rPr>
                <w:sz w:val="20"/>
                <w:szCs w:val="20"/>
              </w:rPr>
            </w:pPr>
            <w:r w:rsidRPr="00E97622">
              <w:rPr>
                <w:sz w:val="20"/>
                <w:szCs w:val="20"/>
              </w:rPr>
              <w:t>3</w:t>
            </w:r>
          </w:p>
        </w:tc>
        <w:tc>
          <w:tcPr>
            <w:tcW w:w="657" w:type="pct"/>
          </w:tcPr>
          <w:p w14:paraId="7057D1D1" w14:textId="77777777" w:rsidR="003F5EFB" w:rsidRPr="00E97622" w:rsidRDefault="003F5EFB" w:rsidP="006877D0">
            <w:pPr>
              <w:jc w:val="right"/>
              <w:rPr>
                <w:sz w:val="20"/>
                <w:szCs w:val="20"/>
              </w:rPr>
            </w:pPr>
            <w:r w:rsidRPr="00E97622">
              <w:rPr>
                <w:sz w:val="20"/>
                <w:szCs w:val="20"/>
              </w:rPr>
              <w:t>0</w:t>
            </w:r>
          </w:p>
        </w:tc>
        <w:tc>
          <w:tcPr>
            <w:tcW w:w="657" w:type="pct"/>
          </w:tcPr>
          <w:p w14:paraId="74193802" w14:textId="77777777" w:rsidR="003F5EFB" w:rsidRPr="00E97622" w:rsidRDefault="003F5EFB" w:rsidP="006877D0">
            <w:pPr>
              <w:jc w:val="right"/>
              <w:rPr>
                <w:sz w:val="20"/>
                <w:szCs w:val="20"/>
              </w:rPr>
            </w:pPr>
            <w:r w:rsidRPr="00E97622">
              <w:rPr>
                <w:sz w:val="20"/>
                <w:szCs w:val="20"/>
              </w:rPr>
              <w:t>0</w:t>
            </w:r>
          </w:p>
        </w:tc>
        <w:tc>
          <w:tcPr>
            <w:tcW w:w="657" w:type="pct"/>
          </w:tcPr>
          <w:p w14:paraId="73C02F3E" w14:textId="151D6EB0" w:rsidR="003F5EFB" w:rsidRPr="00E97622" w:rsidRDefault="003F5EFB" w:rsidP="006877D0">
            <w:pPr>
              <w:jc w:val="right"/>
              <w:rPr>
                <w:sz w:val="20"/>
                <w:szCs w:val="20"/>
              </w:rPr>
            </w:pPr>
            <w:r w:rsidRPr="00E97622">
              <w:rPr>
                <w:sz w:val="20"/>
                <w:szCs w:val="20"/>
              </w:rPr>
              <w:t>47</w:t>
            </w:r>
          </w:p>
        </w:tc>
      </w:tr>
      <w:tr w:rsidR="003F5EFB" w:rsidRPr="00E97622" w14:paraId="51DCAC69" w14:textId="77777777" w:rsidTr="003F5EFB">
        <w:tc>
          <w:tcPr>
            <w:tcW w:w="950" w:type="pct"/>
            <w:shd w:val="clear" w:color="auto" w:fill="E4E9F3"/>
            <w:vAlign w:val="bottom"/>
          </w:tcPr>
          <w:p w14:paraId="168D9DA1" w14:textId="662993B6" w:rsidR="003F5EFB" w:rsidRPr="00E97622" w:rsidRDefault="003F5EFB" w:rsidP="00EF2C6E">
            <w:pPr>
              <w:rPr>
                <w:b/>
                <w:sz w:val="20"/>
                <w:szCs w:val="20"/>
              </w:rPr>
            </w:pPr>
            <w:r w:rsidRPr="00F0567C">
              <w:rPr>
                <w:rFonts w:eastAsia="Times New Roman" w:cs="Calibri"/>
                <w:b/>
                <w:bCs/>
                <w:color w:val="000000"/>
                <w:lang w:val="it" w:eastAsia="en-AU"/>
              </w:rPr>
              <w:t>Totale</w:t>
            </w:r>
          </w:p>
        </w:tc>
        <w:tc>
          <w:tcPr>
            <w:tcW w:w="765" w:type="pct"/>
            <w:shd w:val="clear" w:color="auto" w:fill="E4E9F3"/>
          </w:tcPr>
          <w:p w14:paraId="51E4DE63" w14:textId="0B1A61B1" w:rsidR="003F5EFB" w:rsidRPr="00E97622" w:rsidRDefault="003F5EFB" w:rsidP="006877D0">
            <w:pPr>
              <w:jc w:val="right"/>
              <w:rPr>
                <w:b/>
                <w:sz w:val="20"/>
                <w:szCs w:val="20"/>
              </w:rPr>
            </w:pPr>
            <w:r w:rsidRPr="00E97622">
              <w:rPr>
                <w:b/>
                <w:sz w:val="20"/>
                <w:szCs w:val="20"/>
              </w:rPr>
              <w:t>101</w:t>
            </w:r>
          </w:p>
        </w:tc>
        <w:tc>
          <w:tcPr>
            <w:tcW w:w="657" w:type="pct"/>
            <w:shd w:val="clear" w:color="auto" w:fill="E4E9F3"/>
          </w:tcPr>
          <w:p w14:paraId="54345EF2" w14:textId="24155DF2" w:rsidR="003F5EFB" w:rsidRPr="00E97622" w:rsidRDefault="003F5EFB" w:rsidP="006877D0">
            <w:pPr>
              <w:jc w:val="right"/>
              <w:rPr>
                <w:b/>
                <w:sz w:val="20"/>
                <w:szCs w:val="20"/>
              </w:rPr>
            </w:pPr>
            <w:r w:rsidRPr="00E97622">
              <w:rPr>
                <w:b/>
                <w:sz w:val="20"/>
                <w:szCs w:val="20"/>
              </w:rPr>
              <w:t>209</w:t>
            </w:r>
          </w:p>
        </w:tc>
        <w:tc>
          <w:tcPr>
            <w:tcW w:w="657" w:type="pct"/>
            <w:shd w:val="clear" w:color="auto" w:fill="E4E9F3"/>
          </w:tcPr>
          <w:p w14:paraId="782B41BA" w14:textId="62C1D67E" w:rsidR="003F5EFB" w:rsidRPr="00E97622" w:rsidRDefault="003F5EFB" w:rsidP="006877D0">
            <w:pPr>
              <w:jc w:val="right"/>
              <w:rPr>
                <w:b/>
                <w:sz w:val="20"/>
                <w:szCs w:val="20"/>
              </w:rPr>
            </w:pPr>
            <w:r w:rsidRPr="00E97622">
              <w:rPr>
                <w:b/>
                <w:sz w:val="20"/>
                <w:szCs w:val="20"/>
              </w:rPr>
              <w:t>54</w:t>
            </w:r>
          </w:p>
        </w:tc>
        <w:tc>
          <w:tcPr>
            <w:tcW w:w="657" w:type="pct"/>
            <w:shd w:val="clear" w:color="auto" w:fill="E4E9F3"/>
          </w:tcPr>
          <w:p w14:paraId="2E857847" w14:textId="77777777" w:rsidR="003F5EFB" w:rsidRPr="00E97622" w:rsidRDefault="003F5EFB" w:rsidP="006877D0">
            <w:pPr>
              <w:jc w:val="right"/>
              <w:rPr>
                <w:b/>
                <w:sz w:val="20"/>
                <w:szCs w:val="20"/>
              </w:rPr>
            </w:pPr>
            <w:r w:rsidRPr="00E97622">
              <w:rPr>
                <w:b/>
                <w:sz w:val="20"/>
                <w:szCs w:val="20"/>
              </w:rPr>
              <w:t>7</w:t>
            </w:r>
          </w:p>
        </w:tc>
        <w:tc>
          <w:tcPr>
            <w:tcW w:w="657" w:type="pct"/>
            <w:shd w:val="clear" w:color="auto" w:fill="E4E9F3"/>
          </w:tcPr>
          <w:p w14:paraId="5164116F" w14:textId="77777777" w:rsidR="003F5EFB" w:rsidRPr="00E97622" w:rsidRDefault="003F5EFB" w:rsidP="006877D0">
            <w:pPr>
              <w:jc w:val="right"/>
              <w:rPr>
                <w:b/>
                <w:sz w:val="20"/>
                <w:szCs w:val="20"/>
              </w:rPr>
            </w:pPr>
            <w:r w:rsidRPr="00E97622">
              <w:rPr>
                <w:b/>
                <w:sz w:val="20"/>
                <w:szCs w:val="20"/>
              </w:rPr>
              <w:t>3</w:t>
            </w:r>
          </w:p>
        </w:tc>
        <w:tc>
          <w:tcPr>
            <w:tcW w:w="657" w:type="pct"/>
            <w:shd w:val="clear" w:color="auto" w:fill="E4E9F3"/>
          </w:tcPr>
          <w:p w14:paraId="4FD8F931" w14:textId="45DF428E" w:rsidR="003F5EFB" w:rsidRPr="00E97622" w:rsidRDefault="003F5EFB" w:rsidP="006877D0">
            <w:pPr>
              <w:jc w:val="right"/>
              <w:rPr>
                <w:b/>
                <w:sz w:val="20"/>
                <w:szCs w:val="20"/>
              </w:rPr>
            </w:pPr>
            <w:r w:rsidRPr="00E97622">
              <w:rPr>
                <w:b/>
                <w:sz w:val="20"/>
                <w:szCs w:val="20"/>
              </w:rPr>
              <w:t>374</w:t>
            </w:r>
          </w:p>
        </w:tc>
      </w:tr>
      <w:tr w:rsidR="003F5EFB" w:rsidRPr="00E97622" w14:paraId="1AF5935D" w14:textId="77777777" w:rsidTr="003F5EFB">
        <w:tc>
          <w:tcPr>
            <w:tcW w:w="950" w:type="pct"/>
            <w:vAlign w:val="bottom"/>
          </w:tcPr>
          <w:p w14:paraId="19CF094B" w14:textId="0658AAD7" w:rsidR="003F5EFB" w:rsidRPr="00E97622" w:rsidRDefault="003F5EFB" w:rsidP="00EF2C6E">
            <w:pPr>
              <w:rPr>
                <w:b/>
                <w:sz w:val="20"/>
                <w:szCs w:val="20"/>
              </w:rPr>
            </w:pPr>
            <w:r w:rsidRPr="00F0567C">
              <w:rPr>
                <w:rFonts w:eastAsia="Times New Roman" w:cs="Calibri"/>
                <w:b/>
                <w:bCs/>
                <w:color w:val="000000"/>
                <w:lang w:val="it" w:eastAsia="en-AU"/>
              </w:rPr>
              <w:t>Percentuale</w:t>
            </w:r>
          </w:p>
        </w:tc>
        <w:tc>
          <w:tcPr>
            <w:tcW w:w="765" w:type="pct"/>
          </w:tcPr>
          <w:p w14:paraId="36A45139" w14:textId="6DE9E78A" w:rsidR="003F5EFB" w:rsidRPr="00E97622" w:rsidRDefault="003F5EFB" w:rsidP="006877D0">
            <w:pPr>
              <w:jc w:val="right"/>
              <w:rPr>
                <w:b/>
                <w:sz w:val="20"/>
                <w:szCs w:val="20"/>
              </w:rPr>
            </w:pPr>
            <w:r w:rsidRPr="00E97622">
              <w:rPr>
                <w:b/>
                <w:sz w:val="20"/>
                <w:szCs w:val="20"/>
              </w:rPr>
              <w:t>27%</w:t>
            </w:r>
          </w:p>
        </w:tc>
        <w:tc>
          <w:tcPr>
            <w:tcW w:w="657" w:type="pct"/>
          </w:tcPr>
          <w:p w14:paraId="58CCBC6A" w14:textId="5A33EFA6" w:rsidR="003F5EFB" w:rsidRPr="00E97622" w:rsidRDefault="003F5EFB" w:rsidP="006877D0">
            <w:pPr>
              <w:jc w:val="right"/>
              <w:rPr>
                <w:b/>
                <w:sz w:val="20"/>
                <w:szCs w:val="20"/>
              </w:rPr>
            </w:pPr>
            <w:r w:rsidRPr="00E97622">
              <w:rPr>
                <w:b/>
                <w:sz w:val="20"/>
                <w:szCs w:val="20"/>
              </w:rPr>
              <w:t>56%</w:t>
            </w:r>
          </w:p>
        </w:tc>
        <w:tc>
          <w:tcPr>
            <w:tcW w:w="657" w:type="pct"/>
          </w:tcPr>
          <w:p w14:paraId="41651E00" w14:textId="157DA2A7" w:rsidR="003F5EFB" w:rsidRPr="00E97622" w:rsidRDefault="003F5EFB" w:rsidP="006877D0">
            <w:pPr>
              <w:jc w:val="right"/>
              <w:rPr>
                <w:b/>
                <w:sz w:val="20"/>
                <w:szCs w:val="20"/>
              </w:rPr>
            </w:pPr>
            <w:r w:rsidRPr="00E97622">
              <w:rPr>
                <w:b/>
                <w:sz w:val="20"/>
                <w:szCs w:val="20"/>
              </w:rPr>
              <w:t>14%</w:t>
            </w:r>
          </w:p>
        </w:tc>
        <w:tc>
          <w:tcPr>
            <w:tcW w:w="657" w:type="pct"/>
          </w:tcPr>
          <w:p w14:paraId="5F3CCAA1" w14:textId="0427F666" w:rsidR="003F5EFB" w:rsidRPr="00E97622" w:rsidRDefault="003F5EFB" w:rsidP="006877D0">
            <w:pPr>
              <w:jc w:val="right"/>
              <w:rPr>
                <w:b/>
                <w:sz w:val="20"/>
                <w:szCs w:val="20"/>
              </w:rPr>
            </w:pPr>
            <w:r w:rsidRPr="00E97622">
              <w:rPr>
                <w:b/>
                <w:sz w:val="20"/>
                <w:szCs w:val="20"/>
              </w:rPr>
              <w:t>2%</w:t>
            </w:r>
          </w:p>
        </w:tc>
        <w:tc>
          <w:tcPr>
            <w:tcW w:w="657" w:type="pct"/>
          </w:tcPr>
          <w:p w14:paraId="3A365A28" w14:textId="7511F897" w:rsidR="003F5EFB" w:rsidRPr="00E97622" w:rsidRDefault="003F5EFB" w:rsidP="006877D0">
            <w:pPr>
              <w:jc w:val="right"/>
              <w:rPr>
                <w:b/>
                <w:sz w:val="20"/>
                <w:szCs w:val="20"/>
              </w:rPr>
            </w:pPr>
            <w:r w:rsidRPr="00E97622">
              <w:rPr>
                <w:b/>
                <w:sz w:val="20"/>
                <w:szCs w:val="20"/>
              </w:rPr>
              <w:t>1%</w:t>
            </w:r>
          </w:p>
        </w:tc>
        <w:tc>
          <w:tcPr>
            <w:tcW w:w="657" w:type="pct"/>
          </w:tcPr>
          <w:p w14:paraId="355F1000" w14:textId="77777777" w:rsidR="003F5EFB" w:rsidRPr="00E97622" w:rsidRDefault="003F5EFB" w:rsidP="006877D0">
            <w:pPr>
              <w:jc w:val="right"/>
              <w:rPr>
                <w:b/>
                <w:sz w:val="20"/>
                <w:szCs w:val="20"/>
              </w:rPr>
            </w:pPr>
          </w:p>
        </w:tc>
      </w:tr>
    </w:tbl>
    <w:p w14:paraId="729C1DC3" w14:textId="2F8041CF" w:rsidR="001227BC" w:rsidRPr="001227BC" w:rsidRDefault="003F5EFB" w:rsidP="00B30536">
      <w:pPr>
        <w:spacing w:before="240"/>
        <w:rPr>
          <w:sz w:val="20"/>
          <w:szCs w:val="20"/>
        </w:rPr>
      </w:pPr>
      <w:r w:rsidRPr="00030BB0">
        <w:rPr>
          <w:rFonts w:cs="Arial"/>
          <w:sz w:val="20"/>
          <w:szCs w:val="20"/>
          <w:lang w:val="it-IT"/>
        </w:rPr>
        <w:t>Nota: il totale delle percentuali potrebbe non essere 100 a causa degli arrotondamenti.</w:t>
      </w:r>
    </w:p>
    <w:p w14:paraId="5DF15335" w14:textId="18087F63" w:rsidR="00B30536" w:rsidRDefault="00B30536">
      <w:r>
        <w:br w:type="page"/>
      </w:r>
    </w:p>
    <w:p w14:paraId="0C4D47F4" w14:textId="6DA7E353" w:rsidR="008E35C9" w:rsidRDefault="00860A03" w:rsidP="00BF0891">
      <w:pPr>
        <w:pStyle w:val="Heading1"/>
      </w:pPr>
      <w:bookmarkStart w:id="6" w:name="_Toc153298573"/>
      <w:r w:rsidRPr="00030BB0">
        <w:rPr>
          <w:rFonts w:cs="Arial"/>
          <w:lang w:val="it-IT"/>
        </w:rPr>
        <w:lastRenderedPageBreak/>
        <w:t>Piano d'azione mirato per l'occupazione</w:t>
      </w:r>
      <w:bookmarkEnd w:id="6"/>
    </w:p>
    <w:p w14:paraId="7AB3C8BD" w14:textId="52EC66CC" w:rsidR="008E35C9" w:rsidRPr="00860A03" w:rsidRDefault="00860A03" w:rsidP="00515A1C">
      <w:pPr>
        <w:pStyle w:val="Heading2"/>
        <w:pBdr>
          <w:top w:val="none" w:sz="0" w:space="0" w:color="auto"/>
        </w:pBdr>
      </w:pPr>
      <w:bookmarkStart w:id="7" w:name="_Toc153298574"/>
      <w:proofErr w:type="spellStart"/>
      <w:r w:rsidRPr="00860A03">
        <w:rPr>
          <w:rFonts w:cs="Arial"/>
        </w:rPr>
        <w:t>Introduzione</w:t>
      </w:r>
      <w:bookmarkEnd w:id="7"/>
      <w:proofErr w:type="spellEnd"/>
    </w:p>
    <w:p w14:paraId="5A2877BF" w14:textId="77777777" w:rsidR="00860A03" w:rsidRPr="00030BB0" w:rsidRDefault="00860A03" w:rsidP="00860A03">
      <w:pPr>
        <w:spacing w:before="240" w:after="240" w:line="240" w:lineRule="auto"/>
        <w:rPr>
          <w:rFonts w:cs="Arial"/>
          <w:lang w:val="it-IT"/>
        </w:rPr>
      </w:pPr>
      <w:r w:rsidRPr="00030BB0">
        <w:rPr>
          <w:rFonts w:cs="Arial"/>
          <w:lang w:val="it-IT"/>
        </w:rPr>
        <w:t>Il TAP per l’occupazione è concepito per promuovere i progressi nell’ambito dell’area dei risultati relativi all’occupazione e alla sicurezza finanziaria dell’ADS.</w:t>
      </w:r>
    </w:p>
    <w:p w14:paraId="5D86BF9D" w14:textId="77777777" w:rsidR="00860A03" w:rsidRPr="00030BB0" w:rsidRDefault="00860A03" w:rsidP="00860A03">
      <w:pPr>
        <w:spacing w:before="240" w:after="240" w:line="240" w:lineRule="auto"/>
        <w:rPr>
          <w:rFonts w:cs="Arial"/>
          <w:lang w:val="it-IT"/>
        </w:rPr>
      </w:pPr>
      <w:r w:rsidRPr="00030BB0">
        <w:rPr>
          <w:rFonts w:cs="Arial"/>
          <w:lang w:val="it-IT"/>
        </w:rPr>
        <w:t>Questa area di risultato mira a garantire alle persone con disabilità la sicurezza economica, consentendo loro di pianificare il futuro ed esercitare scelta e controllo sulla propria vita.</w:t>
      </w:r>
    </w:p>
    <w:p w14:paraId="1571D316" w14:textId="77777777" w:rsidR="00860A03" w:rsidRPr="00030BB0" w:rsidRDefault="00860A03" w:rsidP="00860A03">
      <w:pPr>
        <w:spacing w:before="240" w:after="240" w:line="240" w:lineRule="auto"/>
        <w:rPr>
          <w:rFonts w:cs="Arial"/>
          <w:lang w:val="it-IT"/>
        </w:rPr>
      </w:pPr>
      <w:r w:rsidRPr="00030BB0">
        <w:rPr>
          <w:rFonts w:cs="Arial"/>
          <w:lang w:val="it-IT"/>
        </w:rPr>
        <w:t>Una componente chiave della sicurezza economica è l’occupazione e questo TAP rappresenterà un contributo fondamentale a questo risultato.</w:t>
      </w:r>
    </w:p>
    <w:p w14:paraId="4ABBBFCB" w14:textId="77777777" w:rsidR="00860A03" w:rsidRPr="00030BB0" w:rsidRDefault="00860A03" w:rsidP="00860A03">
      <w:pPr>
        <w:spacing w:before="240" w:after="240" w:line="240" w:lineRule="auto"/>
        <w:rPr>
          <w:rFonts w:cs="Arial"/>
          <w:lang w:val="it-IT"/>
        </w:rPr>
      </w:pPr>
      <w:r w:rsidRPr="00030BB0">
        <w:rPr>
          <w:rFonts w:cs="Arial"/>
          <w:lang w:val="it-IT"/>
        </w:rPr>
        <w:t>Nell’ambito del TAP per l’occupazione sono segnalate 73 azioni tra i governi australiani, statali e territoriali per il periodo 2022-2023.</w:t>
      </w:r>
    </w:p>
    <w:p w14:paraId="744019BE" w14:textId="1FB9AF8E" w:rsidR="00860A03" w:rsidRDefault="00860A03" w:rsidP="00860A03">
      <w:pPr>
        <w:spacing w:before="240" w:after="240" w:line="240" w:lineRule="auto"/>
      </w:pPr>
      <w:r w:rsidRPr="00030BB0">
        <w:rPr>
          <w:rFonts w:cs="Arial"/>
          <w:lang w:val="it-IT"/>
        </w:rPr>
        <w:t>Ciò include azioni che forniranno progetti pilota per l’occupazione per collegare le persone con disabilità ad aree di carenza di competenze, lavorare per promuovere l’occupazione dei disabili nei servizi pubblici e promuovere miglioramenti ai programmi per l’occupazione.</w:t>
      </w:r>
    </w:p>
    <w:p w14:paraId="4C75F9D2" w14:textId="6CD0E389" w:rsidR="00FC59E6" w:rsidRPr="00E227F1" w:rsidRDefault="00E227F1" w:rsidP="00B30536">
      <w:pPr>
        <w:pStyle w:val="Heading2"/>
      </w:pPr>
      <w:bookmarkStart w:id="8" w:name="_Toc153298575"/>
      <w:proofErr w:type="spellStart"/>
      <w:r w:rsidRPr="00E227F1">
        <w:rPr>
          <w:rFonts w:cs="Arial"/>
        </w:rPr>
        <w:t>Obiettivi</w:t>
      </w:r>
      <w:bookmarkEnd w:id="8"/>
      <w:proofErr w:type="spellEnd"/>
      <w:r w:rsidR="00FC59E6" w:rsidRPr="00E227F1">
        <w:t xml:space="preserve"> </w:t>
      </w:r>
    </w:p>
    <w:p w14:paraId="64FDC062" w14:textId="2211F7F5" w:rsidR="00FC59E6" w:rsidRDefault="00FC59E6" w:rsidP="00FC59E6">
      <w:pPr>
        <w:spacing w:after="120" w:line="240" w:lineRule="auto"/>
        <w:ind w:left="426" w:hanging="426"/>
      </w:pPr>
      <w:r>
        <w:t>1.</w:t>
      </w:r>
      <w:r>
        <w:tab/>
      </w:r>
      <w:r w:rsidR="00E227F1" w:rsidRPr="00030BB0">
        <w:rPr>
          <w:rFonts w:cs="Arial"/>
          <w:lang w:val="it-IT"/>
        </w:rPr>
        <w:t>Aumentare l’occupazione delle persone con disabilità.</w:t>
      </w:r>
    </w:p>
    <w:p w14:paraId="75CA5A4C" w14:textId="5840F45E" w:rsidR="00FC59E6" w:rsidRDefault="00FC59E6" w:rsidP="00FC59E6">
      <w:pPr>
        <w:spacing w:after="120" w:line="240" w:lineRule="auto"/>
        <w:ind w:left="426" w:hanging="426"/>
      </w:pPr>
      <w:r>
        <w:t>2.</w:t>
      </w:r>
      <w:r>
        <w:tab/>
      </w:r>
      <w:r w:rsidR="00E227F1" w:rsidRPr="00030BB0">
        <w:rPr>
          <w:rFonts w:cs="Arial"/>
          <w:lang w:val="it-IT"/>
        </w:rPr>
        <w:t xml:space="preserve">Migliorare la transizione dei giovani con disabilità dall'istruzione al mondo </w:t>
      </w:r>
      <w:proofErr w:type="gramStart"/>
      <w:r w:rsidR="00E227F1" w:rsidRPr="00030BB0">
        <w:rPr>
          <w:rFonts w:cs="Arial"/>
          <w:lang w:val="it-IT"/>
        </w:rPr>
        <w:t>del</w:t>
      </w:r>
      <w:proofErr w:type="gramEnd"/>
      <w:r w:rsidR="00E227F1" w:rsidRPr="00030BB0">
        <w:rPr>
          <w:rFonts w:cs="Arial"/>
          <w:lang w:val="it-IT"/>
        </w:rPr>
        <w:t xml:space="preserve"> lavoro.</w:t>
      </w:r>
      <w:r>
        <w:t xml:space="preserve"> </w:t>
      </w:r>
    </w:p>
    <w:p w14:paraId="09830886" w14:textId="02EAB1F5" w:rsidR="00FC59E6" w:rsidRDefault="00FC59E6">
      <w:r>
        <w:br w:type="page"/>
      </w:r>
    </w:p>
    <w:p w14:paraId="4EEE85DA" w14:textId="7535DAC4" w:rsidR="008E35C9" w:rsidRPr="0066071F" w:rsidRDefault="005A3E79" w:rsidP="0066071F">
      <w:pPr>
        <w:rPr>
          <w:b/>
          <w:bCs/>
          <w:color w:val="6C1740"/>
          <w:sz w:val="94"/>
          <w:szCs w:val="94"/>
        </w:rPr>
      </w:pPr>
      <w:r w:rsidRPr="005A3E79">
        <w:rPr>
          <w:b/>
          <w:bCs/>
          <w:color w:val="6C1740"/>
          <w:sz w:val="94"/>
          <w:szCs w:val="94"/>
        </w:rPr>
        <w:lastRenderedPageBreak/>
        <w:t xml:space="preserve">TAP per </w:t>
      </w:r>
      <w:proofErr w:type="spellStart"/>
      <w:r w:rsidRPr="005A3E79">
        <w:rPr>
          <w:b/>
          <w:bCs/>
          <w:color w:val="6C1740"/>
          <w:sz w:val="94"/>
          <w:szCs w:val="94"/>
        </w:rPr>
        <w:t>l'occupazione</w:t>
      </w:r>
      <w:proofErr w:type="spellEnd"/>
    </w:p>
    <w:p w14:paraId="51474833" w14:textId="6C13AAB7" w:rsidR="008E35C9" w:rsidRDefault="005A3E79" w:rsidP="00B30536">
      <w:pPr>
        <w:spacing w:before="240" w:after="240" w:line="240" w:lineRule="auto"/>
      </w:pPr>
      <w:r w:rsidRPr="00030BB0">
        <w:rPr>
          <w:rFonts w:cs="Arial"/>
          <w:lang w:val="it-IT"/>
        </w:rPr>
        <w:t>Tabella 3: TAP Occupazione – stato di progresso delle azioni del governo nel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58"/>
        <w:gridCol w:w="1414"/>
        <w:gridCol w:w="1274"/>
        <w:gridCol w:w="1274"/>
        <w:gridCol w:w="1274"/>
        <w:gridCol w:w="1274"/>
        <w:gridCol w:w="1274"/>
      </w:tblGrid>
      <w:tr w:rsidR="0090028B" w:rsidRPr="00FD75A9" w14:paraId="7158EFA4" w14:textId="77777777" w:rsidTr="00F80414">
        <w:tc>
          <w:tcPr>
            <w:tcW w:w="789" w:type="pct"/>
            <w:tcBorders>
              <w:top w:val="nil"/>
              <w:bottom w:val="single" w:sz="4" w:space="0" w:color="auto"/>
              <w:right w:val="single" w:sz="4" w:space="0" w:color="FFFFFF" w:themeColor="background1"/>
            </w:tcBorders>
            <w:shd w:val="clear" w:color="auto" w:fill="6C1740"/>
          </w:tcPr>
          <w:p w14:paraId="23D0A7CC" w14:textId="5F2FAB12" w:rsidR="0090028B" w:rsidRPr="00FD75A9" w:rsidRDefault="0090028B" w:rsidP="008F6E78">
            <w:pPr>
              <w:rPr>
                <w:b/>
                <w:sz w:val="20"/>
                <w:szCs w:val="20"/>
              </w:rPr>
            </w:pPr>
            <w:bookmarkStart w:id="9" w:name="Title_03"/>
            <w:bookmarkEnd w:id="9"/>
            <w:r w:rsidRPr="003848ED">
              <w:rPr>
                <w:rFonts w:eastAsia="Times New Roman" w:cs="Calibri"/>
                <w:b/>
                <w:bCs/>
                <w:color w:val="FFFFFF" w:themeColor="background1"/>
                <w:lang w:val="it" w:eastAsia="en-AU"/>
              </w:rPr>
              <w:t>Governo</w:t>
            </w:r>
          </w:p>
        </w:tc>
        <w:tc>
          <w:tcPr>
            <w:tcW w:w="765"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43859F45" w:rsidR="0090028B" w:rsidRPr="00FD75A9" w:rsidRDefault="0090028B" w:rsidP="00B30536">
            <w:pPr>
              <w:jc w:val="right"/>
              <w:rPr>
                <w:b/>
                <w:sz w:val="20"/>
                <w:szCs w:val="20"/>
              </w:rPr>
            </w:pPr>
            <w:r w:rsidRPr="003848ED">
              <w:rPr>
                <w:rFonts w:eastAsia="Times New Roman" w:cs="Calibri"/>
                <w:b/>
                <w:bCs/>
                <w:color w:val="FFFFFF" w:themeColor="background1"/>
                <w:lang w:val="it" w:eastAsia="en-AU"/>
              </w:rPr>
              <w:t>Completate</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2E39E644" w:rsidR="0090028B" w:rsidRPr="00FD75A9" w:rsidRDefault="0090028B" w:rsidP="00B30536">
            <w:pPr>
              <w:jc w:val="right"/>
              <w:rPr>
                <w:b/>
                <w:sz w:val="20"/>
                <w:szCs w:val="20"/>
              </w:rPr>
            </w:pPr>
            <w:r w:rsidRPr="003848ED">
              <w:rPr>
                <w:rFonts w:eastAsia="Times New Roman" w:cs="Calibri"/>
                <w:b/>
                <w:bCs/>
                <w:color w:val="FFFFFF" w:themeColor="background1"/>
                <w:lang w:val="it" w:eastAsia="en-AU"/>
              </w:rPr>
              <w:t>In linea con i piani</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00A7B089" w:rsidR="0090028B" w:rsidRPr="00FD75A9" w:rsidRDefault="0090028B" w:rsidP="00B30536">
            <w:pPr>
              <w:jc w:val="right"/>
              <w:rPr>
                <w:b/>
                <w:sz w:val="20"/>
                <w:szCs w:val="20"/>
              </w:rPr>
            </w:pPr>
            <w:r w:rsidRPr="003848ED">
              <w:rPr>
                <w:rFonts w:eastAsia="Times New Roman" w:cs="Calibri"/>
                <w:b/>
                <w:bCs/>
                <w:color w:val="FFFFFF" w:themeColor="background1"/>
                <w:lang w:val="it" w:eastAsia="en-AU"/>
              </w:rPr>
              <w:t>Alcuni ritardi</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06E85187" w:rsidR="0090028B" w:rsidRPr="00FD75A9" w:rsidRDefault="0090028B" w:rsidP="00B30536">
            <w:pPr>
              <w:jc w:val="right"/>
              <w:rPr>
                <w:b/>
                <w:sz w:val="20"/>
                <w:szCs w:val="20"/>
              </w:rPr>
            </w:pPr>
            <w:r w:rsidRPr="003848ED">
              <w:rPr>
                <w:rFonts w:eastAsia="Times New Roman" w:cs="Calibri"/>
                <w:b/>
                <w:bCs/>
                <w:color w:val="FFFFFF" w:themeColor="background1"/>
                <w:lang w:val="it" w:eastAsia="en-AU"/>
              </w:rPr>
              <w:t>In pausa</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386EF130" w:rsidR="0090028B" w:rsidRPr="00FD75A9" w:rsidRDefault="0090028B" w:rsidP="00B30536">
            <w:pPr>
              <w:jc w:val="right"/>
              <w:rPr>
                <w:b/>
                <w:sz w:val="20"/>
                <w:szCs w:val="20"/>
              </w:rPr>
            </w:pPr>
            <w:r w:rsidRPr="003848ED">
              <w:rPr>
                <w:rFonts w:eastAsia="Times New Roman" w:cs="Calibri"/>
                <w:b/>
                <w:bCs/>
                <w:color w:val="FFFFFF" w:themeColor="background1"/>
                <w:lang w:val="it" w:eastAsia="en-AU"/>
              </w:rPr>
              <w:t>Avvio futuro</w:t>
            </w:r>
          </w:p>
        </w:tc>
        <w:tc>
          <w:tcPr>
            <w:tcW w:w="689" w:type="pct"/>
            <w:tcBorders>
              <w:top w:val="nil"/>
              <w:left w:val="single" w:sz="4" w:space="0" w:color="FFFFFF" w:themeColor="background1"/>
              <w:bottom w:val="single" w:sz="4" w:space="0" w:color="auto"/>
            </w:tcBorders>
            <w:shd w:val="clear" w:color="auto" w:fill="6C1740"/>
          </w:tcPr>
          <w:p w14:paraId="2BAEF0CF" w14:textId="6FF899C0" w:rsidR="0090028B" w:rsidRPr="00FD75A9" w:rsidRDefault="0090028B" w:rsidP="00B30536">
            <w:pPr>
              <w:jc w:val="right"/>
              <w:rPr>
                <w:b/>
                <w:sz w:val="20"/>
                <w:szCs w:val="20"/>
              </w:rPr>
            </w:pPr>
            <w:r w:rsidRPr="003848ED">
              <w:rPr>
                <w:rFonts w:eastAsia="Times New Roman" w:cs="Calibri"/>
                <w:b/>
                <w:bCs/>
                <w:color w:val="FFFFFF" w:themeColor="background1"/>
                <w:lang w:val="it" w:eastAsia="en-AU"/>
              </w:rPr>
              <w:t>Totale</w:t>
            </w:r>
          </w:p>
        </w:tc>
      </w:tr>
      <w:tr w:rsidR="00F80414" w:rsidRPr="00FD75A9" w14:paraId="242ABDE3" w14:textId="77777777" w:rsidTr="00F80414">
        <w:tc>
          <w:tcPr>
            <w:tcW w:w="789" w:type="pct"/>
            <w:tcBorders>
              <w:top w:val="single" w:sz="4" w:space="0" w:color="auto"/>
            </w:tcBorders>
            <w:vAlign w:val="bottom"/>
          </w:tcPr>
          <w:p w14:paraId="7BEE5A7D" w14:textId="218DFBD2" w:rsidR="00F80414" w:rsidRPr="00FD75A9" w:rsidRDefault="00F80414" w:rsidP="00AF7CD8">
            <w:pPr>
              <w:rPr>
                <w:sz w:val="20"/>
                <w:szCs w:val="20"/>
              </w:rPr>
            </w:pPr>
            <w:r w:rsidRPr="00F0567C">
              <w:rPr>
                <w:rFonts w:eastAsia="Times New Roman" w:cs="Calibri"/>
                <w:color w:val="000000"/>
                <w:lang w:val="it" w:eastAsia="en-AU"/>
              </w:rPr>
              <w:t>Gov. Australiano</w:t>
            </w:r>
          </w:p>
        </w:tc>
        <w:tc>
          <w:tcPr>
            <w:tcW w:w="765" w:type="pct"/>
            <w:tcBorders>
              <w:top w:val="single" w:sz="4" w:space="0" w:color="auto"/>
            </w:tcBorders>
          </w:tcPr>
          <w:p w14:paraId="02126D9E" w14:textId="708A2C4D" w:rsidR="00F80414" w:rsidRPr="00FD75A9" w:rsidRDefault="00F80414" w:rsidP="00B30536">
            <w:pPr>
              <w:jc w:val="right"/>
              <w:rPr>
                <w:sz w:val="20"/>
                <w:szCs w:val="20"/>
              </w:rPr>
            </w:pPr>
            <w:r w:rsidRPr="00FD75A9">
              <w:rPr>
                <w:sz w:val="20"/>
                <w:szCs w:val="20"/>
              </w:rPr>
              <w:t>2</w:t>
            </w:r>
          </w:p>
        </w:tc>
        <w:tc>
          <w:tcPr>
            <w:tcW w:w="689" w:type="pct"/>
            <w:tcBorders>
              <w:top w:val="single" w:sz="4" w:space="0" w:color="auto"/>
            </w:tcBorders>
          </w:tcPr>
          <w:p w14:paraId="1803F1C9" w14:textId="40AEAF77" w:rsidR="00F80414" w:rsidRPr="00FD75A9" w:rsidRDefault="00F80414" w:rsidP="00B30536">
            <w:pPr>
              <w:jc w:val="right"/>
              <w:rPr>
                <w:sz w:val="20"/>
                <w:szCs w:val="20"/>
              </w:rPr>
            </w:pPr>
            <w:r w:rsidRPr="00FD75A9">
              <w:rPr>
                <w:sz w:val="20"/>
                <w:szCs w:val="20"/>
              </w:rPr>
              <w:t>5</w:t>
            </w:r>
          </w:p>
        </w:tc>
        <w:tc>
          <w:tcPr>
            <w:tcW w:w="689" w:type="pct"/>
            <w:tcBorders>
              <w:top w:val="single" w:sz="4" w:space="0" w:color="auto"/>
            </w:tcBorders>
          </w:tcPr>
          <w:p w14:paraId="6A5F6604" w14:textId="0FD59100" w:rsidR="00F80414" w:rsidRPr="00FD75A9" w:rsidRDefault="00F80414" w:rsidP="00B30536">
            <w:pPr>
              <w:jc w:val="right"/>
              <w:rPr>
                <w:sz w:val="20"/>
                <w:szCs w:val="20"/>
              </w:rPr>
            </w:pPr>
            <w:r w:rsidRPr="00FD75A9">
              <w:rPr>
                <w:sz w:val="20"/>
                <w:szCs w:val="20"/>
              </w:rPr>
              <w:t>2</w:t>
            </w:r>
          </w:p>
        </w:tc>
        <w:tc>
          <w:tcPr>
            <w:tcW w:w="689" w:type="pct"/>
            <w:tcBorders>
              <w:top w:val="single" w:sz="4" w:space="0" w:color="auto"/>
            </w:tcBorders>
          </w:tcPr>
          <w:p w14:paraId="68D9888F" w14:textId="5BE9D5AA" w:rsidR="00F80414" w:rsidRPr="00FD75A9" w:rsidRDefault="00F80414" w:rsidP="00B30536">
            <w:pPr>
              <w:jc w:val="right"/>
              <w:rPr>
                <w:sz w:val="20"/>
                <w:szCs w:val="20"/>
              </w:rPr>
            </w:pPr>
            <w:r w:rsidRPr="00FD75A9">
              <w:rPr>
                <w:sz w:val="20"/>
                <w:szCs w:val="20"/>
              </w:rPr>
              <w:t>0</w:t>
            </w:r>
          </w:p>
        </w:tc>
        <w:tc>
          <w:tcPr>
            <w:tcW w:w="689" w:type="pct"/>
            <w:tcBorders>
              <w:top w:val="single" w:sz="4" w:space="0" w:color="auto"/>
            </w:tcBorders>
          </w:tcPr>
          <w:p w14:paraId="7C58BF5F" w14:textId="05753C73" w:rsidR="00F80414" w:rsidRPr="00FD75A9" w:rsidRDefault="00F80414" w:rsidP="00B30536">
            <w:pPr>
              <w:jc w:val="right"/>
              <w:rPr>
                <w:sz w:val="20"/>
                <w:szCs w:val="20"/>
              </w:rPr>
            </w:pPr>
            <w:r w:rsidRPr="00FD75A9">
              <w:rPr>
                <w:sz w:val="20"/>
                <w:szCs w:val="20"/>
              </w:rPr>
              <w:t>0</w:t>
            </w:r>
          </w:p>
        </w:tc>
        <w:tc>
          <w:tcPr>
            <w:tcW w:w="689" w:type="pct"/>
            <w:tcBorders>
              <w:top w:val="single" w:sz="4" w:space="0" w:color="auto"/>
            </w:tcBorders>
          </w:tcPr>
          <w:p w14:paraId="73B28F27" w14:textId="5871CF10" w:rsidR="00F80414" w:rsidRPr="00FD75A9" w:rsidRDefault="00F80414" w:rsidP="00B30536">
            <w:pPr>
              <w:jc w:val="right"/>
              <w:rPr>
                <w:sz w:val="20"/>
                <w:szCs w:val="20"/>
              </w:rPr>
            </w:pPr>
            <w:r w:rsidRPr="00FD75A9">
              <w:rPr>
                <w:sz w:val="20"/>
                <w:szCs w:val="20"/>
              </w:rPr>
              <w:t>9</w:t>
            </w:r>
          </w:p>
        </w:tc>
      </w:tr>
      <w:tr w:rsidR="00F80414" w:rsidRPr="00FD75A9" w14:paraId="2751EC7C" w14:textId="77777777" w:rsidTr="00F80414">
        <w:tc>
          <w:tcPr>
            <w:tcW w:w="789" w:type="pct"/>
            <w:shd w:val="clear" w:color="auto" w:fill="FAF9F8"/>
            <w:vAlign w:val="bottom"/>
          </w:tcPr>
          <w:p w14:paraId="16C3648A" w14:textId="7B1E4351" w:rsidR="00F80414" w:rsidRPr="00FD75A9" w:rsidRDefault="00F80414" w:rsidP="008F6E78">
            <w:pPr>
              <w:rPr>
                <w:sz w:val="20"/>
                <w:szCs w:val="20"/>
              </w:rPr>
            </w:pPr>
            <w:r w:rsidRPr="00F0567C">
              <w:rPr>
                <w:rFonts w:eastAsia="Times New Roman" w:cs="Calibri"/>
                <w:color w:val="000000"/>
                <w:lang w:val="it" w:eastAsia="en-AU"/>
              </w:rPr>
              <w:t>NSW</w:t>
            </w:r>
          </w:p>
        </w:tc>
        <w:tc>
          <w:tcPr>
            <w:tcW w:w="765" w:type="pct"/>
            <w:shd w:val="clear" w:color="auto" w:fill="FAF9F8"/>
          </w:tcPr>
          <w:p w14:paraId="60F4C903" w14:textId="57735DE1"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29D071DA" w14:textId="4F3C1190" w:rsidR="00F80414" w:rsidRPr="00FD75A9" w:rsidRDefault="00F80414" w:rsidP="00B30536">
            <w:pPr>
              <w:jc w:val="right"/>
              <w:rPr>
                <w:sz w:val="20"/>
                <w:szCs w:val="20"/>
              </w:rPr>
            </w:pPr>
            <w:r w:rsidRPr="00FD75A9">
              <w:rPr>
                <w:sz w:val="20"/>
                <w:szCs w:val="20"/>
              </w:rPr>
              <w:t>4</w:t>
            </w:r>
          </w:p>
        </w:tc>
        <w:tc>
          <w:tcPr>
            <w:tcW w:w="689" w:type="pct"/>
            <w:shd w:val="clear" w:color="auto" w:fill="FAF9F8"/>
          </w:tcPr>
          <w:p w14:paraId="3CAC720A" w14:textId="0FE4A47E" w:rsidR="00F80414" w:rsidRPr="00FD75A9" w:rsidRDefault="00F80414" w:rsidP="00B30536">
            <w:pPr>
              <w:jc w:val="right"/>
              <w:rPr>
                <w:sz w:val="20"/>
                <w:szCs w:val="20"/>
              </w:rPr>
            </w:pPr>
            <w:r w:rsidRPr="00FD75A9">
              <w:rPr>
                <w:sz w:val="20"/>
                <w:szCs w:val="20"/>
              </w:rPr>
              <w:t>2</w:t>
            </w:r>
          </w:p>
        </w:tc>
        <w:tc>
          <w:tcPr>
            <w:tcW w:w="689" w:type="pct"/>
            <w:shd w:val="clear" w:color="auto" w:fill="FAF9F8"/>
          </w:tcPr>
          <w:p w14:paraId="3E9FCC2A" w14:textId="149238C1"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13683BA1" w14:textId="49CF0CA9"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20C45732" w14:textId="4D6A26E7" w:rsidR="00F80414" w:rsidRPr="00FD75A9" w:rsidRDefault="00F80414" w:rsidP="00B30536">
            <w:pPr>
              <w:jc w:val="right"/>
              <w:rPr>
                <w:sz w:val="20"/>
                <w:szCs w:val="20"/>
              </w:rPr>
            </w:pPr>
            <w:r w:rsidRPr="00FD75A9">
              <w:rPr>
                <w:sz w:val="20"/>
                <w:szCs w:val="20"/>
              </w:rPr>
              <w:t>6</w:t>
            </w:r>
          </w:p>
        </w:tc>
      </w:tr>
      <w:tr w:rsidR="00F80414" w:rsidRPr="00FD75A9" w14:paraId="0EAAC189" w14:textId="77777777" w:rsidTr="00F80414">
        <w:tc>
          <w:tcPr>
            <w:tcW w:w="789" w:type="pct"/>
            <w:vAlign w:val="bottom"/>
          </w:tcPr>
          <w:p w14:paraId="0CEA2A4A" w14:textId="2C6A92FB" w:rsidR="00F80414" w:rsidRPr="00FD75A9" w:rsidRDefault="00F80414" w:rsidP="008F6E78">
            <w:pPr>
              <w:rPr>
                <w:sz w:val="20"/>
                <w:szCs w:val="20"/>
              </w:rPr>
            </w:pPr>
            <w:r w:rsidRPr="00F0567C">
              <w:rPr>
                <w:rFonts w:eastAsia="Times New Roman" w:cs="Calibri"/>
                <w:color w:val="000000"/>
                <w:lang w:val="it" w:eastAsia="en-AU"/>
              </w:rPr>
              <w:t>VIC</w:t>
            </w:r>
          </w:p>
        </w:tc>
        <w:tc>
          <w:tcPr>
            <w:tcW w:w="765" w:type="pct"/>
          </w:tcPr>
          <w:p w14:paraId="0E65192D" w14:textId="6DEB19AD" w:rsidR="00F80414" w:rsidRPr="00FD75A9" w:rsidRDefault="00F80414" w:rsidP="00B30536">
            <w:pPr>
              <w:jc w:val="right"/>
              <w:rPr>
                <w:sz w:val="20"/>
                <w:szCs w:val="20"/>
              </w:rPr>
            </w:pPr>
            <w:r w:rsidRPr="00FD75A9">
              <w:rPr>
                <w:sz w:val="20"/>
                <w:szCs w:val="20"/>
              </w:rPr>
              <w:t>5</w:t>
            </w:r>
          </w:p>
        </w:tc>
        <w:tc>
          <w:tcPr>
            <w:tcW w:w="689" w:type="pct"/>
          </w:tcPr>
          <w:p w14:paraId="578380FA" w14:textId="6D4762E9" w:rsidR="00F80414" w:rsidRPr="00FD75A9" w:rsidRDefault="00F80414" w:rsidP="00B30536">
            <w:pPr>
              <w:jc w:val="right"/>
              <w:rPr>
                <w:sz w:val="20"/>
                <w:szCs w:val="20"/>
              </w:rPr>
            </w:pPr>
            <w:r w:rsidRPr="00FD75A9">
              <w:rPr>
                <w:sz w:val="20"/>
                <w:szCs w:val="20"/>
              </w:rPr>
              <w:t>12</w:t>
            </w:r>
          </w:p>
        </w:tc>
        <w:tc>
          <w:tcPr>
            <w:tcW w:w="689" w:type="pct"/>
          </w:tcPr>
          <w:p w14:paraId="6AF7E869" w14:textId="78DCDCF5" w:rsidR="00F80414" w:rsidRPr="00FD75A9" w:rsidRDefault="00F80414" w:rsidP="00B30536">
            <w:pPr>
              <w:jc w:val="right"/>
              <w:rPr>
                <w:sz w:val="20"/>
                <w:szCs w:val="20"/>
              </w:rPr>
            </w:pPr>
            <w:r w:rsidRPr="00FD75A9">
              <w:rPr>
                <w:sz w:val="20"/>
                <w:szCs w:val="20"/>
              </w:rPr>
              <w:t>1</w:t>
            </w:r>
          </w:p>
        </w:tc>
        <w:tc>
          <w:tcPr>
            <w:tcW w:w="689" w:type="pct"/>
          </w:tcPr>
          <w:p w14:paraId="439BEC12" w14:textId="744AB9D2" w:rsidR="00F80414" w:rsidRPr="00FD75A9" w:rsidRDefault="00F80414" w:rsidP="00B30536">
            <w:pPr>
              <w:jc w:val="right"/>
              <w:rPr>
                <w:sz w:val="20"/>
                <w:szCs w:val="20"/>
              </w:rPr>
            </w:pPr>
            <w:r w:rsidRPr="00FD75A9">
              <w:rPr>
                <w:sz w:val="20"/>
                <w:szCs w:val="20"/>
              </w:rPr>
              <w:t>0</w:t>
            </w:r>
          </w:p>
        </w:tc>
        <w:tc>
          <w:tcPr>
            <w:tcW w:w="689" w:type="pct"/>
          </w:tcPr>
          <w:p w14:paraId="4FBC45FB" w14:textId="4F1D587A" w:rsidR="00F80414" w:rsidRPr="00FD75A9" w:rsidRDefault="00F80414" w:rsidP="00B30536">
            <w:pPr>
              <w:jc w:val="right"/>
              <w:rPr>
                <w:sz w:val="20"/>
                <w:szCs w:val="20"/>
              </w:rPr>
            </w:pPr>
            <w:r w:rsidRPr="00FD75A9">
              <w:rPr>
                <w:sz w:val="20"/>
                <w:szCs w:val="20"/>
              </w:rPr>
              <w:t>0</w:t>
            </w:r>
          </w:p>
        </w:tc>
        <w:tc>
          <w:tcPr>
            <w:tcW w:w="689" w:type="pct"/>
          </w:tcPr>
          <w:p w14:paraId="04D5870D" w14:textId="31484F29" w:rsidR="00F80414" w:rsidRPr="00FD75A9" w:rsidRDefault="00F80414" w:rsidP="00B30536">
            <w:pPr>
              <w:jc w:val="right"/>
              <w:rPr>
                <w:sz w:val="20"/>
                <w:szCs w:val="20"/>
              </w:rPr>
            </w:pPr>
            <w:r w:rsidRPr="00FD75A9">
              <w:rPr>
                <w:sz w:val="20"/>
                <w:szCs w:val="20"/>
              </w:rPr>
              <w:t>18</w:t>
            </w:r>
          </w:p>
        </w:tc>
      </w:tr>
      <w:tr w:rsidR="00F80414" w:rsidRPr="00FD75A9" w14:paraId="1D8C6FF2" w14:textId="77777777" w:rsidTr="00F80414">
        <w:tc>
          <w:tcPr>
            <w:tcW w:w="789" w:type="pct"/>
            <w:shd w:val="clear" w:color="auto" w:fill="FAF9F8"/>
            <w:vAlign w:val="bottom"/>
          </w:tcPr>
          <w:p w14:paraId="47CF6702" w14:textId="72281B84" w:rsidR="00F80414" w:rsidRPr="00FD75A9" w:rsidRDefault="00F80414" w:rsidP="008F6E78">
            <w:pPr>
              <w:rPr>
                <w:sz w:val="20"/>
                <w:szCs w:val="20"/>
              </w:rPr>
            </w:pPr>
            <w:r w:rsidRPr="00F0567C">
              <w:rPr>
                <w:rFonts w:eastAsia="Times New Roman" w:cs="Calibri"/>
                <w:color w:val="000000"/>
                <w:lang w:val="it" w:eastAsia="en-AU"/>
              </w:rPr>
              <w:t>QLD</w:t>
            </w:r>
          </w:p>
        </w:tc>
        <w:tc>
          <w:tcPr>
            <w:tcW w:w="765" w:type="pct"/>
            <w:shd w:val="clear" w:color="auto" w:fill="FAF9F8"/>
          </w:tcPr>
          <w:p w14:paraId="7AAF8114" w14:textId="77A43903" w:rsidR="00F80414" w:rsidRPr="00FD75A9" w:rsidRDefault="00F80414" w:rsidP="00B30536">
            <w:pPr>
              <w:jc w:val="right"/>
              <w:rPr>
                <w:sz w:val="20"/>
                <w:szCs w:val="20"/>
              </w:rPr>
            </w:pPr>
            <w:r w:rsidRPr="00FD75A9">
              <w:rPr>
                <w:sz w:val="20"/>
                <w:szCs w:val="20"/>
              </w:rPr>
              <w:t>3</w:t>
            </w:r>
          </w:p>
        </w:tc>
        <w:tc>
          <w:tcPr>
            <w:tcW w:w="689" w:type="pct"/>
            <w:shd w:val="clear" w:color="auto" w:fill="FAF9F8"/>
          </w:tcPr>
          <w:p w14:paraId="39F7D5CD" w14:textId="7B503B67" w:rsidR="00F80414" w:rsidRPr="00FD75A9" w:rsidRDefault="00F80414" w:rsidP="00B30536">
            <w:pPr>
              <w:jc w:val="right"/>
              <w:rPr>
                <w:sz w:val="20"/>
                <w:szCs w:val="20"/>
              </w:rPr>
            </w:pPr>
            <w:r w:rsidRPr="00FD75A9">
              <w:rPr>
                <w:sz w:val="20"/>
                <w:szCs w:val="20"/>
              </w:rPr>
              <w:t>6</w:t>
            </w:r>
          </w:p>
        </w:tc>
        <w:tc>
          <w:tcPr>
            <w:tcW w:w="689" w:type="pct"/>
            <w:shd w:val="clear" w:color="auto" w:fill="FAF9F8"/>
          </w:tcPr>
          <w:p w14:paraId="73D1E4EC" w14:textId="114F0D49"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56482E90" w14:textId="6747E9E1"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2A2F3BD5" w14:textId="244CD3C2"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711714F8" w14:textId="4DDEC08E" w:rsidR="00F80414" w:rsidRPr="00FD75A9" w:rsidRDefault="00F80414" w:rsidP="00B30536">
            <w:pPr>
              <w:jc w:val="right"/>
              <w:rPr>
                <w:sz w:val="20"/>
                <w:szCs w:val="20"/>
              </w:rPr>
            </w:pPr>
            <w:r w:rsidRPr="00FD75A9">
              <w:rPr>
                <w:sz w:val="20"/>
                <w:szCs w:val="20"/>
              </w:rPr>
              <w:t>9</w:t>
            </w:r>
          </w:p>
        </w:tc>
      </w:tr>
      <w:tr w:rsidR="00F80414" w:rsidRPr="00FD75A9" w14:paraId="76848610" w14:textId="77777777" w:rsidTr="00F80414">
        <w:tc>
          <w:tcPr>
            <w:tcW w:w="789" w:type="pct"/>
            <w:vAlign w:val="bottom"/>
          </w:tcPr>
          <w:p w14:paraId="2FAF6883" w14:textId="36B5C417" w:rsidR="00F80414" w:rsidRPr="00FD75A9" w:rsidRDefault="00F80414" w:rsidP="008F6E78">
            <w:pPr>
              <w:rPr>
                <w:sz w:val="20"/>
                <w:szCs w:val="20"/>
              </w:rPr>
            </w:pPr>
            <w:r w:rsidRPr="00F0567C">
              <w:rPr>
                <w:rFonts w:eastAsia="Times New Roman" w:cs="Calibri"/>
                <w:color w:val="000000"/>
                <w:lang w:val="it" w:eastAsia="en-AU"/>
              </w:rPr>
              <w:t>WA</w:t>
            </w:r>
          </w:p>
        </w:tc>
        <w:tc>
          <w:tcPr>
            <w:tcW w:w="765" w:type="pct"/>
          </w:tcPr>
          <w:p w14:paraId="77493C02" w14:textId="3E14953A" w:rsidR="00F80414" w:rsidRPr="00FD75A9" w:rsidRDefault="00F80414" w:rsidP="00B30536">
            <w:pPr>
              <w:jc w:val="right"/>
              <w:rPr>
                <w:sz w:val="20"/>
                <w:szCs w:val="20"/>
              </w:rPr>
            </w:pPr>
            <w:r w:rsidRPr="00FD75A9">
              <w:rPr>
                <w:sz w:val="20"/>
                <w:szCs w:val="20"/>
              </w:rPr>
              <w:t>1</w:t>
            </w:r>
          </w:p>
        </w:tc>
        <w:tc>
          <w:tcPr>
            <w:tcW w:w="689" w:type="pct"/>
          </w:tcPr>
          <w:p w14:paraId="4F90116F" w14:textId="7CF0174D" w:rsidR="00F80414" w:rsidRPr="00FD75A9" w:rsidRDefault="00F80414" w:rsidP="00B30536">
            <w:pPr>
              <w:jc w:val="right"/>
              <w:rPr>
                <w:sz w:val="20"/>
                <w:szCs w:val="20"/>
              </w:rPr>
            </w:pPr>
            <w:r w:rsidRPr="00FD75A9">
              <w:rPr>
                <w:sz w:val="20"/>
                <w:szCs w:val="20"/>
              </w:rPr>
              <w:t>5</w:t>
            </w:r>
          </w:p>
        </w:tc>
        <w:tc>
          <w:tcPr>
            <w:tcW w:w="689" w:type="pct"/>
          </w:tcPr>
          <w:p w14:paraId="64F9C123" w14:textId="6B04466D" w:rsidR="00F80414" w:rsidRPr="00FD75A9" w:rsidRDefault="00F80414" w:rsidP="00B30536">
            <w:pPr>
              <w:jc w:val="right"/>
              <w:rPr>
                <w:sz w:val="20"/>
                <w:szCs w:val="20"/>
              </w:rPr>
            </w:pPr>
            <w:r w:rsidRPr="00FD75A9">
              <w:rPr>
                <w:sz w:val="20"/>
                <w:szCs w:val="20"/>
              </w:rPr>
              <w:t>1</w:t>
            </w:r>
          </w:p>
        </w:tc>
        <w:tc>
          <w:tcPr>
            <w:tcW w:w="689" w:type="pct"/>
          </w:tcPr>
          <w:p w14:paraId="5C73588B" w14:textId="371FBB96" w:rsidR="00F80414" w:rsidRPr="00FD75A9" w:rsidRDefault="00F80414" w:rsidP="00B30536">
            <w:pPr>
              <w:jc w:val="right"/>
              <w:rPr>
                <w:sz w:val="20"/>
                <w:szCs w:val="20"/>
              </w:rPr>
            </w:pPr>
            <w:r w:rsidRPr="00FD75A9">
              <w:rPr>
                <w:sz w:val="20"/>
                <w:szCs w:val="20"/>
              </w:rPr>
              <w:t>0</w:t>
            </w:r>
          </w:p>
        </w:tc>
        <w:tc>
          <w:tcPr>
            <w:tcW w:w="689" w:type="pct"/>
          </w:tcPr>
          <w:p w14:paraId="5018BDDD" w14:textId="414B4740" w:rsidR="00F80414" w:rsidRPr="00FD75A9" w:rsidRDefault="00F80414" w:rsidP="00B30536">
            <w:pPr>
              <w:jc w:val="right"/>
              <w:rPr>
                <w:sz w:val="20"/>
                <w:szCs w:val="20"/>
              </w:rPr>
            </w:pPr>
            <w:r w:rsidRPr="00FD75A9">
              <w:rPr>
                <w:sz w:val="20"/>
                <w:szCs w:val="20"/>
              </w:rPr>
              <w:t>0</w:t>
            </w:r>
          </w:p>
        </w:tc>
        <w:tc>
          <w:tcPr>
            <w:tcW w:w="689" w:type="pct"/>
          </w:tcPr>
          <w:p w14:paraId="60389A4E" w14:textId="22AA4C75" w:rsidR="00F80414" w:rsidRPr="00FD75A9" w:rsidRDefault="00F80414" w:rsidP="00B30536">
            <w:pPr>
              <w:jc w:val="right"/>
              <w:rPr>
                <w:sz w:val="20"/>
                <w:szCs w:val="20"/>
              </w:rPr>
            </w:pPr>
            <w:r w:rsidRPr="00FD75A9">
              <w:rPr>
                <w:sz w:val="20"/>
                <w:szCs w:val="20"/>
              </w:rPr>
              <w:t>7</w:t>
            </w:r>
          </w:p>
        </w:tc>
      </w:tr>
      <w:tr w:rsidR="00F80414" w:rsidRPr="00FD75A9" w14:paraId="64D7D258" w14:textId="77777777" w:rsidTr="00F80414">
        <w:tc>
          <w:tcPr>
            <w:tcW w:w="789" w:type="pct"/>
            <w:shd w:val="clear" w:color="auto" w:fill="FAF9F8"/>
            <w:vAlign w:val="bottom"/>
          </w:tcPr>
          <w:p w14:paraId="55180AF3" w14:textId="3E28AA89" w:rsidR="00F80414" w:rsidRPr="00FD75A9" w:rsidRDefault="00F80414" w:rsidP="008F6E78">
            <w:pPr>
              <w:rPr>
                <w:sz w:val="20"/>
                <w:szCs w:val="20"/>
              </w:rPr>
            </w:pPr>
            <w:r w:rsidRPr="00F0567C">
              <w:rPr>
                <w:rFonts w:eastAsia="Times New Roman" w:cs="Calibri"/>
                <w:color w:val="000000"/>
                <w:lang w:val="it" w:eastAsia="en-AU"/>
              </w:rPr>
              <w:t>SA</w:t>
            </w:r>
          </w:p>
        </w:tc>
        <w:tc>
          <w:tcPr>
            <w:tcW w:w="765" w:type="pct"/>
            <w:shd w:val="clear" w:color="auto" w:fill="FAF9F8"/>
          </w:tcPr>
          <w:p w14:paraId="1668DEED" w14:textId="0F24F62F" w:rsidR="00F80414" w:rsidRPr="00FD75A9" w:rsidRDefault="00F80414" w:rsidP="00B30536">
            <w:pPr>
              <w:jc w:val="right"/>
              <w:rPr>
                <w:sz w:val="20"/>
                <w:szCs w:val="20"/>
              </w:rPr>
            </w:pPr>
            <w:r w:rsidRPr="00FD75A9">
              <w:rPr>
                <w:sz w:val="20"/>
                <w:szCs w:val="20"/>
              </w:rPr>
              <w:t>1</w:t>
            </w:r>
          </w:p>
        </w:tc>
        <w:tc>
          <w:tcPr>
            <w:tcW w:w="689" w:type="pct"/>
            <w:shd w:val="clear" w:color="auto" w:fill="FAF9F8"/>
          </w:tcPr>
          <w:p w14:paraId="503CEAFC" w14:textId="48F0A8E9" w:rsidR="00F80414" w:rsidRPr="00FD75A9" w:rsidRDefault="00F80414" w:rsidP="00B30536">
            <w:pPr>
              <w:jc w:val="right"/>
              <w:rPr>
                <w:sz w:val="20"/>
                <w:szCs w:val="20"/>
              </w:rPr>
            </w:pPr>
            <w:r w:rsidRPr="00FD75A9">
              <w:rPr>
                <w:sz w:val="20"/>
                <w:szCs w:val="20"/>
              </w:rPr>
              <w:t>7</w:t>
            </w:r>
          </w:p>
        </w:tc>
        <w:tc>
          <w:tcPr>
            <w:tcW w:w="689" w:type="pct"/>
            <w:shd w:val="clear" w:color="auto" w:fill="FAF9F8"/>
          </w:tcPr>
          <w:p w14:paraId="4C0FAAED" w14:textId="473C2EA4" w:rsidR="00F80414" w:rsidRPr="00FD75A9" w:rsidRDefault="00F80414" w:rsidP="00B30536">
            <w:pPr>
              <w:jc w:val="right"/>
              <w:rPr>
                <w:sz w:val="20"/>
                <w:szCs w:val="20"/>
              </w:rPr>
            </w:pPr>
            <w:r w:rsidRPr="00FD75A9">
              <w:rPr>
                <w:sz w:val="20"/>
                <w:szCs w:val="20"/>
              </w:rPr>
              <w:t>2</w:t>
            </w:r>
          </w:p>
        </w:tc>
        <w:tc>
          <w:tcPr>
            <w:tcW w:w="689" w:type="pct"/>
            <w:shd w:val="clear" w:color="auto" w:fill="FAF9F8"/>
          </w:tcPr>
          <w:p w14:paraId="101D16B9" w14:textId="3533DB55"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46FD7BC4" w14:textId="1B51A61A"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0581EFC3" w14:textId="535F7DE1" w:rsidR="00F80414" w:rsidRPr="00FD75A9" w:rsidRDefault="00F80414" w:rsidP="00B30536">
            <w:pPr>
              <w:jc w:val="right"/>
              <w:rPr>
                <w:sz w:val="20"/>
                <w:szCs w:val="20"/>
              </w:rPr>
            </w:pPr>
            <w:r w:rsidRPr="00FD75A9">
              <w:rPr>
                <w:sz w:val="20"/>
                <w:szCs w:val="20"/>
              </w:rPr>
              <w:t>10</w:t>
            </w:r>
          </w:p>
        </w:tc>
      </w:tr>
      <w:tr w:rsidR="00F80414" w:rsidRPr="00FD75A9" w14:paraId="6334AB20" w14:textId="77777777" w:rsidTr="00F80414">
        <w:tc>
          <w:tcPr>
            <w:tcW w:w="789" w:type="pct"/>
            <w:vAlign w:val="bottom"/>
          </w:tcPr>
          <w:p w14:paraId="46AD7740" w14:textId="11B884C4" w:rsidR="00F80414" w:rsidRPr="00FD75A9" w:rsidRDefault="00F80414" w:rsidP="008F6E78">
            <w:pPr>
              <w:rPr>
                <w:sz w:val="20"/>
                <w:szCs w:val="20"/>
              </w:rPr>
            </w:pPr>
            <w:r w:rsidRPr="00F0567C">
              <w:rPr>
                <w:rFonts w:eastAsia="Times New Roman" w:cs="Calibri"/>
                <w:color w:val="000000"/>
                <w:lang w:val="it" w:eastAsia="en-AU"/>
              </w:rPr>
              <w:t>TAS</w:t>
            </w:r>
          </w:p>
        </w:tc>
        <w:tc>
          <w:tcPr>
            <w:tcW w:w="765" w:type="pct"/>
          </w:tcPr>
          <w:p w14:paraId="07C4A0B4" w14:textId="01F2B19A" w:rsidR="00F80414" w:rsidRPr="00FD75A9" w:rsidRDefault="00F80414" w:rsidP="00B30536">
            <w:pPr>
              <w:jc w:val="right"/>
              <w:rPr>
                <w:sz w:val="20"/>
                <w:szCs w:val="20"/>
              </w:rPr>
            </w:pPr>
            <w:r w:rsidRPr="00FD75A9">
              <w:rPr>
                <w:sz w:val="20"/>
                <w:szCs w:val="20"/>
              </w:rPr>
              <w:t>2</w:t>
            </w:r>
          </w:p>
        </w:tc>
        <w:tc>
          <w:tcPr>
            <w:tcW w:w="689" w:type="pct"/>
          </w:tcPr>
          <w:p w14:paraId="1D55D3B0" w14:textId="7F4036CF" w:rsidR="00F80414" w:rsidRPr="00FD75A9" w:rsidRDefault="00F80414" w:rsidP="00B30536">
            <w:pPr>
              <w:jc w:val="right"/>
              <w:rPr>
                <w:sz w:val="20"/>
                <w:szCs w:val="20"/>
              </w:rPr>
            </w:pPr>
            <w:r w:rsidRPr="00FD75A9">
              <w:rPr>
                <w:sz w:val="20"/>
                <w:szCs w:val="20"/>
              </w:rPr>
              <w:t>1</w:t>
            </w:r>
          </w:p>
        </w:tc>
        <w:tc>
          <w:tcPr>
            <w:tcW w:w="689" w:type="pct"/>
          </w:tcPr>
          <w:p w14:paraId="00A6C68E" w14:textId="250E031D" w:rsidR="00F80414" w:rsidRPr="00FD75A9" w:rsidRDefault="00F80414" w:rsidP="00B30536">
            <w:pPr>
              <w:jc w:val="right"/>
              <w:rPr>
                <w:sz w:val="20"/>
                <w:szCs w:val="20"/>
              </w:rPr>
            </w:pPr>
            <w:r w:rsidRPr="00FD75A9">
              <w:rPr>
                <w:sz w:val="20"/>
                <w:szCs w:val="20"/>
              </w:rPr>
              <w:t>1</w:t>
            </w:r>
          </w:p>
        </w:tc>
        <w:tc>
          <w:tcPr>
            <w:tcW w:w="689" w:type="pct"/>
          </w:tcPr>
          <w:p w14:paraId="191BF13B" w14:textId="2B734A8A" w:rsidR="00F80414" w:rsidRPr="00FD75A9" w:rsidRDefault="00F80414" w:rsidP="00B30536">
            <w:pPr>
              <w:jc w:val="right"/>
              <w:rPr>
                <w:sz w:val="20"/>
                <w:szCs w:val="20"/>
              </w:rPr>
            </w:pPr>
            <w:r w:rsidRPr="00FD75A9">
              <w:rPr>
                <w:sz w:val="20"/>
                <w:szCs w:val="20"/>
              </w:rPr>
              <w:t>0</w:t>
            </w:r>
          </w:p>
        </w:tc>
        <w:tc>
          <w:tcPr>
            <w:tcW w:w="689" w:type="pct"/>
          </w:tcPr>
          <w:p w14:paraId="60022E63" w14:textId="791337F4" w:rsidR="00F80414" w:rsidRPr="00FD75A9" w:rsidRDefault="00F80414" w:rsidP="00B30536">
            <w:pPr>
              <w:jc w:val="right"/>
              <w:rPr>
                <w:sz w:val="20"/>
                <w:szCs w:val="20"/>
              </w:rPr>
            </w:pPr>
            <w:r w:rsidRPr="00FD75A9">
              <w:rPr>
                <w:sz w:val="20"/>
                <w:szCs w:val="20"/>
              </w:rPr>
              <w:t>0</w:t>
            </w:r>
          </w:p>
        </w:tc>
        <w:tc>
          <w:tcPr>
            <w:tcW w:w="689" w:type="pct"/>
          </w:tcPr>
          <w:p w14:paraId="4EBA7C05" w14:textId="655A3E21" w:rsidR="00F80414" w:rsidRPr="00FD75A9" w:rsidRDefault="00F80414" w:rsidP="00B30536">
            <w:pPr>
              <w:jc w:val="right"/>
              <w:rPr>
                <w:sz w:val="20"/>
                <w:szCs w:val="20"/>
              </w:rPr>
            </w:pPr>
            <w:r w:rsidRPr="00FD75A9">
              <w:rPr>
                <w:sz w:val="20"/>
                <w:szCs w:val="20"/>
              </w:rPr>
              <w:t>4</w:t>
            </w:r>
          </w:p>
        </w:tc>
      </w:tr>
      <w:tr w:rsidR="00F80414" w:rsidRPr="00FD75A9" w14:paraId="13CC6B4A" w14:textId="77777777" w:rsidTr="00F80414">
        <w:tc>
          <w:tcPr>
            <w:tcW w:w="789" w:type="pct"/>
            <w:shd w:val="clear" w:color="auto" w:fill="FAF9F8"/>
            <w:vAlign w:val="bottom"/>
          </w:tcPr>
          <w:p w14:paraId="7695C642" w14:textId="561062A9" w:rsidR="00F80414" w:rsidRPr="00FD75A9" w:rsidRDefault="00F80414" w:rsidP="008F6E78">
            <w:pPr>
              <w:rPr>
                <w:sz w:val="20"/>
                <w:szCs w:val="20"/>
              </w:rPr>
            </w:pPr>
            <w:r w:rsidRPr="00F0567C">
              <w:rPr>
                <w:rFonts w:eastAsia="Times New Roman" w:cs="Calibri"/>
                <w:color w:val="000000"/>
                <w:lang w:val="it" w:eastAsia="en-AU"/>
              </w:rPr>
              <w:t>ACT</w:t>
            </w:r>
          </w:p>
        </w:tc>
        <w:tc>
          <w:tcPr>
            <w:tcW w:w="765" w:type="pct"/>
            <w:shd w:val="clear" w:color="auto" w:fill="FAF9F8"/>
          </w:tcPr>
          <w:p w14:paraId="6AE3D7CC" w14:textId="48415D5B" w:rsidR="00F80414" w:rsidRPr="00FD75A9" w:rsidRDefault="00F80414" w:rsidP="00B30536">
            <w:pPr>
              <w:jc w:val="right"/>
              <w:rPr>
                <w:sz w:val="20"/>
                <w:szCs w:val="20"/>
              </w:rPr>
            </w:pPr>
            <w:r w:rsidRPr="00FD75A9">
              <w:rPr>
                <w:sz w:val="20"/>
                <w:szCs w:val="20"/>
              </w:rPr>
              <w:t>3</w:t>
            </w:r>
          </w:p>
        </w:tc>
        <w:tc>
          <w:tcPr>
            <w:tcW w:w="689" w:type="pct"/>
            <w:shd w:val="clear" w:color="auto" w:fill="FAF9F8"/>
          </w:tcPr>
          <w:p w14:paraId="41DA96D5" w14:textId="2FACEE4D" w:rsidR="00F80414" w:rsidRPr="00FD75A9" w:rsidRDefault="00F80414" w:rsidP="00B30536">
            <w:pPr>
              <w:jc w:val="right"/>
              <w:rPr>
                <w:sz w:val="20"/>
                <w:szCs w:val="20"/>
              </w:rPr>
            </w:pPr>
            <w:r w:rsidRPr="00FD75A9">
              <w:rPr>
                <w:sz w:val="20"/>
                <w:szCs w:val="20"/>
              </w:rPr>
              <w:t>2</w:t>
            </w:r>
          </w:p>
        </w:tc>
        <w:tc>
          <w:tcPr>
            <w:tcW w:w="689" w:type="pct"/>
            <w:shd w:val="clear" w:color="auto" w:fill="FAF9F8"/>
          </w:tcPr>
          <w:p w14:paraId="79D94E9B" w14:textId="057424C7"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20A9795C" w14:textId="316800F9"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20A18B60" w14:textId="4D11B58C" w:rsidR="00F80414" w:rsidRPr="00FD75A9" w:rsidRDefault="00F80414" w:rsidP="00B30536">
            <w:pPr>
              <w:jc w:val="right"/>
              <w:rPr>
                <w:sz w:val="20"/>
                <w:szCs w:val="20"/>
              </w:rPr>
            </w:pPr>
            <w:r w:rsidRPr="00FD75A9">
              <w:rPr>
                <w:sz w:val="20"/>
                <w:szCs w:val="20"/>
              </w:rPr>
              <w:t>0</w:t>
            </w:r>
          </w:p>
        </w:tc>
        <w:tc>
          <w:tcPr>
            <w:tcW w:w="689" w:type="pct"/>
            <w:shd w:val="clear" w:color="auto" w:fill="FAF9F8"/>
          </w:tcPr>
          <w:p w14:paraId="706CAA41" w14:textId="353054F8" w:rsidR="00F80414" w:rsidRPr="00FD75A9" w:rsidRDefault="00F80414" w:rsidP="00B30536">
            <w:pPr>
              <w:jc w:val="right"/>
              <w:rPr>
                <w:sz w:val="20"/>
                <w:szCs w:val="20"/>
              </w:rPr>
            </w:pPr>
            <w:r w:rsidRPr="00FD75A9">
              <w:rPr>
                <w:sz w:val="20"/>
                <w:szCs w:val="20"/>
              </w:rPr>
              <w:t>5</w:t>
            </w:r>
          </w:p>
        </w:tc>
      </w:tr>
      <w:tr w:rsidR="00F80414" w:rsidRPr="00FD75A9" w14:paraId="5210A113" w14:textId="77777777" w:rsidTr="00F80414">
        <w:tc>
          <w:tcPr>
            <w:tcW w:w="789" w:type="pct"/>
            <w:vAlign w:val="bottom"/>
          </w:tcPr>
          <w:p w14:paraId="243CAA1C" w14:textId="6C631442" w:rsidR="00F80414" w:rsidRPr="00FD75A9" w:rsidRDefault="00F80414" w:rsidP="008F6E78">
            <w:pPr>
              <w:rPr>
                <w:sz w:val="20"/>
                <w:szCs w:val="20"/>
              </w:rPr>
            </w:pPr>
            <w:r w:rsidRPr="00F0567C">
              <w:rPr>
                <w:rFonts w:eastAsia="Times New Roman" w:cs="Calibri"/>
                <w:color w:val="000000"/>
                <w:lang w:val="it" w:eastAsia="en-AU"/>
              </w:rPr>
              <w:t>NT</w:t>
            </w:r>
          </w:p>
        </w:tc>
        <w:tc>
          <w:tcPr>
            <w:tcW w:w="765" w:type="pct"/>
          </w:tcPr>
          <w:p w14:paraId="4656BECD" w14:textId="7A969C4F" w:rsidR="00F80414" w:rsidRPr="00FD75A9" w:rsidRDefault="00F80414" w:rsidP="00B30536">
            <w:pPr>
              <w:jc w:val="right"/>
              <w:rPr>
                <w:sz w:val="20"/>
                <w:szCs w:val="20"/>
              </w:rPr>
            </w:pPr>
            <w:r w:rsidRPr="00FD75A9">
              <w:rPr>
                <w:sz w:val="20"/>
                <w:szCs w:val="20"/>
              </w:rPr>
              <w:t>0</w:t>
            </w:r>
          </w:p>
        </w:tc>
        <w:tc>
          <w:tcPr>
            <w:tcW w:w="689" w:type="pct"/>
          </w:tcPr>
          <w:p w14:paraId="08E29505" w14:textId="7A651563" w:rsidR="00F80414" w:rsidRPr="00FD75A9" w:rsidRDefault="00F80414" w:rsidP="00B30536">
            <w:pPr>
              <w:jc w:val="right"/>
              <w:rPr>
                <w:sz w:val="20"/>
                <w:szCs w:val="20"/>
              </w:rPr>
            </w:pPr>
            <w:r w:rsidRPr="00FD75A9">
              <w:rPr>
                <w:sz w:val="20"/>
                <w:szCs w:val="20"/>
              </w:rPr>
              <w:t>5</w:t>
            </w:r>
          </w:p>
        </w:tc>
        <w:tc>
          <w:tcPr>
            <w:tcW w:w="689" w:type="pct"/>
          </w:tcPr>
          <w:p w14:paraId="777B8C6C" w14:textId="05AAE18E" w:rsidR="00F80414" w:rsidRPr="00FD75A9" w:rsidRDefault="00F80414" w:rsidP="00B30536">
            <w:pPr>
              <w:jc w:val="right"/>
              <w:rPr>
                <w:sz w:val="20"/>
                <w:szCs w:val="20"/>
              </w:rPr>
            </w:pPr>
            <w:r w:rsidRPr="00FD75A9">
              <w:rPr>
                <w:sz w:val="20"/>
                <w:szCs w:val="20"/>
              </w:rPr>
              <w:t>0</w:t>
            </w:r>
          </w:p>
        </w:tc>
        <w:tc>
          <w:tcPr>
            <w:tcW w:w="689" w:type="pct"/>
          </w:tcPr>
          <w:p w14:paraId="59C7007F" w14:textId="12813CFE" w:rsidR="00F80414" w:rsidRPr="00FD75A9" w:rsidRDefault="00F80414" w:rsidP="00B30536">
            <w:pPr>
              <w:jc w:val="right"/>
              <w:rPr>
                <w:sz w:val="20"/>
                <w:szCs w:val="20"/>
              </w:rPr>
            </w:pPr>
            <w:r w:rsidRPr="00FD75A9">
              <w:rPr>
                <w:sz w:val="20"/>
                <w:szCs w:val="20"/>
              </w:rPr>
              <w:t>0</w:t>
            </w:r>
          </w:p>
        </w:tc>
        <w:tc>
          <w:tcPr>
            <w:tcW w:w="689" w:type="pct"/>
          </w:tcPr>
          <w:p w14:paraId="426AEC51" w14:textId="71CEF99A" w:rsidR="00F80414" w:rsidRPr="00FD75A9" w:rsidRDefault="00F80414" w:rsidP="00B30536">
            <w:pPr>
              <w:jc w:val="right"/>
              <w:rPr>
                <w:sz w:val="20"/>
                <w:szCs w:val="20"/>
              </w:rPr>
            </w:pPr>
            <w:r w:rsidRPr="00FD75A9">
              <w:rPr>
                <w:sz w:val="20"/>
                <w:szCs w:val="20"/>
              </w:rPr>
              <w:t>0</w:t>
            </w:r>
          </w:p>
        </w:tc>
        <w:tc>
          <w:tcPr>
            <w:tcW w:w="689" w:type="pct"/>
          </w:tcPr>
          <w:p w14:paraId="1AF8B3A6" w14:textId="7AD79520" w:rsidR="00F80414" w:rsidRPr="00FD75A9" w:rsidRDefault="00F80414" w:rsidP="00B30536">
            <w:pPr>
              <w:jc w:val="right"/>
              <w:rPr>
                <w:sz w:val="20"/>
                <w:szCs w:val="20"/>
              </w:rPr>
            </w:pPr>
            <w:r w:rsidRPr="00FD75A9">
              <w:rPr>
                <w:sz w:val="20"/>
                <w:szCs w:val="20"/>
              </w:rPr>
              <w:t>5</w:t>
            </w:r>
          </w:p>
        </w:tc>
      </w:tr>
      <w:tr w:rsidR="00F80414" w:rsidRPr="00FD75A9" w14:paraId="04AAFD52" w14:textId="77777777" w:rsidTr="00F80414">
        <w:trPr>
          <w:trHeight w:val="69"/>
        </w:trPr>
        <w:tc>
          <w:tcPr>
            <w:tcW w:w="789" w:type="pct"/>
            <w:shd w:val="clear" w:color="auto" w:fill="E4E9F3"/>
            <w:vAlign w:val="bottom"/>
          </w:tcPr>
          <w:p w14:paraId="63003177" w14:textId="02D40995" w:rsidR="00F80414" w:rsidRPr="00FD75A9" w:rsidRDefault="00F80414" w:rsidP="008F6E78">
            <w:pPr>
              <w:rPr>
                <w:b/>
                <w:sz w:val="20"/>
                <w:szCs w:val="20"/>
              </w:rPr>
            </w:pPr>
            <w:r w:rsidRPr="00F0567C">
              <w:rPr>
                <w:rFonts w:eastAsia="Times New Roman" w:cs="Calibri"/>
                <w:b/>
                <w:bCs/>
                <w:color w:val="000000"/>
                <w:lang w:val="it" w:eastAsia="en-AU"/>
              </w:rPr>
              <w:t>Totale nazionale</w:t>
            </w:r>
          </w:p>
        </w:tc>
        <w:tc>
          <w:tcPr>
            <w:tcW w:w="765" w:type="pct"/>
            <w:shd w:val="clear" w:color="auto" w:fill="E4E9F3"/>
          </w:tcPr>
          <w:p w14:paraId="19767AB9" w14:textId="57E77AEA" w:rsidR="00F80414" w:rsidRPr="00FD75A9" w:rsidRDefault="00F80414" w:rsidP="00B30536">
            <w:pPr>
              <w:jc w:val="right"/>
              <w:rPr>
                <w:b/>
                <w:sz w:val="20"/>
                <w:szCs w:val="20"/>
              </w:rPr>
            </w:pPr>
            <w:r w:rsidRPr="00FD75A9">
              <w:rPr>
                <w:b/>
                <w:sz w:val="20"/>
                <w:szCs w:val="20"/>
              </w:rPr>
              <w:t>17</w:t>
            </w:r>
          </w:p>
        </w:tc>
        <w:tc>
          <w:tcPr>
            <w:tcW w:w="689" w:type="pct"/>
            <w:shd w:val="clear" w:color="auto" w:fill="E4E9F3"/>
          </w:tcPr>
          <w:p w14:paraId="714ED289" w14:textId="0F28668C" w:rsidR="00F80414" w:rsidRPr="00FD75A9" w:rsidRDefault="00F80414" w:rsidP="00B30536">
            <w:pPr>
              <w:jc w:val="right"/>
              <w:rPr>
                <w:b/>
                <w:sz w:val="20"/>
                <w:szCs w:val="20"/>
              </w:rPr>
            </w:pPr>
            <w:r w:rsidRPr="00FD75A9">
              <w:rPr>
                <w:b/>
                <w:sz w:val="20"/>
                <w:szCs w:val="20"/>
              </w:rPr>
              <w:t>47</w:t>
            </w:r>
          </w:p>
        </w:tc>
        <w:tc>
          <w:tcPr>
            <w:tcW w:w="689" w:type="pct"/>
            <w:shd w:val="clear" w:color="auto" w:fill="E4E9F3"/>
          </w:tcPr>
          <w:p w14:paraId="77EFCEF9" w14:textId="4D0FDFCE" w:rsidR="00F80414" w:rsidRPr="00FD75A9" w:rsidRDefault="00F80414" w:rsidP="00B30536">
            <w:pPr>
              <w:jc w:val="right"/>
              <w:rPr>
                <w:b/>
                <w:sz w:val="20"/>
                <w:szCs w:val="20"/>
              </w:rPr>
            </w:pPr>
            <w:r w:rsidRPr="00FD75A9">
              <w:rPr>
                <w:b/>
                <w:sz w:val="20"/>
                <w:szCs w:val="20"/>
              </w:rPr>
              <w:t>9</w:t>
            </w:r>
          </w:p>
        </w:tc>
        <w:tc>
          <w:tcPr>
            <w:tcW w:w="689" w:type="pct"/>
            <w:shd w:val="clear" w:color="auto" w:fill="E4E9F3"/>
          </w:tcPr>
          <w:p w14:paraId="45E41460" w14:textId="3FAE3EF1" w:rsidR="00F80414" w:rsidRPr="00FD75A9" w:rsidRDefault="00F80414" w:rsidP="00B30536">
            <w:pPr>
              <w:jc w:val="right"/>
              <w:rPr>
                <w:b/>
                <w:sz w:val="20"/>
                <w:szCs w:val="20"/>
              </w:rPr>
            </w:pPr>
            <w:r w:rsidRPr="00FD75A9">
              <w:rPr>
                <w:b/>
                <w:sz w:val="20"/>
                <w:szCs w:val="20"/>
              </w:rPr>
              <w:t>0</w:t>
            </w:r>
          </w:p>
        </w:tc>
        <w:tc>
          <w:tcPr>
            <w:tcW w:w="689" w:type="pct"/>
            <w:shd w:val="clear" w:color="auto" w:fill="E4E9F3"/>
          </w:tcPr>
          <w:p w14:paraId="59EE92B2" w14:textId="5CC428C3" w:rsidR="00F80414" w:rsidRPr="00FD75A9" w:rsidRDefault="00F80414" w:rsidP="00B30536">
            <w:pPr>
              <w:jc w:val="right"/>
              <w:rPr>
                <w:b/>
                <w:sz w:val="20"/>
                <w:szCs w:val="20"/>
              </w:rPr>
            </w:pPr>
            <w:r w:rsidRPr="00FD75A9">
              <w:rPr>
                <w:b/>
                <w:sz w:val="20"/>
                <w:szCs w:val="20"/>
              </w:rPr>
              <w:t>0</w:t>
            </w:r>
          </w:p>
        </w:tc>
        <w:tc>
          <w:tcPr>
            <w:tcW w:w="689" w:type="pct"/>
            <w:shd w:val="clear" w:color="auto" w:fill="E4E9F3"/>
          </w:tcPr>
          <w:p w14:paraId="307E9F1E" w14:textId="77777777" w:rsidR="00F80414" w:rsidRPr="00FD75A9" w:rsidRDefault="00F80414" w:rsidP="00B30536">
            <w:pPr>
              <w:jc w:val="right"/>
              <w:rPr>
                <w:b/>
                <w:sz w:val="20"/>
                <w:szCs w:val="20"/>
              </w:rPr>
            </w:pPr>
            <w:r w:rsidRPr="00FD75A9">
              <w:rPr>
                <w:b/>
                <w:sz w:val="20"/>
                <w:szCs w:val="20"/>
              </w:rPr>
              <w:t>73</w:t>
            </w:r>
          </w:p>
        </w:tc>
      </w:tr>
    </w:tbl>
    <w:p w14:paraId="222C8822" w14:textId="76073BB5" w:rsidR="008E35C9" w:rsidRDefault="005A3E79" w:rsidP="00B30536">
      <w:pPr>
        <w:spacing w:before="240" w:after="240" w:line="240" w:lineRule="auto"/>
      </w:pPr>
      <w:r w:rsidRPr="00030BB0">
        <w:rPr>
          <w:rFonts w:cs="Arial"/>
          <w:lang w:val="it-IT"/>
        </w:rPr>
        <w:t>Tabella 4: TAP Occupazione – progresso delle azioni per obiettivo nel 2022-2023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58"/>
        <w:gridCol w:w="1414"/>
        <w:gridCol w:w="1274"/>
        <w:gridCol w:w="1274"/>
        <w:gridCol w:w="1274"/>
        <w:gridCol w:w="1274"/>
        <w:gridCol w:w="1274"/>
      </w:tblGrid>
      <w:tr w:rsidR="00F80414" w:rsidRPr="00FD75A9" w14:paraId="600E313B" w14:textId="77777777" w:rsidTr="00F80414">
        <w:trPr>
          <w:jc w:val="right"/>
        </w:trPr>
        <w:tc>
          <w:tcPr>
            <w:tcW w:w="789" w:type="pct"/>
            <w:tcBorders>
              <w:top w:val="nil"/>
              <w:bottom w:val="single" w:sz="4" w:space="0" w:color="auto"/>
              <w:right w:val="single" w:sz="4" w:space="0" w:color="FFFFFF" w:themeColor="background1"/>
            </w:tcBorders>
            <w:shd w:val="clear" w:color="auto" w:fill="6C1740"/>
          </w:tcPr>
          <w:p w14:paraId="43718EB0" w14:textId="0D437F31" w:rsidR="00F80414" w:rsidRPr="00FD75A9" w:rsidRDefault="00F80414" w:rsidP="00F80414">
            <w:pPr>
              <w:rPr>
                <w:b/>
                <w:sz w:val="20"/>
                <w:szCs w:val="20"/>
              </w:rPr>
            </w:pPr>
            <w:bookmarkStart w:id="10" w:name="Title_04"/>
            <w:bookmarkEnd w:id="10"/>
            <w:r w:rsidRPr="00F80414">
              <w:rPr>
                <w:rFonts w:eastAsia="Times New Roman" w:cs="Calibri"/>
                <w:b/>
                <w:bCs/>
                <w:color w:val="FFFFFF" w:themeColor="background1"/>
                <w:lang w:val="it" w:eastAsia="en-AU"/>
              </w:rPr>
              <w:t>Obiettivo</w:t>
            </w:r>
          </w:p>
        </w:tc>
        <w:tc>
          <w:tcPr>
            <w:tcW w:w="765"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1549899B" w:rsidR="00F80414" w:rsidRPr="00FD75A9" w:rsidRDefault="00F80414" w:rsidP="00A85829">
            <w:pPr>
              <w:jc w:val="right"/>
              <w:rPr>
                <w:b/>
                <w:sz w:val="20"/>
                <w:szCs w:val="20"/>
              </w:rPr>
            </w:pPr>
            <w:r w:rsidRPr="003848ED">
              <w:rPr>
                <w:rFonts w:eastAsia="Times New Roman" w:cs="Calibri"/>
                <w:b/>
                <w:bCs/>
                <w:color w:val="FFFFFF" w:themeColor="background1"/>
                <w:lang w:val="it" w:eastAsia="en-AU"/>
              </w:rPr>
              <w:t>Completate</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07F67047" w:rsidR="00F80414" w:rsidRPr="00FD75A9" w:rsidRDefault="00F80414" w:rsidP="00A85829">
            <w:pPr>
              <w:jc w:val="right"/>
              <w:rPr>
                <w:b/>
                <w:sz w:val="20"/>
                <w:szCs w:val="20"/>
              </w:rPr>
            </w:pPr>
            <w:r w:rsidRPr="003848ED">
              <w:rPr>
                <w:rFonts w:eastAsia="Times New Roman" w:cs="Calibri"/>
                <w:b/>
                <w:bCs/>
                <w:color w:val="FFFFFF" w:themeColor="background1"/>
                <w:lang w:val="it" w:eastAsia="en-AU"/>
              </w:rPr>
              <w:t>In linea con i piani</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293F8409" w:rsidR="00F80414" w:rsidRPr="00FD75A9" w:rsidRDefault="00F80414" w:rsidP="00A85829">
            <w:pPr>
              <w:jc w:val="right"/>
              <w:rPr>
                <w:b/>
                <w:sz w:val="20"/>
                <w:szCs w:val="20"/>
              </w:rPr>
            </w:pPr>
            <w:r w:rsidRPr="003848ED">
              <w:rPr>
                <w:rFonts w:eastAsia="Times New Roman" w:cs="Calibri"/>
                <w:b/>
                <w:bCs/>
                <w:color w:val="FFFFFF" w:themeColor="background1"/>
                <w:lang w:val="it" w:eastAsia="en-AU"/>
              </w:rPr>
              <w:t>Alcuni ritardi</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4B60CE66" w:rsidR="00F80414" w:rsidRPr="00FD75A9" w:rsidRDefault="00F80414" w:rsidP="00A85829">
            <w:pPr>
              <w:jc w:val="right"/>
              <w:rPr>
                <w:b/>
                <w:sz w:val="20"/>
                <w:szCs w:val="20"/>
              </w:rPr>
            </w:pPr>
            <w:r w:rsidRPr="003848ED">
              <w:rPr>
                <w:rFonts w:eastAsia="Times New Roman" w:cs="Calibri"/>
                <w:b/>
                <w:bCs/>
                <w:color w:val="FFFFFF" w:themeColor="background1"/>
                <w:lang w:val="it" w:eastAsia="en-AU"/>
              </w:rPr>
              <w:t>In pausa</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7BB06DAB" w:rsidR="00F80414" w:rsidRPr="00FD75A9" w:rsidRDefault="00F80414" w:rsidP="00A85829">
            <w:pPr>
              <w:jc w:val="right"/>
              <w:rPr>
                <w:b/>
                <w:sz w:val="20"/>
                <w:szCs w:val="20"/>
              </w:rPr>
            </w:pPr>
            <w:r w:rsidRPr="003848ED">
              <w:rPr>
                <w:rFonts w:eastAsia="Times New Roman" w:cs="Calibri"/>
                <w:b/>
                <w:bCs/>
                <w:color w:val="FFFFFF" w:themeColor="background1"/>
                <w:lang w:val="it" w:eastAsia="en-AU"/>
              </w:rPr>
              <w:t>Avvio futuro</w:t>
            </w:r>
          </w:p>
        </w:tc>
        <w:tc>
          <w:tcPr>
            <w:tcW w:w="689" w:type="pct"/>
            <w:tcBorders>
              <w:top w:val="nil"/>
              <w:left w:val="single" w:sz="4" w:space="0" w:color="FFFFFF" w:themeColor="background1"/>
              <w:bottom w:val="single" w:sz="4" w:space="0" w:color="auto"/>
            </w:tcBorders>
            <w:shd w:val="clear" w:color="auto" w:fill="6C1740"/>
          </w:tcPr>
          <w:p w14:paraId="4A2DF49E" w14:textId="650DF4D4" w:rsidR="00F80414" w:rsidRPr="00FD75A9" w:rsidRDefault="00F80414" w:rsidP="00A85829">
            <w:pPr>
              <w:jc w:val="right"/>
              <w:rPr>
                <w:b/>
                <w:sz w:val="20"/>
                <w:szCs w:val="20"/>
              </w:rPr>
            </w:pPr>
            <w:r w:rsidRPr="003848ED">
              <w:rPr>
                <w:rFonts w:eastAsia="Times New Roman" w:cs="Calibri"/>
                <w:b/>
                <w:bCs/>
                <w:color w:val="FFFFFF" w:themeColor="background1"/>
                <w:lang w:val="it" w:eastAsia="en-AU"/>
              </w:rPr>
              <w:t>Totale</w:t>
            </w:r>
          </w:p>
        </w:tc>
      </w:tr>
      <w:tr w:rsidR="00F80414" w:rsidRPr="00FD75A9" w14:paraId="53AC3D9D" w14:textId="77777777" w:rsidTr="00F80414">
        <w:trPr>
          <w:jc w:val="right"/>
        </w:trPr>
        <w:tc>
          <w:tcPr>
            <w:tcW w:w="789" w:type="pct"/>
            <w:tcBorders>
              <w:top w:val="single" w:sz="4" w:space="0" w:color="auto"/>
            </w:tcBorders>
            <w:vAlign w:val="bottom"/>
          </w:tcPr>
          <w:p w14:paraId="1B838A7D" w14:textId="6E274468" w:rsidR="00F80414" w:rsidRPr="00FD75A9" w:rsidRDefault="00F80414" w:rsidP="008F6E78">
            <w:pPr>
              <w:rPr>
                <w:sz w:val="20"/>
                <w:szCs w:val="20"/>
              </w:rPr>
            </w:pPr>
            <w:r w:rsidRPr="00F0567C">
              <w:rPr>
                <w:rFonts w:eastAsia="Times New Roman" w:cs="Calibri"/>
                <w:color w:val="000000"/>
                <w:lang w:val="it" w:eastAsia="en-AU"/>
              </w:rPr>
              <w:t>Obiettivo 1</w:t>
            </w:r>
          </w:p>
        </w:tc>
        <w:tc>
          <w:tcPr>
            <w:tcW w:w="765" w:type="pct"/>
            <w:tcBorders>
              <w:top w:val="single" w:sz="4" w:space="0" w:color="auto"/>
            </w:tcBorders>
          </w:tcPr>
          <w:p w14:paraId="2064A006" w14:textId="00D053BC" w:rsidR="00F80414" w:rsidRPr="00FD75A9" w:rsidRDefault="00F80414" w:rsidP="00A85829">
            <w:pPr>
              <w:jc w:val="right"/>
              <w:rPr>
                <w:sz w:val="20"/>
                <w:szCs w:val="20"/>
              </w:rPr>
            </w:pPr>
            <w:r w:rsidRPr="00FD75A9">
              <w:rPr>
                <w:sz w:val="20"/>
                <w:szCs w:val="20"/>
              </w:rPr>
              <w:t>12</w:t>
            </w:r>
          </w:p>
        </w:tc>
        <w:tc>
          <w:tcPr>
            <w:tcW w:w="689" w:type="pct"/>
            <w:tcBorders>
              <w:top w:val="single" w:sz="4" w:space="0" w:color="auto"/>
            </w:tcBorders>
          </w:tcPr>
          <w:p w14:paraId="4F5BCC03" w14:textId="7509CE67" w:rsidR="00F80414" w:rsidRPr="00FD75A9" w:rsidRDefault="00F80414" w:rsidP="00A85829">
            <w:pPr>
              <w:jc w:val="right"/>
              <w:rPr>
                <w:sz w:val="20"/>
                <w:szCs w:val="20"/>
              </w:rPr>
            </w:pPr>
            <w:r w:rsidRPr="00FD75A9">
              <w:rPr>
                <w:sz w:val="20"/>
                <w:szCs w:val="20"/>
              </w:rPr>
              <w:t>28</w:t>
            </w:r>
          </w:p>
        </w:tc>
        <w:tc>
          <w:tcPr>
            <w:tcW w:w="689" w:type="pct"/>
            <w:tcBorders>
              <w:top w:val="single" w:sz="4" w:space="0" w:color="auto"/>
            </w:tcBorders>
          </w:tcPr>
          <w:p w14:paraId="0FAE7406" w14:textId="14404D31" w:rsidR="00F80414" w:rsidRPr="00FD75A9" w:rsidRDefault="00F80414" w:rsidP="00A85829">
            <w:pPr>
              <w:jc w:val="right"/>
              <w:rPr>
                <w:sz w:val="20"/>
                <w:szCs w:val="20"/>
              </w:rPr>
            </w:pPr>
            <w:r w:rsidRPr="00FD75A9">
              <w:rPr>
                <w:sz w:val="20"/>
                <w:szCs w:val="20"/>
              </w:rPr>
              <w:t>8</w:t>
            </w:r>
          </w:p>
        </w:tc>
        <w:tc>
          <w:tcPr>
            <w:tcW w:w="689" w:type="pct"/>
            <w:tcBorders>
              <w:top w:val="single" w:sz="4" w:space="0" w:color="auto"/>
            </w:tcBorders>
          </w:tcPr>
          <w:p w14:paraId="32A5B0FE" w14:textId="56C5D29D" w:rsidR="00F80414" w:rsidRPr="00FD75A9" w:rsidRDefault="00F80414" w:rsidP="00A85829">
            <w:pPr>
              <w:jc w:val="right"/>
              <w:rPr>
                <w:sz w:val="20"/>
                <w:szCs w:val="20"/>
              </w:rPr>
            </w:pPr>
            <w:r w:rsidRPr="00FD75A9">
              <w:rPr>
                <w:sz w:val="20"/>
                <w:szCs w:val="20"/>
              </w:rPr>
              <w:t>0</w:t>
            </w:r>
          </w:p>
        </w:tc>
        <w:tc>
          <w:tcPr>
            <w:tcW w:w="689" w:type="pct"/>
            <w:tcBorders>
              <w:top w:val="single" w:sz="4" w:space="0" w:color="auto"/>
            </w:tcBorders>
          </w:tcPr>
          <w:p w14:paraId="1983DD90" w14:textId="0A4D66D0" w:rsidR="00F80414" w:rsidRPr="00FD75A9" w:rsidRDefault="00F80414" w:rsidP="00A85829">
            <w:pPr>
              <w:jc w:val="right"/>
              <w:rPr>
                <w:sz w:val="20"/>
                <w:szCs w:val="20"/>
              </w:rPr>
            </w:pPr>
            <w:r w:rsidRPr="00FD75A9">
              <w:rPr>
                <w:sz w:val="20"/>
                <w:szCs w:val="20"/>
              </w:rPr>
              <w:t>0</w:t>
            </w:r>
          </w:p>
        </w:tc>
        <w:tc>
          <w:tcPr>
            <w:tcW w:w="689" w:type="pct"/>
            <w:tcBorders>
              <w:top w:val="single" w:sz="4" w:space="0" w:color="auto"/>
            </w:tcBorders>
          </w:tcPr>
          <w:p w14:paraId="72D79641" w14:textId="5828EE3D" w:rsidR="00F80414" w:rsidRPr="00FD75A9" w:rsidRDefault="00F80414" w:rsidP="00A85829">
            <w:pPr>
              <w:jc w:val="right"/>
              <w:rPr>
                <w:sz w:val="20"/>
                <w:szCs w:val="20"/>
              </w:rPr>
            </w:pPr>
            <w:r w:rsidRPr="00FD75A9">
              <w:rPr>
                <w:sz w:val="20"/>
                <w:szCs w:val="20"/>
              </w:rPr>
              <w:t>48</w:t>
            </w:r>
          </w:p>
        </w:tc>
      </w:tr>
      <w:tr w:rsidR="00F80414" w:rsidRPr="00FD75A9" w14:paraId="0E42F2F1" w14:textId="77777777" w:rsidTr="00F80414">
        <w:trPr>
          <w:jc w:val="right"/>
        </w:trPr>
        <w:tc>
          <w:tcPr>
            <w:tcW w:w="789" w:type="pct"/>
            <w:shd w:val="clear" w:color="auto" w:fill="FAF9F8"/>
            <w:vAlign w:val="bottom"/>
          </w:tcPr>
          <w:p w14:paraId="11C48F92" w14:textId="6620384C" w:rsidR="00F80414" w:rsidRPr="00FD75A9" w:rsidRDefault="00F80414" w:rsidP="008F6E78">
            <w:pPr>
              <w:rPr>
                <w:sz w:val="20"/>
                <w:szCs w:val="20"/>
              </w:rPr>
            </w:pPr>
            <w:r w:rsidRPr="00F0567C">
              <w:rPr>
                <w:rFonts w:eastAsia="Times New Roman" w:cs="Calibri"/>
                <w:color w:val="000000"/>
                <w:lang w:val="it" w:eastAsia="en-AU"/>
              </w:rPr>
              <w:t>Obiettivo 2</w:t>
            </w:r>
          </w:p>
        </w:tc>
        <w:tc>
          <w:tcPr>
            <w:tcW w:w="765" w:type="pct"/>
            <w:shd w:val="clear" w:color="auto" w:fill="FAF9F8"/>
          </w:tcPr>
          <w:p w14:paraId="3CC49E38" w14:textId="641DB4B4" w:rsidR="00F80414" w:rsidRPr="00FD75A9" w:rsidRDefault="00F80414" w:rsidP="00A85829">
            <w:pPr>
              <w:jc w:val="right"/>
              <w:rPr>
                <w:sz w:val="20"/>
                <w:szCs w:val="20"/>
              </w:rPr>
            </w:pPr>
            <w:r w:rsidRPr="00FD75A9">
              <w:rPr>
                <w:sz w:val="20"/>
                <w:szCs w:val="20"/>
              </w:rPr>
              <w:t>5</w:t>
            </w:r>
          </w:p>
        </w:tc>
        <w:tc>
          <w:tcPr>
            <w:tcW w:w="689" w:type="pct"/>
            <w:shd w:val="clear" w:color="auto" w:fill="FAF9F8"/>
          </w:tcPr>
          <w:p w14:paraId="5DF69D70" w14:textId="7963C340" w:rsidR="00F80414" w:rsidRPr="00FD75A9" w:rsidRDefault="00F80414" w:rsidP="00A85829">
            <w:pPr>
              <w:jc w:val="right"/>
              <w:rPr>
                <w:sz w:val="20"/>
                <w:szCs w:val="20"/>
              </w:rPr>
            </w:pPr>
            <w:r w:rsidRPr="00FD75A9">
              <w:rPr>
                <w:sz w:val="20"/>
                <w:szCs w:val="20"/>
              </w:rPr>
              <w:t>19</w:t>
            </w:r>
          </w:p>
        </w:tc>
        <w:tc>
          <w:tcPr>
            <w:tcW w:w="689" w:type="pct"/>
            <w:shd w:val="clear" w:color="auto" w:fill="FAF9F8"/>
          </w:tcPr>
          <w:p w14:paraId="5902BC62" w14:textId="3140F7EF" w:rsidR="00F80414" w:rsidRPr="00FD75A9" w:rsidRDefault="00F80414" w:rsidP="00A85829">
            <w:pPr>
              <w:jc w:val="right"/>
              <w:rPr>
                <w:sz w:val="20"/>
                <w:szCs w:val="20"/>
              </w:rPr>
            </w:pPr>
            <w:r w:rsidRPr="00FD75A9">
              <w:rPr>
                <w:sz w:val="20"/>
                <w:szCs w:val="20"/>
              </w:rPr>
              <w:t>1</w:t>
            </w:r>
          </w:p>
        </w:tc>
        <w:tc>
          <w:tcPr>
            <w:tcW w:w="689" w:type="pct"/>
            <w:shd w:val="clear" w:color="auto" w:fill="FAF9F8"/>
          </w:tcPr>
          <w:p w14:paraId="5901EE9E" w14:textId="0A8DF466" w:rsidR="00F80414" w:rsidRPr="00FD75A9" w:rsidRDefault="00F80414" w:rsidP="00A85829">
            <w:pPr>
              <w:jc w:val="right"/>
              <w:rPr>
                <w:sz w:val="20"/>
                <w:szCs w:val="20"/>
              </w:rPr>
            </w:pPr>
            <w:r w:rsidRPr="00FD75A9">
              <w:rPr>
                <w:sz w:val="20"/>
                <w:szCs w:val="20"/>
              </w:rPr>
              <w:t>0</w:t>
            </w:r>
          </w:p>
        </w:tc>
        <w:tc>
          <w:tcPr>
            <w:tcW w:w="689" w:type="pct"/>
            <w:shd w:val="clear" w:color="auto" w:fill="FAF9F8"/>
          </w:tcPr>
          <w:p w14:paraId="3A2BF645" w14:textId="55E3E6FD" w:rsidR="00F80414" w:rsidRPr="00FD75A9" w:rsidRDefault="00F80414" w:rsidP="00A85829">
            <w:pPr>
              <w:jc w:val="right"/>
              <w:rPr>
                <w:sz w:val="20"/>
                <w:szCs w:val="20"/>
              </w:rPr>
            </w:pPr>
            <w:r w:rsidRPr="00FD75A9">
              <w:rPr>
                <w:sz w:val="20"/>
                <w:szCs w:val="20"/>
              </w:rPr>
              <w:t>0</w:t>
            </w:r>
          </w:p>
        </w:tc>
        <w:tc>
          <w:tcPr>
            <w:tcW w:w="689" w:type="pct"/>
            <w:shd w:val="clear" w:color="auto" w:fill="FAF9F8"/>
          </w:tcPr>
          <w:p w14:paraId="43938ADC" w14:textId="56102FA3" w:rsidR="00F80414" w:rsidRPr="00FD75A9" w:rsidRDefault="00F80414" w:rsidP="00A85829">
            <w:pPr>
              <w:jc w:val="right"/>
              <w:rPr>
                <w:sz w:val="20"/>
                <w:szCs w:val="20"/>
              </w:rPr>
            </w:pPr>
            <w:r w:rsidRPr="00FD75A9">
              <w:rPr>
                <w:sz w:val="20"/>
                <w:szCs w:val="20"/>
              </w:rPr>
              <w:t>25</w:t>
            </w:r>
          </w:p>
        </w:tc>
      </w:tr>
      <w:tr w:rsidR="00FD75A9" w:rsidRPr="00FD75A9" w14:paraId="339FBA49" w14:textId="77777777" w:rsidTr="00F80414">
        <w:trPr>
          <w:jc w:val="right"/>
        </w:trPr>
        <w:tc>
          <w:tcPr>
            <w:tcW w:w="789" w:type="pct"/>
            <w:shd w:val="clear" w:color="auto" w:fill="E4E9F3"/>
          </w:tcPr>
          <w:p w14:paraId="396EB2EF" w14:textId="2E83E00C" w:rsidR="008F6E78" w:rsidRPr="00FD75A9" w:rsidRDefault="00F80414" w:rsidP="008F6E78">
            <w:pPr>
              <w:rPr>
                <w:b/>
                <w:sz w:val="20"/>
                <w:szCs w:val="20"/>
              </w:rPr>
            </w:pPr>
            <w:r w:rsidRPr="00F0567C">
              <w:rPr>
                <w:rFonts w:eastAsia="Times New Roman" w:cs="Calibri"/>
                <w:b/>
                <w:bCs/>
                <w:color w:val="000000"/>
                <w:lang w:val="it" w:eastAsia="en-AU"/>
              </w:rPr>
              <w:t>Totale</w:t>
            </w:r>
          </w:p>
        </w:tc>
        <w:tc>
          <w:tcPr>
            <w:tcW w:w="765"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689"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689"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689"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689"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689"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72DD9970" w:rsidR="008E35C9" w:rsidRPr="008E35C9" w:rsidRDefault="00DD5379" w:rsidP="0094489E">
      <w:pPr>
        <w:pStyle w:val="Heading1"/>
      </w:pPr>
      <w:bookmarkStart w:id="11" w:name="_Toc153298576"/>
      <w:r w:rsidRPr="00030BB0">
        <w:rPr>
          <w:rFonts w:cs="Arial"/>
          <w:lang w:val="it-IT"/>
        </w:rPr>
        <w:lastRenderedPageBreak/>
        <w:t>Piano d'azione mirato sugli atteggiamenti della comunità</w:t>
      </w:r>
      <w:bookmarkEnd w:id="11"/>
    </w:p>
    <w:p w14:paraId="25168A5F" w14:textId="0A40188A" w:rsidR="00DA227A" w:rsidRPr="00F55BCC" w:rsidRDefault="00F55BCC" w:rsidP="00515A1C">
      <w:pPr>
        <w:pStyle w:val="Heading2"/>
        <w:pBdr>
          <w:top w:val="none" w:sz="0" w:space="0" w:color="auto"/>
        </w:pBdr>
      </w:pPr>
      <w:bookmarkStart w:id="12" w:name="_Toc153298577"/>
      <w:proofErr w:type="spellStart"/>
      <w:r w:rsidRPr="00F55BCC">
        <w:rPr>
          <w:rFonts w:cs="Arial"/>
        </w:rPr>
        <w:t>Introduzione</w:t>
      </w:r>
      <w:bookmarkEnd w:id="12"/>
      <w:proofErr w:type="spellEnd"/>
      <w:r w:rsidR="008E35C9" w:rsidRPr="00F55BCC">
        <w:t xml:space="preserve"> </w:t>
      </w:r>
    </w:p>
    <w:p w14:paraId="38368BFE" w14:textId="77777777" w:rsidR="00F55BCC" w:rsidRPr="00030BB0" w:rsidRDefault="00F55BCC" w:rsidP="00F55BCC">
      <w:pPr>
        <w:spacing w:after="120" w:line="240" w:lineRule="auto"/>
        <w:rPr>
          <w:rFonts w:cs="Arial"/>
          <w:lang w:val="it-IT"/>
        </w:rPr>
      </w:pPr>
      <w:r w:rsidRPr="00030BB0">
        <w:rPr>
          <w:rFonts w:cs="Arial"/>
          <w:lang w:val="it-IT"/>
        </w:rPr>
        <w:t>Il TAP sugli atteggiamenti della comunità è progettato per promuovere il progresso nell'ambito dell'area dei risultati degli atteggiamenti della comunità dell'ADS.</w:t>
      </w:r>
    </w:p>
    <w:p w14:paraId="1FA56FB5" w14:textId="77777777" w:rsidR="00F55BCC" w:rsidRPr="00030BB0" w:rsidRDefault="00F55BCC" w:rsidP="00F55BCC">
      <w:pPr>
        <w:spacing w:after="120" w:line="240" w:lineRule="auto"/>
        <w:rPr>
          <w:rFonts w:cs="Arial"/>
          <w:lang w:val="it-IT"/>
        </w:rPr>
      </w:pPr>
      <w:r w:rsidRPr="00030BB0">
        <w:rPr>
          <w:rFonts w:cs="Arial"/>
          <w:lang w:val="it-IT"/>
        </w:rPr>
        <w:t>Questa area di risultato mira a garantire che gli atteggiamenti della comunità siano migliorati e consentano alle persone con disabilità di avere piena uguaglianza, inclusione e partecipazione nella società.</w:t>
      </w:r>
    </w:p>
    <w:p w14:paraId="28BB43D4" w14:textId="77777777" w:rsidR="00F55BCC" w:rsidRPr="00030BB0" w:rsidRDefault="00F55BCC" w:rsidP="00F55BCC">
      <w:pPr>
        <w:spacing w:after="120" w:line="240" w:lineRule="auto"/>
        <w:rPr>
          <w:rFonts w:cs="Arial"/>
          <w:lang w:val="it-IT"/>
        </w:rPr>
      </w:pPr>
      <w:r w:rsidRPr="00030BB0">
        <w:rPr>
          <w:rFonts w:cs="Arial"/>
          <w:lang w:val="it-IT"/>
        </w:rPr>
        <w:t>Nell’ambito del TAP sugli atteggiamenti della comunità sono segnalate 63 azioni tra i governi australiani, statali e territoriali per il periodo 2022-2023.</w:t>
      </w:r>
    </w:p>
    <w:p w14:paraId="3040923A" w14:textId="3325E406" w:rsidR="00F55BCC" w:rsidRDefault="00F55BCC" w:rsidP="00F55BCC">
      <w:pPr>
        <w:spacing w:after="120" w:line="240" w:lineRule="auto"/>
      </w:pPr>
      <w:r w:rsidRPr="00030BB0">
        <w:rPr>
          <w:rFonts w:cs="Arial"/>
          <w:lang w:val="it-IT"/>
        </w:rPr>
        <w:t>Ciò include azioni che svilupperanno la fiducia della disabilità nei professionisti chiave, forniranno coinvolgimento della comunità e attività educative e produrranno risorse di formazione per il personale in prima linea per migliorare la loro comprensione della disabilità.</w:t>
      </w:r>
    </w:p>
    <w:p w14:paraId="02B52D26" w14:textId="3B6A09CE" w:rsidR="008E35C9" w:rsidRPr="00F55BCC" w:rsidRDefault="00F55BCC" w:rsidP="0039316A">
      <w:pPr>
        <w:pStyle w:val="Heading2"/>
      </w:pPr>
      <w:bookmarkStart w:id="13" w:name="_Toc153298578"/>
      <w:proofErr w:type="spellStart"/>
      <w:r w:rsidRPr="00F55BCC">
        <w:rPr>
          <w:rFonts w:cs="Arial"/>
        </w:rPr>
        <w:t>Obiettivi</w:t>
      </w:r>
      <w:bookmarkEnd w:id="13"/>
      <w:proofErr w:type="spellEnd"/>
      <w:r w:rsidR="008E35C9" w:rsidRPr="00F55BCC">
        <w:t xml:space="preserve"> </w:t>
      </w:r>
    </w:p>
    <w:p w14:paraId="7B91A9E6" w14:textId="78236724" w:rsidR="008E35C9" w:rsidRDefault="00F55BCC" w:rsidP="00B67DD9">
      <w:pPr>
        <w:pStyle w:val="ListParagraph"/>
        <w:numPr>
          <w:ilvl w:val="0"/>
          <w:numId w:val="16"/>
        </w:numPr>
        <w:spacing w:before="120" w:after="120" w:line="240" w:lineRule="auto"/>
        <w:contextualSpacing w:val="0"/>
      </w:pPr>
      <w:r w:rsidRPr="00030BB0">
        <w:rPr>
          <w:rFonts w:cs="Arial"/>
          <w:lang w:val="it-IT"/>
        </w:rPr>
        <w:t>I datori di lavoro apprezzano il contributo che le persone con disabilità apportano alla forza lavoro e riconoscono i vantaggi derivanti dall’assunzione di persone con disabilità.</w:t>
      </w:r>
      <w:r w:rsidR="008E35C9">
        <w:t xml:space="preserve"> </w:t>
      </w:r>
    </w:p>
    <w:p w14:paraId="1E2FC502" w14:textId="47682464" w:rsidR="008E35C9" w:rsidRDefault="00F55BCC" w:rsidP="00B67DD9">
      <w:pPr>
        <w:pStyle w:val="ListParagraph"/>
        <w:numPr>
          <w:ilvl w:val="0"/>
          <w:numId w:val="16"/>
        </w:numPr>
        <w:spacing w:before="120" w:after="120" w:line="240" w:lineRule="auto"/>
        <w:contextualSpacing w:val="0"/>
      </w:pPr>
      <w:r w:rsidRPr="00030BB0">
        <w:rPr>
          <w:rFonts w:cs="Arial"/>
          <w:lang w:val="it-IT"/>
        </w:rPr>
        <w:t>Le principali forze lavoro professionali sono in grado di rispondere con sicurezza e positività alle persone con disabilità.</w:t>
      </w:r>
    </w:p>
    <w:p w14:paraId="29A5B039" w14:textId="66F92349" w:rsidR="008E35C9" w:rsidRDefault="00F55BCC" w:rsidP="00B67DD9">
      <w:pPr>
        <w:pStyle w:val="ListParagraph"/>
        <w:numPr>
          <w:ilvl w:val="0"/>
          <w:numId w:val="16"/>
        </w:numPr>
        <w:spacing w:before="120" w:after="120" w:line="240" w:lineRule="auto"/>
        <w:contextualSpacing w:val="0"/>
      </w:pPr>
      <w:r w:rsidRPr="00030BB0">
        <w:rPr>
          <w:rFonts w:cs="Arial"/>
          <w:lang w:val="it-IT"/>
        </w:rPr>
        <w:t>Aumentare la rappresentanza delle persone con disabilità nei ruoli di leadership.</w:t>
      </w:r>
      <w:r w:rsidR="008E35C9">
        <w:t xml:space="preserve"> </w:t>
      </w:r>
    </w:p>
    <w:p w14:paraId="54665405" w14:textId="1D906001" w:rsidR="008E35C9" w:rsidRDefault="00F55BCC" w:rsidP="00B67DD9">
      <w:pPr>
        <w:pStyle w:val="ListParagraph"/>
        <w:numPr>
          <w:ilvl w:val="0"/>
          <w:numId w:val="16"/>
        </w:numPr>
        <w:spacing w:before="120" w:after="120" w:line="240" w:lineRule="auto"/>
        <w:contextualSpacing w:val="0"/>
      </w:pPr>
      <w:r w:rsidRPr="00030BB0">
        <w:rPr>
          <w:rFonts w:cs="Arial"/>
          <w:lang w:val="it-IT"/>
        </w:rPr>
        <w:t>Migliorare gli atteggiamenti della comunità per avere un impatto positivo sulle priorità politiche della strategia.</w:t>
      </w:r>
    </w:p>
    <w:p w14:paraId="16881111" w14:textId="77777777" w:rsidR="008E35C9" w:rsidRDefault="008E35C9">
      <w:r>
        <w:br w:type="page"/>
      </w:r>
    </w:p>
    <w:p w14:paraId="7D038539" w14:textId="76EF745A" w:rsidR="008E35C9" w:rsidRPr="0066071F" w:rsidRDefault="00F55BCC" w:rsidP="0066071F">
      <w:pPr>
        <w:rPr>
          <w:b/>
          <w:bCs/>
          <w:color w:val="6C1740"/>
          <w:sz w:val="94"/>
          <w:szCs w:val="94"/>
        </w:rPr>
      </w:pPr>
      <w:r w:rsidRPr="00F55BCC">
        <w:rPr>
          <w:b/>
          <w:bCs/>
          <w:color w:val="6C1740"/>
          <w:sz w:val="94"/>
          <w:szCs w:val="94"/>
        </w:rPr>
        <w:lastRenderedPageBreak/>
        <w:t xml:space="preserve">TAP </w:t>
      </w:r>
      <w:proofErr w:type="spellStart"/>
      <w:r w:rsidRPr="00F55BCC">
        <w:rPr>
          <w:b/>
          <w:bCs/>
          <w:color w:val="6C1740"/>
          <w:sz w:val="94"/>
          <w:szCs w:val="94"/>
        </w:rPr>
        <w:t>sugli</w:t>
      </w:r>
      <w:proofErr w:type="spellEnd"/>
      <w:r w:rsidRPr="00F55BCC">
        <w:rPr>
          <w:b/>
          <w:bCs/>
          <w:color w:val="6C1740"/>
          <w:sz w:val="94"/>
          <w:szCs w:val="94"/>
        </w:rPr>
        <w:t xml:space="preserve"> </w:t>
      </w:r>
      <w:proofErr w:type="spellStart"/>
      <w:r w:rsidRPr="00F55BCC">
        <w:rPr>
          <w:b/>
          <w:bCs/>
          <w:color w:val="6C1740"/>
          <w:sz w:val="94"/>
          <w:szCs w:val="94"/>
        </w:rPr>
        <w:t>atteggiamenti</w:t>
      </w:r>
      <w:proofErr w:type="spellEnd"/>
      <w:r w:rsidRPr="00F55BCC">
        <w:rPr>
          <w:b/>
          <w:bCs/>
          <w:color w:val="6C1740"/>
          <w:sz w:val="94"/>
          <w:szCs w:val="94"/>
        </w:rPr>
        <w:t xml:space="preserve"> </w:t>
      </w:r>
      <w:proofErr w:type="spellStart"/>
      <w:proofErr w:type="gramStart"/>
      <w:r w:rsidRPr="00F55BCC">
        <w:rPr>
          <w:b/>
          <w:bCs/>
          <w:color w:val="6C1740"/>
          <w:sz w:val="94"/>
          <w:szCs w:val="94"/>
        </w:rPr>
        <w:t>della</w:t>
      </w:r>
      <w:proofErr w:type="spellEnd"/>
      <w:proofErr w:type="gramEnd"/>
      <w:r w:rsidRPr="00F55BCC">
        <w:rPr>
          <w:b/>
          <w:bCs/>
          <w:color w:val="6C1740"/>
          <w:sz w:val="94"/>
          <w:szCs w:val="94"/>
        </w:rPr>
        <w:t xml:space="preserve"> </w:t>
      </w:r>
      <w:proofErr w:type="spellStart"/>
      <w:r w:rsidRPr="00F55BCC">
        <w:rPr>
          <w:b/>
          <w:bCs/>
          <w:color w:val="6C1740"/>
          <w:sz w:val="94"/>
          <w:szCs w:val="94"/>
        </w:rPr>
        <w:t>comunità</w:t>
      </w:r>
      <w:proofErr w:type="spellEnd"/>
    </w:p>
    <w:p w14:paraId="0F92551D" w14:textId="42D53445" w:rsidR="008E35C9" w:rsidRDefault="00F55BCC" w:rsidP="00A64246">
      <w:pPr>
        <w:spacing w:before="240" w:after="240" w:line="240" w:lineRule="auto"/>
      </w:pPr>
      <w:r w:rsidRPr="00030BB0">
        <w:rPr>
          <w:rFonts w:cs="Arial"/>
          <w:lang w:val="it-IT"/>
        </w:rPr>
        <w:t>Tabella 5: TAP Atteggiamenti della comunità  – stato di progresso delle azioni dei governi nel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420"/>
        <w:gridCol w:w="1168"/>
        <w:gridCol w:w="1294"/>
        <w:gridCol w:w="1294"/>
        <w:gridCol w:w="1294"/>
        <w:gridCol w:w="1294"/>
      </w:tblGrid>
      <w:tr w:rsidR="00235305" w:rsidRPr="00C50630" w14:paraId="542AF0E4" w14:textId="77777777" w:rsidTr="00235305">
        <w:trPr>
          <w:cantSplit/>
        </w:trPr>
        <w:tc>
          <w:tcPr>
            <w:tcW w:w="800" w:type="pct"/>
            <w:tcBorders>
              <w:bottom w:val="single" w:sz="4" w:space="0" w:color="auto"/>
            </w:tcBorders>
            <w:shd w:val="clear" w:color="auto" w:fill="6C1740"/>
            <w:noWrap/>
            <w:hideMark/>
          </w:tcPr>
          <w:p w14:paraId="5325089D" w14:textId="3DFCFEBE" w:rsidR="00235305" w:rsidRPr="00C50630" w:rsidRDefault="00235305" w:rsidP="00AF7CD8">
            <w:pPr>
              <w:spacing w:after="0" w:line="240" w:lineRule="auto"/>
              <w:rPr>
                <w:rFonts w:eastAsia="Times New Roman" w:cs="Arial"/>
                <w:b/>
                <w:color w:val="FFFFFF" w:themeColor="background1"/>
                <w:sz w:val="20"/>
                <w:szCs w:val="20"/>
                <w:lang w:eastAsia="en-AU"/>
              </w:rPr>
            </w:pPr>
            <w:bookmarkStart w:id="14" w:name="Title_05"/>
            <w:bookmarkEnd w:id="14"/>
            <w:r w:rsidRPr="003848ED">
              <w:rPr>
                <w:rFonts w:eastAsia="Times New Roman" w:cs="Calibri"/>
                <w:b/>
                <w:bCs/>
                <w:color w:val="FFFFFF" w:themeColor="background1"/>
                <w:lang w:val="it" w:eastAsia="en-AU"/>
              </w:rPr>
              <w:t>Governo</w:t>
            </w:r>
          </w:p>
        </w:tc>
        <w:tc>
          <w:tcPr>
            <w:tcW w:w="768" w:type="pct"/>
            <w:tcBorders>
              <w:bottom w:val="single" w:sz="4" w:space="0" w:color="auto"/>
            </w:tcBorders>
            <w:shd w:val="clear" w:color="auto" w:fill="6C1740"/>
            <w:hideMark/>
          </w:tcPr>
          <w:p w14:paraId="4EC8608D" w14:textId="0F66B4E5" w:rsidR="00235305" w:rsidRPr="00C50630" w:rsidRDefault="00235305" w:rsidP="00464AAF">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2" w:type="pct"/>
            <w:tcBorders>
              <w:bottom w:val="single" w:sz="4" w:space="0" w:color="auto"/>
            </w:tcBorders>
            <w:shd w:val="clear" w:color="auto" w:fill="6C1740"/>
            <w:noWrap/>
            <w:hideMark/>
          </w:tcPr>
          <w:p w14:paraId="782CE22D" w14:textId="2ACD8BA4" w:rsidR="00235305" w:rsidRPr="00C50630" w:rsidRDefault="00235305" w:rsidP="00AF7CD8">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bottom w:val="single" w:sz="4" w:space="0" w:color="auto"/>
            </w:tcBorders>
            <w:shd w:val="clear" w:color="auto" w:fill="6C1740"/>
            <w:noWrap/>
            <w:hideMark/>
          </w:tcPr>
          <w:p w14:paraId="6CEDDA32" w14:textId="14D0A2F6" w:rsidR="00235305" w:rsidRPr="00C50630" w:rsidRDefault="00235305" w:rsidP="00AF7CD8">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bottom w:val="single" w:sz="4" w:space="0" w:color="auto"/>
            </w:tcBorders>
            <w:shd w:val="clear" w:color="auto" w:fill="6C1740"/>
            <w:noWrap/>
            <w:hideMark/>
          </w:tcPr>
          <w:p w14:paraId="7BD8A81F" w14:textId="16B25E3A" w:rsidR="00235305" w:rsidRPr="00C50630" w:rsidRDefault="00235305" w:rsidP="00AF7CD8">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bottom w:val="single" w:sz="4" w:space="0" w:color="auto"/>
            </w:tcBorders>
            <w:shd w:val="clear" w:color="auto" w:fill="6C1740"/>
            <w:noWrap/>
            <w:hideMark/>
          </w:tcPr>
          <w:p w14:paraId="41B6A61F" w14:textId="44C0510C" w:rsidR="00235305" w:rsidRPr="00C50630" w:rsidRDefault="00235305" w:rsidP="00AF7CD8">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700" w:type="pct"/>
            <w:tcBorders>
              <w:bottom w:val="single" w:sz="4" w:space="0" w:color="auto"/>
            </w:tcBorders>
            <w:shd w:val="clear" w:color="auto" w:fill="6C1740"/>
            <w:noWrap/>
            <w:hideMark/>
          </w:tcPr>
          <w:p w14:paraId="170FCCA7" w14:textId="7EF1BE90" w:rsidR="00235305" w:rsidRPr="00C50630" w:rsidRDefault="00235305" w:rsidP="00AF7CD8">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235305" w:rsidRPr="00C50630" w14:paraId="69141F84" w14:textId="77777777" w:rsidTr="00235305">
        <w:trPr>
          <w:cantSplit/>
        </w:trPr>
        <w:tc>
          <w:tcPr>
            <w:tcW w:w="800" w:type="pct"/>
            <w:tcBorders>
              <w:top w:val="single" w:sz="4" w:space="0" w:color="auto"/>
              <w:bottom w:val="single" w:sz="4" w:space="0" w:color="auto"/>
              <w:right w:val="single" w:sz="4" w:space="0" w:color="auto"/>
            </w:tcBorders>
            <w:noWrap/>
            <w:vAlign w:val="bottom"/>
            <w:hideMark/>
          </w:tcPr>
          <w:p w14:paraId="0E684CF2" w14:textId="1DF49B88"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Gov. Australiano</w:t>
            </w:r>
          </w:p>
        </w:tc>
        <w:tc>
          <w:tcPr>
            <w:tcW w:w="768" w:type="pct"/>
            <w:tcBorders>
              <w:top w:val="single" w:sz="4" w:space="0" w:color="auto"/>
              <w:left w:val="single" w:sz="4" w:space="0" w:color="auto"/>
              <w:bottom w:val="single" w:sz="4" w:space="0" w:color="auto"/>
              <w:right w:val="single" w:sz="4" w:space="0" w:color="auto"/>
            </w:tcBorders>
            <w:noWrap/>
            <w:hideMark/>
          </w:tcPr>
          <w:p w14:paraId="525CABE4" w14:textId="14FB7431"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632" w:type="pct"/>
            <w:tcBorders>
              <w:top w:val="single" w:sz="4" w:space="0" w:color="auto"/>
              <w:left w:val="single" w:sz="4" w:space="0" w:color="auto"/>
              <w:bottom w:val="single" w:sz="4" w:space="0" w:color="auto"/>
              <w:right w:val="single" w:sz="4" w:space="0" w:color="auto"/>
            </w:tcBorders>
            <w:noWrap/>
            <w:hideMark/>
          </w:tcPr>
          <w:p w14:paraId="483B2AB6" w14:textId="0DA52DC8"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235305" w:rsidRPr="00C50630" w14:paraId="011FD45A" w14:textId="77777777" w:rsidTr="00235305">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221D2A74"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NSW</w:t>
            </w:r>
          </w:p>
        </w:tc>
        <w:tc>
          <w:tcPr>
            <w:tcW w:w="768"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32"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235305" w:rsidRPr="00C50630" w14:paraId="3B34EBDC" w14:textId="77777777" w:rsidTr="00235305">
        <w:trPr>
          <w:cantSplit/>
        </w:trPr>
        <w:tc>
          <w:tcPr>
            <w:tcW w:w="800" w:type="pct"/>
            <w:tcBorders>
              <w:top w:val="single" w:sz="4" w:space="0" w:color="auto"/>
              <w:bottom w:val="single" w:sz="4" w:space="0" w:color="auto"/>
              <w:right w:val="single" w:sz="4" w:space="0" w:color="auto"/>
            </w:tcBorders>
            <w:noWrap/>
            <w:vAlign w:val="bottom"/>
            <w:hideMark/>
          </w:tcPr>
          <w:p w14:paraId="3D223BD0" w14:textId="15C15B6C"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VIC</w:t>
            </w:r>
          </w:p>
        </w:tc>
        <w:tc>
          <w:tcPr>
            <w:tcW w:w="768" w:type="pct"/>
            <w:tcBorders>
              <w:top w:val="single" w:sz="4" w:space="0" w:color="auto"/>
              <w:left w:val="single" w:sz="4" w:space="0" w:color="auto"/>
              <w:bottom w:val="single" w:sz="4" w:space="0" w:color="auto"/>
              <w:right w:val="single" w:sz="4" w:space="0" w:color="auto"/>
            </w:tcBorders>
            <w:noWrap/>
            <w:hideMark/>
          </w:tcPr>
          <w:p w14:paraId="655D8077"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632" w:type="pct"/>
            <w:tcBorders>
              <w:top w:val="single" w:sz="4" w:space="0" w:color="auto"/>
              <w:left w:val="single" w:sz="4" w:space="0" w:color="auto"/>
              <w:bottom w:val="single" w:sz="4" w:space="0" w:color="auto"/>
              <w:right w:val="single" w:sz="4" w:space="0" w:color="auto"/>
            </w:tcBorders>
            <w:noWrap/>
            <w:hideMark/>
          </w:tcPr>
          <w:p w14:paraId="4F163BBB"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235305" w:rsidRPr="00C50630" w14:paraId="34A542D6" w14:textId="77777777" w:rsidTr="00235305">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7B3CA1BD"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QLD</w:t>
            </w:r>
          </w:p>
        </w:tc>
        <w:tc>
          <w:tcPr>
            <w:tcW w:w="768"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632"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235305" w:rsidRPr="00C50630" w14:paraId="0CFE8738" w14:textId="77777777" w:rsidTr="00235305">
        <w:trPr>
          <w:cantSplit/>
        </w:trPr>
        <w:tc>
          <w:tcPr>
            <w:tcW w:w="800" w:type="pct"/>
            <w:tcBorders>
              <w:top w:val="single" w:sz="4" w:space="0" w:color="auto"/>
              <w:bottom w:val="single" w:sz="4" w:space="0" w:color="auto"/>
              <w:right w:val="single" w:sz="4" w:space="0" w:color="auto"/>
            </w:tcBorders>
            <w:noWrap/>
            <w:vAlign w:val="bottom"/>
            <w:hideMark/>
          </w:tcPr>
          <w:p w14:paraId="4301E3C8" w14:textId="3F1F0B1B"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WA</w:t>
            </w:r>
          </w:p>
        </w:tc>
        <w:tc>
          <w:tcPr>
            <w:tcW w:w="768" w:type="pct"/>
            <w:tcBorders>
              <w:top w:val="single" w:sz="4" w:space="0" w:color="auto"/>
              <w:left w:val="single" w:sz="4" w:space="0" w:color="auto"/>
              <w:bottom w:val="single" w:sz="4" w:space="0" w:color="auto"/>
              <w:right w:val="single" w:sz="4" w:space="0" w:color="auto"/>
            </w:tcBorders>
            <w:noWrap/>
            <w:hideMark/>
          </w:tcPr>
          <w:p w14:paraId="3A8C59E8"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632" w:type="pct"/>
            <w:tcBorders>
              <w:top w:val="single" w:sz="4" w:space="0" w:color="auto"/>
              <w:left w:val="single" w:sz="4" w:space="0" w:color="auto"/>
              <w:bottom w:val="single" w:sz="4" w:space="0" w:color="auto"/>
              <w:right w:val="single" w:sz="4" w:space="0" w:color="auto"/>
            </w:tcBorders>
            <w:noWrap/>
            <w:hideMark/>
          </w:tcPr>
          <w:p w14:paraId="3561E27D"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235305" w:rsidRPr="00C50630" w14:paraId="570A6B8E" w14:textId="77777777" w:rsidTr="00235305">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205E3625"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SA</w:t>
            </w:r>
          </w:p>
        </w:tc>
        <w:tc>
          <w:tcPr>
            <w:tcW w:w="768"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632"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235305" w:rsidRPr="00C50630" w14:paraId="4497C1F9" w14:textId="77777777" w:rsidTr="00235305">
        <w:trPr>
          <w:cantSplit/>
        </w:trPr>
        <w:tc>
          <w:tcPr>
            <w:tcW w:w="800" w:type="pct"/>
            <w:tcBorders>
              <w:top w:val="single" w:sz="4" w:space="0" w:color="auto"/>
              <w:bottom w:val="single" w:sz="4" w:space="0" w:color="auto"/>
              <w:right w:val="single" w:sz="4" w:space="0" w:color="auto"/>
            </w:tcBorders>
            <w:noWrap/>
            <w:vAlign w:val="bottom"/>
            <w:hideMark/>
          </w:tcPr>
          <w:p w14:paraId="45CD1927" w14:textId="6A3F397F"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TAS</w:t>
            </w:r>
          </w:p>
        </w:tc>
        <w:tc>
          <w:tcPr>
            <w:tcW w:w="768" w:type="pct"/>
            <w:tcBorders>
              <w:top w:val="single" w:sz="4" w:space="0" w:color="auto"/>
              <w:left w:val="single" w:sz="4" w:space="0" w:color="auto"/>
              <w:bottom w:val="single" w:sz="4" w:space="0" w:color="auto"/>
              <w:right w:val="single" w:sz="4" w:space="0" w:color="auto"/>
            </w:tcBorders>
            <w:noWrap/>
            <w:hideMark/>
          </w:tcPr>
          <w:p w14:paraId="684ABC97"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632" w:type="pct"/>
            <w:tcBorders>
              <w:top w:val="single" w:sz="4" w:space="0" w:color="auto"/>
              <w:left w:val="single" w:sz="4" w:space="0" w:color="auto"/>
              <w:bottom w:val="single" w:sz="4" w:space="0" w:color="auto"/>
              <w:right w:val="single" w:sz="4" w:space="0" w:color="auto"/>
            </w:tcBorders>
            <w:noWrap/>
            <w:hideMark/>
          </w:tcPr>
          <w:p w14:paraId="1631DB61"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235305" w:rsidRPr="00C50630" w14:paraId="13025BEA" w14:textId="77777777" w:rsidTr="00235305">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5183DF61"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ACT</w:t>
            </w:r>
          </w:p>
        </w:tc>
        <w:tc>
          <w:tcPr>
            <w:tcW w:w="768"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632"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235305" w:rsidRPr="00C50630" w14:paraId="26A1A333" w14:textId="77777777" w:rsidTr="00235305">
        <w:trPr>
          <w:cantSplit/>
        </w:trPr>
        <w:tc>
          <w:tcPr>
            <w:tcW w:w="800" w:type="pct"/>
            <w:tcBorders>
              <w:top w:val="single" w:sz="4" w:space="0" w:color="auto"/>
              <w:bottom w:val="single" w:sz="4" w:space="0" w:color="auto"/>
              <w:right w:val="single" w:sz="4" w:space="0" w:color="auto"/>
            </w:tcBorders>
            <w:noWrap/>
            <w:vAlign w:val="bottom"/>
            <w:hideMark/>
          </w:tcPr>
          <w:p w14:paraId="5C8CDAAD" w14:textId="4257B9A3" w:rsidR="00235305" w:rsidRPr="00C50630" w:rsidRDefault="00235305"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NT</w:t>
            </w:r>
          </w:p>
        </w:tc>
        <w:tc>
          <w:tcPr>
            <w:tcW w:w="768" w:type="pct"/>
            <w:tcBorders>
              <w:top w:val="single" w:sz="4" w:space="0" w:color="auto"/>
              <w:left w:val="single" w:sz="4" w:space="0" w:color="auto"/>
              <w:bottom w:val="single" w:sz="4" w:space="0" w:color="auto"/>
              <w:right w:val="single" w:sz="4" w:space="0" w:color="auto"/>
            </w:tcBorders>
            <w:noWrap/>
            <w:hideMark/>
          </w:tcPr>
          <w:p w14:paraId="22AE014E"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632" w:type="pct"/>
            <w:tcBorders>
              <w:top w:val="single" w:sz="4" w:space="0" w:color="auto"/>
              <w:left w:val="single" w:sz="4" w:space="0" w:color="auto"/>
              <w:bottom w:val="single" w:sz="4" w:space="0" w:color="auto"/>
              <w:right w:val="single" w:sz="4" w:space="0" w:color="auto"/>
            </w:tcBorders>
            <w:noWrap/>
            <w:hideMark/>
          </w:tcPr>
          <w:p w14:paraId="0874DABE"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235305" w:rsidRPr="00C50630" w:rsidRDefault="00235305"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235305" w:rsidRPr="00C50630" w:rsidRDefault="00235305"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235305" w:rsidRPr="00C50630" w14:paraId="15E63C6A" w14:textId="77777777" w:rsidTr="00235305">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5F34B24D" w:rsidR="00235305" w:rsidRPr="00C50630" w:rsidRDefault="00235305" w:rsidP="002A249B">
            <w:pPr>
              <w:spacing w:after="0" w:line="240" w:lineRule="auto"/>
              <w:rPr>
                <w:rFonts w:eastAsia="Times New Roman" w:cs="Arial"/>
                <w:b/>
                <w:color w:val="000000"/>
                <w:sz w:val="20"/>
                <w:szCs w:val="20"/>
                <w:lang w:eastAsia="en-AU"/>
              </w:rPr>
            </w:pPr>
            <w:r w:rsidRPr="00F0567C">
              <w:rPr>
                <w:rFonts w:eastAsia="Times New Roman" w:cs="Calibri"/>
                <w:b/>
                <w:bCs/>
                <w:color w:val="000000"/>
                <w:lang w:val="it" w:eastAsia="en-AU"/>
              </w:rPr>
              <w:t>Totale nazionale</w:t>
            </w:r>
          </w:p>
        </w:tc>
        <w:tc>
          <w:tcPr>
            <w:tcW w:w="768"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235305" w:rsidRPr="00C50630" w:rsidRDefault="00235305"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632"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235305" w:rsidRPr="00C50630" w:rsidRDefault="00235305"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235305" w:rsidRPr="00C50630" w:rsidRDefault="00235305"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235305" w:rsidRPr="00C50630" w:rsidRDefault="00235305"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235305" w:rsidRPr="00C50630" w:rsidRDefault="00235305"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235305" w:rsidRPr="00C50630" w:rsidRDefault="00235305"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24D076BB" w:rsidR="008E35C9" w:rsidRDefault="00F55BCC" w:rsidP="00F52039">
      <w:pPr>
        <w:spacing w:before="240" w:after="240" w:line="240" w:lineRule="auto"/>
      </w:pPr>
      <w:r w:rsidRPr="00030BB0">
        <w:rPr>
          <w:rFonts w:cs="Arial"/>
          <w:lang w:val="it-IT"/>
        </w:rPr>
        <w:t>Tabella 6: Atteggiamenti della comunità – progresso delle azioni per obiettivo nel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420"/>
        <w:gridCol w:w="1168"/>
        <w:gridCol w:w="1294"/>
        <w:gridCol w:w="1294"/>
        <w:gridCol w:w="1294"/>
        <w:gridCol w:w="1294"/>
      </w:tblGrid>
      <w:tr w:rsidR="00E360A3" w:rsidRPr="00C50630" w14:paraId="4DE237A4" w14:textId="77777777" w:rsidTr="00DD5550">
        <w:tc>
          <w:tcPr>
            <w:tcW w:w="800" w:type="pct"/>
            <w:tcBorders>
              <w:top w:val="nil"/>
              <w:bottom w:val="single" w:sz="4" w:space="0" w:color="auto"/>
              <w:right w:val="single" w:sz="4" w:space="0" w:color="FFFFFF" w:themeColor="background1"/>
            </w:tcBorders>
            <w:shd w:val="clear" w:color="auto" w:fill="6C1740"/>
            <w:noWrap/>
            <w:hideMark/>
          </w:tcPr>
          <w:p w14:paraId="1D46DBEB" w14:textId="66854CB1" w:rsidR="00E360A3" w:rsidRPr="00C50630" w:rsidRDefault="00E360A3" w:rsidP="002A249B">
            <w:pPr>
              <w:spacing w:after="0" w:line="240" w:lineRule="auto"/>
              <w:rPr>
                <w:rFonts w:eastAsia="Times New Roman" w:cs="Arial"/>
                <w:b/>
                <w:color w:val="FFFFFF" w:themeColor="background1"/>
                <w:sz w:val="20"/>
                <w:szCs w:val="20"/>
                <w:lang w:eastAsia="en-AU"/>
              </w:rPr>
            </w:pPr>
            <w:bookmarkStart w:id="15" w:name="Title_06"/>
            <w:bookmarkEnd w:id="15"/>
            <w:r w:rsidRPr="00F80414">
              <w:rPr>
                <w:rFonts w:eastAsia="Times New Roman" w:cs="Calibri"/>
                <w:b/>
                <w:bCs/>
                <w:color w:val="FFFFFF" w:themeColor="background1"/>
                <w:lang w:val="it" w:eastAsia="en-AU"/>
              </w:rPr>
              <w:t>Obiettivo</w:t>
            </w:r>
          </w:p>
        </w:tc>
        <w:tc>
          <w:tcPr>
            <w:tcW w:w="768"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2042E8D0" w:rsidR="00E360A3" w:rsidRPr="00C50630" w:rsidRDefault="00E360A3" w:rsidP="00464AAF">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2"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5329EB4A" w:rsidR="00E360A3" w:rsidRPr="00C50630" w:rsidRDefault="00E360A3"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15788BA6" w:rsidR="00E360A3" w:rsidRPr="00C50630" w:rsidRDefault="00E360A3"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19FE7ECE" w:rsidR="00E360A3" w:rsidRPr="00C50630" w:rsidRDefault="00E360A3"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43667915" w:rsidR="00E360A3" w:rsidRPr="00C50630" w:rsidRDefault="00E360A3"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700" w:type="pct"/>
            <w:tcBorders>
              <w:top w:val="nil"/>
              <w:left w:val="single" w:sz="4" w:space="0" w:color="FFFFFF" w:themeColor="background1"/>
              <w:bottom w:val="single" w:sz="4" w:space="0" w:color="auto"/>
            </w:tcBorders>
            <w:shd w:val="clear" w:color="auto" w:fill="6C1740"/>
            <w:noWrap/>
            <w:hideMark/>
          </w:tcPr>
          <w:p w14:paraId="34F59F04" w14:textId="29F70CBE" w:rsidR="00E360A3" w:rsidRPr="00C50630" w:rsidRDefault="00E360A3"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E360A3" w:rsidRPr="00C50630" w14:paraId="3B1F9CDC" w14:textId="77777777" w:rsidTr="00235305">
        <w:tc>
          <w:tcPr>
            <w:tcW w:w="800" w:type="pct"/>
            <w:tcBorders>
              <w:top w:val="single" w:sz="4" w:space="0" w:color="auto"/>
            </w:tcBorders>
            <w:shd w:val="clear" w:color="auto" w:fill="auto"/>
            <w:noWrap/>
            <w:vAlign w:val="bottom"/>
            <w:hideMark/>
          </w:tcPr>
          <w:p w14:paraId="7A7D6A96" w14:textId="7166C911" w:rsidR="00E360A3" w:rsidRPr="00C50630" w:rsidRDefault="00E360A3"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Obiettivo 1</w:t>
            </w:r>
          </w:p>
        </w:tc>
        <w:tc>
          <w:tcPr>
            <w:tcW w:w="768" w:type="pct"/>
            <w:tcBorders>
              <w:top w:val="single" w:sz="4" w:space="0" w:color="auto"/>
            </w:tcBorders>
            <w:shd w:val="clear" w:color="auto" w:fill="auto"/>
            <w:noWrap/>
            <w:vAlign w:val="bottom"/>
            <w:hideMark/>
          </w:tcPr>
          <w:p w14:paraId="386EFECB"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632" w:type="pct"/>
            <w:tcBorders>
              <w:top w:val="single" w:sz="4" w:space="0" w:color="auto"/>
            </w:tcBorders>
            <w:shd w:val="clear" w:color="auto" w:fill="auto"/>
            <w:noWrap/>
            <w:vAlign w:val="bottom"/>
            <w:hideMark/>
          </w:tcPr>
          <w:p w14:paraId="153186CB"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E360A3" w:rsidRPr="00C50630" w:rsidRDefault="00E360A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E360A3" w:rsidRPr="00C50630" w:rsidRDefault="00E360A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E360A3" w:rsidRPr="00C50630" w14:paraId="5E690D40" w14:textId="77777777" w:rsidTr="00235305">
        <w:tc>
          <w:tcPr>
            <w:tcW w:w="800" w:type="pct"/>
            <w:shd w:val="clear" w:color="auto" w:fill="FAF9F8"/>
            <w:noWrap/>
            <w:vAlign w:val="bottom"/>
            <w:hideMark/>
          </w:tcPr>
          <w:p w14:paraId="46D18003" w14:textId="221502D0" w:rsidR="00E360A3" w:rsidRPr="00C50630" w:rsidRDefault="00E360A3"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Obiettivo 2</w:t>
            </w:r>
          </w:p>
        </w:tc>
        <w:tc>
          <w:tcPr>
            <w:tcW w:w="768" w:type="pct"/>
            <w:shd w:val="clear" w:color="auto" w:fill="FAF9F8"/>
            <w:noWrap/>
            <w:vAlign w:val="bottom"/>
            <w:hideMark/>
          </w:tcPr>
          <w:p w14:paraId="6E28C6A2"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632" w:type="pct"/>
            <w:shd w:val="clear" w:color="auto" w:fill="FAF9F8"/>
            <w:noWrap/>
            <w:vAlign w:val="bottom"/>
            <w:hideMark/>
          </w:tcPr>
          <w:p w14:paraId="2D5922FF" w14:textId="4F45A39B"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E360A3" w:rsidRPr="00C50630" w:rsidRDefault="00E360A3"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E360A3" w:rsidRPr="00C50630" w:rsidRDefault="00E360A3"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235305">
        <w:tc>
          <w:tcPr>
            <w:tcW w:w="800" w:type="pct"/>
            <w:shd w:val="clear" w:color="auto" w:fill="auto"/>
            <w:noWrap/>
            <w:vAlign w:val="bottom"/>
            <w:hideMark/>
          </w:tcPr>
          <w:p w14:paraId="7F2E3733" w14:textId="3ABB136F" w:rsidR="00AF7CD8" w:rsidRPr="00C50630" w:rsidRDefault="00E360A3"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lastRenderedPageBreak/>
              <w:t>Obiettivo</w:t>
            </w:r>
            <w:r w:rsidRPr="00C50630">
              <w:rPr>
                <w:rFonts w:eastAsia="Times New Roman" w:cs="Arial"/>
                <w:color w:val="000000"/>
                <w:sz w:val="20"/>
                <w:szCs w:val="20"/>
                <w:lang w:eastAsia="en-AU"/>
              </w:rPr>
              <w:t xml:space="preserve"> </w:t>
            </w:r>
            <w:r w:rsidR="00AF7CD8" w:rsidRPr="00C50630">
              <w:rPr>
                <w:rFonts w:eastAsia="Times New Roman" w:cs="Arial"/>
                <w:color w:val="000000"/>
                <w:sz w:val="20"/>
                <w:szCs w:val="20"/>
                <w:lang w:eastAsia="en-AU"/>
              </w:rPr>
              <w:t>3</w:t>
            </w:r>
          </w:p>
        </w:tc>
        <w:tc>
          <w:tcPr>
            <w:tcW w:w="768"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632"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43038C41" w14:textId="77777777" w:rsidTr="00235305">
        <w:tc>
          <w:tcPr>
            <w:tcW w:w="800" w:type="pct"/>
            <w:shd w:val="clear" w:color="auto" w:fill="FAF9F8"/>
            <w:noWrap/>
            <w:vAlign w:val="bottom"/>
            <w:hideMark/>
          </w:tcPr>
          <w:p w14:paraId="4DF8F3C0" w14:textId="6F5F0927" w:rsidR="00AF7CD8" w:rsidRPr="00C50630" w:rsidRDefault="00E360A3"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Obiettivo</w:t>
            </w:r>
            <w:r w:rsidRPr="00C50630">
              <w:rPr>
                <w:rFonts w:eastAsia="Times New Roman" w:cs="Arial"/>
                <w:color w:val="000000"/>
                <w:sz w:val="20"/>
                <w:szCs w:val="20"/>
                <w:lang w:eastAsia="en-AU"/>
              </w:rPr>
              <w:t xml:space="preserve"> </w:t>
            </w:r>
            <w:r w:rsidR="00AF7CD8" w:rsidRPr="00C50630">
              <w:rPr>
                <w:rFonts w:eastAsia="Times New Roman" w:cs="Arial"/>
                <w:color w:val="000000"/>
                <w:sz w:val="20"/>
                <w:szCs w:val="20"/>
                <w:lang w:eastAsia="en-AU"/>
              </w:rPr>
              <w:t>4</w:t>
            </w:r>
          </w:p>
        </w:tc>
        <w:tc>
          <w:tcPr>
            <w:tcW w:w="768" w:type="pct"/>
            <w:shd w:val="clear" w:color="auto" w:fill="FAF9F8"/>
            <w:noWrap/>
            <w:vAlign w:val="bottom"/>
            <w:hideMark/>
          </w:tcPr>
          <w:p w14:paraId="62ABDE4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632" w:type="pct"/>
            <w:shd w:val="clear" w:color="auto" w:fill="FAF9F8"/>
            <w:noWrap/>
            <w:vAlign w:val="bottom"/>
            <w:hideMark/>
          </w:tcPr>
          <w:p w14:paraId="767AEE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235305">
        <w:tc>
          <w:tcPr>
            <w:tcW w:w="800" w:type="pct"/>
            <w:shd w:val="clear" w:color="auto" w:fill="E4E9F3"/>
            <w:noWrap/>
            <w:vAlign w:val="bottom"/>
            <w:hideMark/>
          </w:tcPr>
          <w:p w14:paraId="7A286510" w14:textId="3814B7D7" w:rsidR="00AF7CD8" w:rsidRPr="00C50630" w:rsidRDefault="00E360A3" w:rsidP="002A249B">
            <w:pPr>
              <w:spacing w:after="0" w:line="240" w:lineRule="auto"/>
              <w:rPr>
                <w:rFonts w:eastAsia="Times New Roman" w:cs="Arial"/>
                <w:b/>
                <w:color w:val="000000"/>
                <w:sz w:val="20"/>
                <w:szCs w:val="20"/>
                <w:lang w:eastAsia="en-AU"/>
              </w:rPr>
            </w:pPr>
            <w:r w:rsidRPr="00F0567C">
              <w:rPr>
                <w:rFonts w:eastAsia="Times New Roman" w:cs="Calibri"/>
                <w:b/>
                <w:bCs/>
                <w:color w:val="000000"/>
                <w:lang w:val="it" w:eastAsia="en-AU"/>
              </w:rPr>
              <w:t>Totale</w:t>
            </w:r>
          </w:p>
        </w:tc>
        <w:tc>
          <w:tcPr>
            <w:tcW w:w="768"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632"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3D721AFC" w:rsidR="00C62233" w:rsidRPr="00C62233" w:rsidRDefault="00275EDE" w:rsidP="00DA227A">
      <w:pPr>
        <w:pStyle w:val="Heading1"/>
      </w:pPr>
      <w:bookmarkStart w:id="16" w:name="_Toc153298579"/>
      <w:r w:rsidRPr="00030BB0">
        <w:rPr>
          <w:rFonts w:cs="Arial"/>
          <w:lang w:val="it-IT"/>
        </w:rPr>
        <w:lastRenderedPageBreak/>
        <w:t>Piano d'azione mirato per la prima infanzia</w:t>
      </w:r>
      <w:bookmarkEnd w:id="16"/>
    </w:p>
    <w:p w14:paraId="78711C3D" w14:textId="2C205139" w:rsidR="00DA227A" w:rsidRPr="00275EDE" w:rsidRDefault="00275EDE" w:rsidP="00515A1C">
      <w:pPr>
        <w:pStyle w:val="Heading2"/>
        <w:pBdr>
          <w:top w:val="none" w:sz="0" w:space="0" w:color="auto"/>
        </w:pBdr>
      </w:pPr>
      <w:bookmarkStart w:id="17" w:name="_Toc153298580"/>
      <w:proofErr w:type="spellStart"/>
      <w:r w:rsidRPr="00275EDE">
        <w:rPr>
          <w:rFonts w:cs="Arial"/>
        </w:rPr>
        <w:t>Introduzione</w:t>
      </w:r>
      <w:bookmarkEnd w:id="17"/>
      <w:proofErr w:type="spellEnd"/>
    </w:p>
    <w:p w14:paraId="09A17000" w14:textId="77777777" w:rsidR="00097CF4" w:rsidRPr="00030BB0" w:rsidRDefault="00097CF4" w:rsidP="00097CF4">
      <w:pPr>
        <w:spacing w:before="240" w:after="240" w:line="240" w:lineRule="auto"/>
        <w:rPr>
          <w:rFonts w:cs="Arial"/>
          <w:lang w:val="it-IT"/>
        </w:rPr>
      </w:pPr>
      <w:r w:rsidRPr="00030BB0">
        <w:rPr>
          <w:rFonts w:cs="Arial"/>
          <w:lang w:val="it-IT"/>
        </w:rPr>
        <w:t>Il TAP per la prima infanzia è progettato per promuovere il progresso nell’ambito della salute e del benessere, istruzione e apprendimento, case e comunità inclusive e aree di risultato del supporto personale e comunitario dell'ADS.</w:t>
      </w:r>
    </w:p>
    <w:p w14:paraId="1152626E" w14:textId="77777777" w:rsidR="00097CF4" w:rsidRPr="00030BB0" w:rsidRDefault="00097CF4" w:rsidP="00097CF4">
      <w:pPr>
        <w:spacing w:before="240" w:after="240" w:line="240" w:lineRule="auto"/>
        <w:rPr>
          <w:rFonts w:cs="Arial"/>
          <w:lang w:val="it-IT"/>
        </w:rPr>
      </w:pPr>
      <w:r w:rsidRPr="00030BB0">
        <w:rPr>
          <w:rFonts w:cs="Arial"/>
          <w:lang w:val="it-IT"/>
        </w:rPr>
        <w:t>Rispettivamente, queste aree di risultato mirano a garantire che le persone con disabilità ottengano i massimi risultati possibili in termini di salute e benessere per tutta la vita; raggiungere il loro pieno potenziale attraverso l’istruzione e l’apprendimento; vivere in case e comunità inclusive, accessibili e ben progettate e avere accesso a una serie di supporti per aiutarli a vivere in modo indipendente e a impegnarsi nelle loro comunità.</w:t>
      </w:r>
    </w:p>
    <w:p w14:paraId="2096D2CE" w14:textId="77777777" w:rsidR="00097CF4" w:rsidRPr="00030BB0" w:rsidRDefault="00097CF4" w:rsidP="00097CF4">
      <w:pPr>
        <w:spacing w:before="240" w:after="240" w:line="240" w:lineRule="auto"/>
        <w:rPr>
          <w:rFonts w:cs="Arial"/>
          <w:lang w:val="it-IT"/>
        </w:rPr>
      </w:pPr>
      <w:r w:rsidRPr="00030BB0">
        <w:rPr>
          <w:rFonts w:cs="Arial"/>
          <w:lang w:val="it-IT"/>
        </w:rPr>
        <w:t>Nell’ambito del TAP per la prima infanzia ci sono 74 azioni segnalate dai governi australiani, statali e territoriali per il periodo 2022-2023.</w:t>
      </w:r>
    </w:p>
    <w:p w14:paraId="7462B407" w14:textId="5521EF31" w:rsidR="00097CF4" w:rsidRDefault="00097CF4" w:rsidP="00097CF4">
      <w:pPr>
        <w:spacing w:before="240" w:after="240" w:line="240" w:lineRule="auto"/>
      </w:pPr>
      <w:r w:rsidRPr="00030BB0">
        <w:rPr>
          <w:rFonts w:cs="Arial"/>
          <w:lang w:val="it-IT"/>
        </w:rPr>
        <w:t>Ciò include azioni che svilupperanno risorse, istituiranno gruppi di sostegno tra pari, sosterranno genitori e tutori e promuoveranno pratiche inclusive negli asili nido e nell’educazione e cura della prima infanzia.</w:t>
      </w:r>
    </w:p>
    <w:p w14:paraId="25AA41AC" w14:textId="49671617" w:rsidR="00C62233" w:rsidRPr="00275EDE" w:rsidRDefault="00275EDE" w:rsidP="00F52039">
      <w:pPr>
        <w:pStyle w:val="Heading2"/>
      </w:pPr>
      <w:bookmarkStart w:id="18" w:name="_Toc153298581"/>
      <w:proofErr w:type="spellStart"/>
      <w:r w:rsidRPr="00275EDE">
        <w:rPr>
          <w:rFonts w:cs="Arial"/>
        </w:rPr>
        <w:t>Obiettivi</w:t>
      </w:r>
      <w:proofErr w:type="spellEnd"/>
      <w:r w:rsidRPr="00275EDE">
        <w:rPr>
          <w:rFonts w:cs="Arial"/>
        </w:rPr>
        <w:t>:</w:t>
      </w:r>
      <w:bookmarkEnd w:id="18"/>
    </w:p>
    <w:p w14:paraId="0FA62BDE" w14:textId="4D7C07CA" w:rsidR="00C62233" w:rsidRDefault="00097CF4" w:rsidP="00B67DD9">
      <w:pPr>
        <w:pStyle w:val="ListParagraph"/>
        <w:numPr>
          <w:ilvl w:val="0"/>
          <w:numId w:val="17"/>
        </w:numPr>
        <w:spacing w:before="240" w:after="240" w:line="240" w:lineRule="auto"/>
        <w:contextualSpacing w:val="0"/>
      </w:pPr>
      <w:r w:rsidRPr="00030BB0">
        <w:rPr>
          <w:rFonts w:cs="Arial"/>
          <w:lang w:val="it-IT"/>
        </w:rPr>
        <w:t>Consentire l’identificazione precoce della disabilità o dei problemi legati allo sviluppo e sviluppare percorsi più chiari e un accesso tempestivo a supporti adeguati.</w:t>
      </w:r>
      <w:r w:rsidR="00C62233">
        <w:t xml:space="preserve"> </w:t>
      </w:r>
    </w:p>
    <w:p w14:paraId="74EDA8F4" w14:textId="69A1551C" w:rsidR="00C62233" w:rsidRDefault="00097CF4" w:rsidP="00B67DD9">
      <w:pPr>
        <w:pStyle w:val="ListParagraph"/>
        <w:numPr>
          <w:ilvl w:val="0"/>
          <w:numId w:val="17"/>
        </w:numPr>
        <w:spacing w:before="240" w:after="240" w:line="240" w:lineRule="auto"/>
        <w:contextualSpacing w:val="0"/>
      </w:pPr>
      <w:r w:rsidRPr="00030BB0">
        <w:rPr>
          <w:rFonts w:cs="Arial"/>
          <w:lang w:val="it-IT"/>
        </w:rPr>
        <w:t>Rafforzare la potenzialità  e la capacità dei servizi e dei sistemi chiave di supportare genitori e tutori nel compiere scelte informate riguardo i propri figli.</w:t>
      </w:r>
      <w:r w:rsidR="00C62233">
        <w:t xml:space="preserve"> </w:t>
      </w:r>
    </w:p>
    <w:p w14:paraId="5C779984" w14:textId="3661DEF2" w:rsidR="00C62233" w:rsidRDefault="00097CF4" w:rsidP="00B67DD9">
      <w:pPr>
        <w:pStyle w:val="ListParagraph"/>
        <w:numPr>
          <w:ilvl w:val="0"/>
          <w:numId w:val="17"/>
        </w:numPr>
        <w:spacing w:before="240" w:after="240" w:line="240" w:lineRule="auto"/>
        <w:contextualSpacing w:val="0"/>
      </w:pPr>
      <w:r w:rsidRPr="00030BB0">
        <w:rPr>
          <w:rFonts w:cs="Arial"/>
          <w:lang w:val="it-IT"/>
        </w:rPr>
        <w:t>Incoraggiare un più forte senso di inclusione e offrire opportunità a genitori, tutori e bambini di costruire reti amicali, anche per genitori e tutori aborigeni e abitanti delle isole dello Stretto di Torres e culturalmente e linguisticamente diversi.</w:t>
      </w:r>
    </w:p>
    <w:p w14:paraId="5D34BF7B" w14:textId="77777777" w:rsidR="00C62233" w:rsidRDefault="00C62233">
      <w:r>
        <w:br w:type="page"/>
      </w:r>
    </w:p>
    <w:p w14:paraId="4BA2C9CB" w14:textId="2DD1EACD" w:rsidR="00C62233" w:rsidRPr="0066071F" w:rsidRDefault="003C43C3" w:rsidP="0066071F">
      <w:pPr>
        <w:rPr>
          <w:b/>
          <w:bCs/>
          <w:color w:val="6C1740"/>
          <w:sz w:val="94"/>
          <w:szCs w:val="94"/>
        </w:rPr>
      </w:pPr>
      <w:r w:rsidRPr="003C43C3">
        <w:rPr>
          <w:b/>
          <w:bCs/>
          <w:color w:val="6C1740"/>
          <w:sz w:val="94"/>
          <w:szCs w:val="94"/>
        </w:rPr>
        <w:lastRenderedPageBreak/>
        <w:t xml:space="preserve">TAP per la prima </w:t>
      </w:r>
      <w:proofErr w:type="spellStart"/>
      <w:r w:rsidRPr="003C43C3">
        <w:rPr>
          <w:b/>
          <w:bCs/>
          <w:color w:val="6C1740"/>
          <w:sz w:val="94"/>
          <w:szCs w:val="94"/>
        </w:rPr>
        <w:t>infanzia</w:t>
      </w:r>
      <w:proofErr w:type="spellEnd"/>
    </w:p>
    <w:p w14:paraId="6F4842E9" w14:textId="142785A1" w:rsidR="00C62233" w:rsidRDefault="003C43C3" w:rsidP="0008481A">
      <w:pPr>
        <w:spacing w:before="240" w:after="240" w:line="240" w:lineRule="auto"/>
      </w:pPr>
      <w:r w:rsidRPr="00030BB0">
        <w:rPr>
          <w:rFonts w:cs="Arial"/>
          <w:lang w:val="it-IT"/>
        </w:rPr>
        <w:t>Tabella 7: TAP per la prima infanzia – stato di progresso delle azioni del governo nel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420"/>
        <w:gridCol w:w="1168"/>
        <w:gridCol w:w="1294"/>
        <w:gridCol w:w="1294"/>
        <w:gridCol w:w="1294"/>
        <w:gridCol w:w="1294"/>
      </w:tblGrid>
      <w:tr w:rsidR="000F20C1" w:rsidRPr="00A0186B" w14:paraId="0F859A2B" w14:textId="77777777" w:rsidTr="00DF186C">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2466B12B" w:rsidR="000F20C1" w:rsidRPr="00A0186B" w:rsidRDefault="000F20C1" w:rsidP="002A249B">
            <w:pPr>
              <w:spacing w:after="0" w:line="240" w:lineRule="auto"/>
              <w:rPr>
                <w:rFonts w:eastAsia="Times New Roman" w:cs="Arial"/>
                <w:b/>
                <w:color w:val="FFFFFF" w:themeColor="background1"/>
                <w:sz w:val="20"/>
                <w:szCs w:val="20"/>
                <w:lang w:eastAsia="en-AU"/>
              </w:rPr>
            </w:pPr>
            <w:bookmarkStart w:id="19" w:name="Title_07"/>
            <w:bookmarkEnd w:id="19"/>
            <w:r w:rsidRPr="003848ED">
              <w:rPr>
                <w:rFonts w:eastAsia="Times New Roman" w:cs="Calibri"/>
                <w:b/>
                <w:bCs/>
                <w:color w:val="FFFFFF" w:themeColor="background1"/>
                <w:lang w:val="it" w:eastAsia="en-AU"/>
              </w:rPr>
              <w:t>Governo</w:t>
            </w:r>
          </w:p>
        </w:tc>
        <w:tc>
          <w:tcPr>
            <w:tcW w:w="7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3F57BDA8" w:rsidR="000F20C1" w:rsidRPr="00A0186B" w:rsidRDefault="000F20C1" w:rsidP="00464AAF">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21437BB7" w:rsidR="000F20C1" w:rsidRPr="00A0186B" w:rsidRDefault="000F20C1"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2209C01A" w:rsidR="000F20C1" w:rsidRPr="00A0186B" w:rsidRDefault="000F20C1"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14293C28" w:rsidR="000F20C1" w:rsidRPr="00A0186B" w:rsidRDefault="000F20C1"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44A479B9" w:rsidR="000F20C1" w:rsidRPr="00A0186B" w:rsidRDefault="000F20C1"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156FA48E" w:rsidR="000F20C1" w:rsidRPr="00A0186B" w:rsidRDefault="000F20C1"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0F20C1" w:rsidRPr="00A0186B" w14:paraId="7BBDA31B" w14:textId="77777777" w:rsidTr="00DF186C">
        <w:trPr>
          <w:cantSplit/>
        </w:trPr>
        <w:tc>
          <w:tcPr>
            <w:tcW w:w="800" w:type="pct"/>
            <w:tcBorders>
              <w:top w:val="single" w:sz="4" w:space="0" w:color="auto"/>
            </w:tcBorders>
            <w:shd w:val="clear" w:color="auto" w:fill="auto"/>
            <w:noWrap/>
            <w:vAlign w:val="bottom"/>
            <w:hideMark/>
          </w:tcPr>
          <w:p w14:paraId="13781574" w14:textId="1A977D8B"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Gov. Australiano</w:t>
            </w:r>
          </w:p>
        </w:tc>
        <w:tc>
          <w:tcPr>
            <w:tcW w:w="768" w:type="pct"/>
            <w:tcBorders>
              <w:top w:val="single" w:sz="4" w:space="0" w:color="auto"/>
            </w:tcBorders>
            <w:shd w:val="clear" w:color="auto" w:fill="auto"/>
            <w:noWrap/>
            <w:vAlign w:val="bottom"/>
            <w:hideMark/>
          </w:tcPr>
          <w:p w14:paraId="00DBAE9A" w14:textId="28E7050E"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632" w:type="pct"/>
            <w:tcBorders>
              <w:top w:val="single" w:sz="4" w:space="0" w:color="auto"/>
            </w:tcBorders>
            <w:shd w:val="clear" w:color="auto" w:fill="auto"/>
            <w:noWrap/>
            <w:vAlign w:val="bottom"/>
            <w:hideMark/>
          </w:tcPr>
          <w:p w14:paraId="06C60AE9" w14:textId="36503EAE"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0F20C1" w:rsidRPr="00A0186B" w14:paraId="3C414D09" w14:textId="77777777" w:rsidTr="00DF186C">
        <w:trPr>
          <w:cantSplit/>
        </w:trPr>
        <w:tc>
          <w:tcPr>
            <w:tcW w:w="800" w:type="pct"/>
            <w:shd w:val="clear" w:color="auto" w:fill="FAF9F8"/>
            <w:noWrap/>
            <w:vAlign w:val="bottom"/>
            <w:hideMark/>
          </w:tcPr>
          <w:p w14:paraId="35273F0A" w14:textId="6EBDAE6F"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NSW</w:t>
            </w:r>
          </w:p>
        </w:tc>
        <w:tc>
          <w:tcPr>
            <w:tcW w:w="768" w:type="pct"/>
            <w:shd w:val="clear" w:color="auto" w:fill="FAF9F8"/>
            <w:noWrap/>
            <w:vAlign w:val="bottom"/>
            <w:hideMark/>
          </w:tcPr>
          <w:p w14:paraId="3DAA42C4"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32" w:type="pct"/>
            <w:shd w:val="clear" w:color="auto" w:fill="FAF9F8"/>
            <w:noWrap/>
            <w:vAlign w:val="bottom"/>
            <w:hideMark/>
          </w:tcPr>
          <w:p w14:paraId="47D034C4"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0F20C1" w:rsidRPr="00A0186B" w14:paraId="4CF8F4ED" w14:textId="77777777" w:rsidTr="00DF186C">
        <w:trPr>
          <w:cantSplit/>
        </w:trPr>
        <w:tc>
          <w:tcPr>
            <w:tcW w:w="800" w:type="pct"/>
            <w:shd w:val="clear" w:color="auto" w:fill="auto"/>
            <w:noWrap/>
            <w:vAlign w:val="bottom"/>
            <w:hideMark/>
          </w:tcPr>
          <w:p w14:paraId="303537E0" w14:textId="2588F081"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VIC</w:t>
            </w:r>
          </w:p>
        </w:tc>
        <w:tc>
          <w:tcPr>
            <w:tcW w:w="768" w:type="pct"/>
            <w:shd w:val="clear" w:color="auto" w:fill="auto"/>
            <w:noWrap/>
            <w:vAlign w:val="bottom"/>
            <w:hideMark/>
          </w:tcPr>
          <w:p w14:paraId="04AD4B8B"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32" w:type="pct"/>
            <w:shd w:val="clear" w:color="auto" w:fill="auto"/>
            <w:noWrap/>
            <w:vAlign w:val="bottom"/>
            <w:hideMark/>
          </w:tcPr>
          <w:p w14:paraId="0737CBB2"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0F20C1" w:rsidRPr="00A0186B" w14:paraId="73C88263" w14:textId="77777777" w:rsidTr="00DF186C">
        <w:trPr>
          <w:cantSplit/>
        </w:trPr>
        <w:tc>
          <w:tcPr>
            <w:tcW w:w="800" w:type="pct"/>
            <w:shd w:val="clear" w:color="auto" w:fill="FAF9F8"/>
            <w:noWrap/>
            <w:vAlign w:val="bottom"/>
            <w:hideMark/>
          </w:tcPr>
          <w:p w14:paraId="05D90CBB" w14:textId="5B645376"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QLD</w:t>
            </w:r>
          </w:p>
        </w:tc>
        <w:tc>
          <w:tcPr>
            <w:tcW w:w="768" w:type="pct"/>
            <w:shd w:val="clear" w:color="auto" w:fill="FAF9F8"/>
            <w:noWrap/>
            <w:vAlign w:val="bottom"/>
            <w:hideMark/>
          </w:tcPr>
          <w:p w14:paraId="72CA133C"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32" w:type="pct"/>
            <w:shd w:val="clear" w:color="auto" w:fill="FAF9F8"/>
            <w:noWrap/>
            <w:vAlign w:val="bottom"/>
            <w:hideMark/>
          </w:tcPr>
          <w:p w14:paraId="4D50D291"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0F20C1" w:rsidRPr="00A0186B" w14:paraId="3C10E678" w14:textId="77777777" w:rsidTr="00DF186C">
        <w:trPr>
          <w:cantSplit/>
        </w:trPr>
        <w:tc>
          <w:tcPr>
            <w:tcW w:w="800" w:type="pct"/>
            <w:shd w:val="clear" w:color="auto" w:fill="auto"/>
            <w:noWrap/>
            <w:vAlign w:val="bottom"/>
            <w:hideMark/>
          </w:tcPr>
          <w:p w14:paraId="6E3F0227" w14:textId="40B75F2E"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WA</w:t>
            </w:r>
          </w:p>
        </w:tc>
        <w:tc>
          <w:tcPr>
            <w:tcW w:w="768" w:type="pct"/>
            <w:shd w:val="clear" w:color="auto" w:fill="auto"/>
            <w:noWrap/>
            <w:vAlign w:val="bottom"/>
            <w:hideMark/>
          </w:tcPr>
          <w:p w14:paraId="02428B7B"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32" w:type="pct"/>
            <w:shd w:val="clear" w:color="auto" w:fill="auto"/>
            <w:noWrap/>
            <w:vAlign w:val="bottom"/>
            <w:hideMark/>
          </w:tcPr>
          <w:p w14:paraId="4DEDA428"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0F20C1" w:rsidRPr="00A0186B" w14:paraId="1E835043" w14:textId="77777777" w:rsidTr="00DF186C">
        <w:trPr>
          <w:cantSplit/>
        </w:trPr>
        <w:tc>
          <w:tcPr>
            <w:tcW w:w="800" w:type="pct"/>
            <w:shd w:val="clear" w:color="auto" w:fill="FAF9F8"/>
            <w:noWrap/>
            <w:vAlign w:val="bottom"/>
            <w:hideMark/>
          </w:tcPr>
          <w:p w14:paraId="6F6661B5" w14:textId="71E94C88"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SA</w:t>
            </w:r>
          </w:p>
        </w:tc>
        <w:tc>
          <w:tcPr>
            <w:tcW w:w="768" w:type="pct"/>
            <w:shd w:val="clear" w:color="auto" w:fill="FAF9F8"/>
            <w:noWrap/>
            <w:vAlign w:val="bottom"/>
            <w:hideMark/>
          </w:tcPr>
          <w:p w14:paraId="45BF4DF8"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632" w:type="pct"/>
            <w:shd w:val="clear" w:color="auto" w:fill="FAF9F8"/>
            <w:noWrap/>
            <w:vAlign w:val="bottom"/>
            <w:hideMark/>
          </w:tcPr>
          <w:p w14:paraId="571F0E9D"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0F20C1" w:rsidRPr="00A0186B" w14:paraId="0A629A38" w14:textId="77777777" w:rsidTr="00DF186C">
        <w:trPr>
          <w:cantSplit/>
        </w:trPr>
        <w:tc>
          <w:tcPr>
            <w:tcW w:w="800" w:type="pct"/>
            <w:shd w:val="clear" w:color="auto" w:fill="auto"/>
            <w:noWrap/>
            <w:vAlign w:val="bottom"/>
            <w:hideMark/>
          </w:tcPr>
          <w:p w14:paraId="2EAAEFE9" w14:textId="4752D0B3"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TAS</w:t>
            </w:r>
          </w:p>
        </w:tc>
        <w:tc>
          <w:tcPr>
            <w:tcW w:w="768" w:type="pct"/>
            <w:shd w:val="clear" w:color="auto" w:fill="auto"/>
            <w:noWrap/>
            <w:vAlign w:val="bottom"/>
            <w:hideMark/>
          </w:tcPr>
          <w:p w14:paraId="6EC281C0"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32" w:type="pct"/>
            <w:shd w:val="clear" w:color="auto" w:fill="auto"/>
            <w:noWrap/>
            <w:vAlign w:val="bottom"/>
            <w:hideMark/>
          </w:tcPr>
          <w:p w14:paraId="36F8A739"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0F20C1" w:rsidRPr="00A0186B" w14:paraId="13287316" w14:textId="77777777" w:rsidTr="00DF186C">
        <w:trPr>
          <w:cantSplit/>
        </w:trPr>
        <w:tc>
          <w:tcPr>
            <w:tcW w:w="800" w:type="pct"/>
            <w:shd w:val="clear" w:color="auto" w:fill="FAF9F8"/>
            <w:noWrap/>
            <w:vAlign w:val="bottom"/>
            <w:hideMark/>
          </w:tcPr>
          <w:p w14:paraId="03C3052E" w14:textId="322A6600"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ACT</w:t>
            </w:r>
          </w:p>
        </w:tc>
        <w:tc>
          <w:tcPr>
            <w:tcW w:w="768" w:type="pct"/>
            <w:shd w:val="clear" w:color="auto" w:fill="FAF9F8"/>
            <w:noWrap/>
            <w:vAlign w:val="bottom"/>
            <w:hideMark/>
          </w:tcPr>
          <w:p w14:paraId="6BAA56FA"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632" w:type="pct"/>
            <w:shd w:val="clear" w:color="auto" w:fill="FAF9F8"/>
            <w:noWrap/>
            <w:vAlign w:val="bottom"/>
            <w:hideMark/>
          </w:tcPr>
          <w:p w14:paraId="00D7A78A"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0F20C1" w:rsidRPr="00A0186B" w14:paraId="3B706D58" w14:textId="77777777" w:rsidTr="00DF186C">
        <w:trPr>
          <w:cantSplit/>
        </w:trPr>
        <w:tc>
          <w:tcPr>
            <w:tcW w:w="800" w:type="pct"/>
            <w:shd w:val="clear" w:color="auto" w:fill="auto"/>
            <w:noWrap/>
            <w:vAlign w:val="bottom"/>
            <w:hideMark/>
          </w:tcPr>
          <w:p w14:paraId="11D3BBE8" w14:textId="1E8F7858" w:rsidR="000F20C1" w:rsidRPr="00A0186B" w:rsidRDefault="000F20C1" w:rsidP="002A249B">
            <w:pPr>
              <w:spacing w:after="0" w:line="240" w:lineRule="auto"/>
              <w:rPr>
                <w:rFonts w:eastAsia="Times New Roman" w:cs="Arial"/>
                <w:color w:val="000000"/>
                <w:sz w:val="20"/>
                <w:szCs w:val="20"/>
                <w:lang w:eastAsia="en-AU"/>
              </w:rPr>
            </w:pPr>
            <w:r w:rsidRPr="00F0567C">
              <w:rPr>
                <w:rFonts w:eastAsia="Times New Roman" w:cs="Calibri"/>
                <w:color w:val="000000"/>
                <w:lang w:val="it" w:eastAsia="en-AU"/>
              </w:rPr>
              <w:t>NT</w:t>
            </w:r>
          </w:p>
        </w:tc>
        <w:tc>
          <w:tcPr>
            <w:tcW w:w="768" w:type="pct"/>
            <w:shd w:val="clear" w:color="auto" w:fill="auto"/>
            <w:noWrap/>
            <w:vAlign w:val="bottom"/>
            <w:hideMark/>
          </w:tcPr>
          <w:p w14:paraId="02DC6D81"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32" w:type="pct"/>
            <w:shd w:val="clear" w:color="auto" w:fill="auto"/>
            <w:noWrap/>
            <w:vAlign w:val="bottom"/>
            <w:hideMark/>
          </w:tcPr>
          <w:p w14:paraId="5D61A682"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0F20C1" w:rsidRPr="00A0186B" w:rsidRDefault="000F20C1"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0F20C1" w:rsidRPr="00A0186B" w:rsidRDefault="000F20C1"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0F20C1" w:rsidRPr="00A0186B" w14:paraId="638EE825" w14:textId="77777777" w:rsidTr="00DF186C">
        <w:trPr>
          <w:cantSplit/>
        </w:trPr>
        <w:tc>
          <w:tcPr>
            <w:tcW w:w="800" w:type="pct"/>
            <w:shd w:val="clear" w:color="auto" w:fill="E4E9F3"/>
            <w:noWrap/>
            <w:vAlign w:val="bottom"/>
            <w:hideMark/>
          </w:tcPr>
          <w:p w14:paraId="631F8AAE" w14:textId="407F930A" w:rsidR="000F20C1" w:rsidRPr="00A0186B" w:rsidRDefault="000F20C1" w:rsidP="002A249B">
            <w:pPr>
              <w:spacing w:after="0" w:line="240" w:lineRule="auto"/>
              <w:rPr>
                <w:rFonts w:eastAsia="Times New Roman" w:cs="Arial"/>
                <w:b/>
                <w:color w:val="000000"/>
                <w:sz w:val="20"/>
                <w:szCs w:val="20"/>
                <w:lang w:eastAsia="en-AU"/>
              </w:rPr>
            </w:pPr>
            <w:r w:rsidRPr="00F0567C">
              <w:rPr>
                <w:rFonts w:eastAsia="Times New Roman" w:cs="Calibri"/>
                <w:b/>
                <w:bCs/>
                <w:color w:val="000000"/>
                <w:lang w:val="it" w:eastAsia="en-AU"/>
              </w:rPr>
              <w:t>Totale nazionale</w:t>
            </w:r>
          </w:p>
        </w:tc>
        <w:tc>
          <w:tcPr>
            <w:tcW w:w="768" w:type="pct"/>
            <w:shd w:val="clear" w:color="auto" w:fill="E4E9F3"/>
            <w:noWrap/>
            <w:vAlign w:val="bottom"/>
            <w:hideMark/>
          </w:tcPr>
          <w:p w14:paraId="4C181A83" w14:textId="581FE8EF" w:rsidR="000F20C1" w:rsidRPr="00A0186B" w:rsidRDefault="000F20C1"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632" w:type="pct"/>
            <w:shd w:val="clear" w:color="auto" w:fill="E4E9F3"/>
            <w:noWrap/>
            <w:vAlign w:val="bottom"/>
            <w:hideMark/>
          </w:tcPr>
          <w:p w14:paraId="53BE039B" w14:textId="5FF75BA2" w:rsidR="000F20C1" w:rsidRPr="00A0186B" w:rsidRDefault="000F20C1"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0F20C1" w:rsidRPr="00A0186B" w:rsidRDefault="000F20C1"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0F20C1" w:rsidRPr="00A0186B" w:rsidRDefault="000F20C1"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0F20C1" w:rsidRPr="00A0186B" w:rsidRDefault="000F20C1"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0F20C1" w:rsidRPr="00A0186B" w:rsidRDefault="000F20C1"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19BE47F3" w:rsidR="00C62233" w:rsidRDefault="003C43C3" w:rsidP="0008481A">
      <w:pPr>
        <w:spacing w:before="240" w:after="240" w:line="240" w:lineRule="auto"/>
      </w:pPr>
      <w:r w:rsidRPr="00030BB0">
        <w:rPr>
          <w:rFonts w:cs="Arial"/>
          <w:lang w:val="it-IT"/>
        </w:rPr>
        <w:t>Tabella 8: TAP Prima Infanzia – progresso delle azioni per obiettivo nel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418"/>
        <w:gridCol w:w="1170"/>
        <w:gridCol w:w="1294"/>
        <w:gridCol w:w="1294"/>
        <w:gridCol w:w="1294"/>
        <w:gridCol w:w="1292"/>
      </w:tblGrid>
      <w:tr w:rsidR="000F20C1" w:rsidRPr="00A0186B" w14:paraId="48214A0A" w14:textId="77777777" w:rsidTr="00DF186C">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4D506BA3" w:rsidR="000F20C1" w:rsidRPr="00A0186B" w:rsidRDefault="000F20C1" w:rsidP="00DD5550">
            <w:pPr>
              <w:spacing w:after="0" w:line="240" w:lineRule="auto"/>
              <w:rPr>
                <w:rFonts w:eastAsia="Times New Roman" w:cs="Arial"/>
                <w:b/>
                <w:bCs/>
                <w:color w:val="FFFFFF" w:themeColor="background1"/>
                <w:sz w:val="20"/>
                <w:szCs w:val="20"/>
                <w:lang w:eastAsia="en-AU"/>
              </w:rPr>
            </w:pPr>
            <w:bookmarkStart w:id="20" w:name="Title_08"/>
            <w:bookmarkEnd w:id="20"/>
            <w:r w:rsidRPr="00F80414">
              <w:rPr>
                <w:rFonts w:eastAsia="Times New Roman" w:cs="Calibri"/>
                <w:b/>
                <w:bCs/>
                <w:color w:val="FFFFFF" w:themeColor="background1"/>
                <w:lang w:val="it" w:eastAsia="en-AU"/>
              </w:rPr>
              <w:t>Obiettivo</w:t>
            </w:r>
          </w:p>
        </w:tc>
        <w:tc>
          <w:tcPr>
            <w:tcW w:w="76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683E1925" w:rsidR="000F20C1" w:rsidRPr="00A0186B" w:rsidRDefault="000F20C1" w:rsidP="00DD5550">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05C3F945" w:rsidR="000F20C1" w:rsidRPr="00A0186B" w:rsidRDefault="000F20C1" w:rsidP="00DD5550">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5A28AF3F" w:rsidR="000F20C1" w:rsidRPr="00A0186B" w:rsidRDefault="000F20C1" w:rsidP="00DD5550">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259897C9" w:rsidR="000F20C1" w:rsidRPr="00A0186B" w:rsidRDefault="000F20C1" w:rsidP="00DD5550">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2F95D416" w:rsidR="000F20C1" w:rsidRPr="00A0186B" w:rsidRDefault="000F20C1" w:rsidP="00DD5550">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7B0BC96B" w:rsidR="000F20C1" w:rsidRPr="00A0186B" w:rsidRDefault="000F20C1" w:rsidP="00DD5550">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7179F9" w:rsidRPr="00A0186B" w14:paraId="1D2512DA" w14:textId="77777777" w:rsidTr="00DF186C">
        <w:trPr>
          <w:cantSplit/>
        </w:trPr>
        <w:tc>
          <w:tcPr>
            <w:tcW w:w="801" w:type="pct"/>
            <w:tcBorders>
              <w:top w:val="single" w:sz="4" w:space="0" w:color="auto"/>
            </w:tcBorders>
            <w:shd w:val="clear" w:color="auto" w:fill="auto"/>
            <w:noWrap/>
            <w:vAlign w:val="bottom"/>
            <w:hideMark/>
          </w:tcPr>
          <w:p w14:paraId="40223195" w14:textId="355903B2" w:rsidR="007179F9" w:rsidRPr="00A0186B" w:rsidRDefault="007179F9" w:rsidP="00785761">
            <w:pPr>
              <w:spacing w:after="0" w:line="240" w:lineRule="auto"/>
              <w:rPr>
                <w:rFonts w:eastAsia="Times New Roman" w:cs="Arial"/>
                <w:sz w:val="20"/>
                <w:szCs w:val="20"/>
                <w:lang w:eastAsia="en-AU"/>
              </w:rPr>
            </w:pPr>
            <w:r w:rsidRPr="00F0567C">
              <w:rPr>
                <w:rFonts w:eastAsia="Times New Roman" w:cs="Calibri"/>
                <w:color w:val="000000"/>
                <w:lang w:val="it" w:eastAsia="en-AU"/>
              </w:rPr>
              <w:t>Obiettivo 1</w:t>
            </w:r>
          </w:p>
        </w:tc>
        <w:tc>
          <w:tcPr>
            <w:tcW w:w="767" w:type="pct"/>
            <w:tcBorders>
              <w:top w:val="single" w:sz="4" w:space="0" w:color="auto"/>
            </w:tcBorders>
            <w:shd w:val="clear" w:color="auto" w:fill="auto"/>
            <w:noWrap/>
            <w:vAlign w:val="bottom"/>
            <w:hideMark/>
          </w:tcPr>
          <w:p w14:paraId="7AD4F3B2" w14:textId="11F37C9F"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633" w:type="pct"/>
            <w:tcBorders>
              <w:top w:val="single" w:sz="4" w:space="0" w:color="auto"/>
            </w:tcBorders>
            <w:shd w:val="clear" w:color="auto" w:fill="auto"/>
            <w:noWrap/>
            <w:vAlign w:val="bottom"/>
            <w:hideMark/>
          </w:tcPr>
          <w:p w14:paraId="5695FA4F" w14:textId="44C0DE71"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7179F9" w:rsidRPr="00A0186B" w:rsidRDefault="007179F9"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7179F9" w:rsidRPr="00A0186B" w14:paraId="49E3D338" w14:textId="77777777" w:rsidTr="00DF186C">
        <w:trPr>
          <w:cantSplit/>
        </w:trPr>
        <w:tc>
          <w:tcPr>
            <w:tcW w:w="801" w:type="pct"/>
            <w:shd w:val="clear" w:color="auto" w:fill="FAF9F8"/>
            <w:noWrap/>
            <w:vAlign w:val="bottom"/>
            <w:hideMark/>
          </w:tcPr>
          <w:p w14:paraId="3251091E" w14:textId="29BFDA79" w:rsidR="007179F9" w:rsidRPr="00A0186B" w:rsidRDefault="007179F9" w:rsidP="00785761">
            <w:pPr>
              <w:spacing w:after="0" w:line="240" w:lineRule="auto"/>
              <w:rPr>
                <w:rFonts w:eastAsia="Times New Roman" w:cs="Arial"/>
                <w:sz w:val="20"/>
                <w:szCs w:val="20"/>
                <w:lang w:eastAsia="en-AU"/>
              </w:rPr>
            </w:pPr>
            <w:r w:rsidRPr="00F0567C">
              <w:rPr>
                <w:rFonts w:eastAsia="Times New Roman" w:cs="Calibri"/>
                <w:color w:val="000000"/>
                <w:lang w:val="it" w:eastAsia="en-AU"/>
              </w:rPr>
              <w:t>Obiettivo 2</w:t>
            </w:r>
          </w:p>
        </w:tc>
        <w:tc>
          <w:tcPr>
            <w:tcW w:w="767" w:type="pct"/>
            <w:shd w:val="clear" w:color="auto" w:fill="FAF9F8"/>
            <w:noWrap/>
            <w:vAlign w:val="bottom"/>
            <w:hideMark/>
          </w:tcPr>
          <w:p w14:paraId="69D78828" w14:textId="59AAF1F8"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633" w:type="pct"/>
            <w:shd w:val="clear" w:color="auto" w:fill="FAF9F8"/>
            <w:noWrap/>
            <w:vAlign w:val="bottom"/>
            <w:hideMark/>
          </w:tcPr>
          <w:p w14:paraId="0C8F5295" w14:textId="527C17CC"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7179F9" w:rsidRPr="00A0186B" w:rsidRDefault="007179F9"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7179F9" w:rsidRPr="00A0186B" w14:paraId="6C460B42" w14:textId="77777777" w:rsidTr="00DF186C">
        <w:trPr>
          <w:cantSplit/>
        </w:trPr>
        <w:tc>
          <w:tcPr>
            <w:tcW w:w="801" w:type="pct"/>
            <w:shd w:val="clear" w:color="auto" w:fill="auto"/>
            <w:noWrap/>
            <w:vAlign w:val="bottom"/>
            <w:hideMark/>
          </w:tcPr>
          <w:p w14:paraId="442AE722" w14:textId="1E4313CE" w:rsidR="007179F9" w:rsidRPr="00A0186B" w:rsidRDefault="007179F9" w:rsidP="00785761">
            <w:pPr>
              <w:spacing w:after="0" w:line="240" w:lineRule="auto"/>
              <w:rPr>
                <w:rFonts w:eastAsia="Times New Roman" w:cs="Arial"/>
                <w:sz w:val="20"/>
                <w:szCs w:val="20"/>
                <w:lang w:eastAsia="en-AU"/>
              </w:rPr>
            </w:pPr>
            <w:r w:rsidRPr="00F0567C">
              <w:rPr>
                <w:rFonts w:eastAsia="Times New Roman" w:cs="Calibri"/>
                <w:color w:val="000000"/>
                <w:lang w:val="it" w:eastAsia="en-AU"/>
              </w:rPr>
              <w:t>Obiettivo</w:t>
            </w:r>
            <w:r w:rsidRPr="00C50630">
              <w:rPr>
                <w:rFonts w:eastAsia="Times New Roman" w:cs="Arial"/>
                <w:color w:val="000000"/>
                <w:sz w:val="20"/>
                <w:szCs w:val="20"/>
                <w:lang w:eastAsia="en-AU"/>
              </w:rPr>
              <w:t xml:space="preserve"> 3</w:t>
            </w:r>
          </w:p>
        </w:tc>
        <w:tc>
          <w:tcPr>
            <w:tcW w:w="767" w:type="pct"/>
            <w:shd w:val="clear" w:color="auto" w:fill="auto"/>
            <w:noWrap/>
            <w:vAlign w:val="bottom"/>
            <w:hideMark/>
          </w:tcPr>
          <w:p w14:paraId="3CF1CA62" w14:textId="238DB9F7"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33" w:type="pct"/>
            <w:shd w:val="clear" w:color="auto" w:fill="auto"/>
            <w:noWrap/>
            <w:vAlign w:val="bottom"/>
            <w:hideMark/>
          </w:tcPr>
          <w:p w14:paraId="22EDF2EF" w14:textId="737F3883"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7179F9" w:rsidRPr="00A0186B" w:rsidRDefault="007179F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7179F9" w:rsidRPr="00A0186B" w:rsidRDefault="007179F9"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DF186C">
        <w:trPr>
          <w:cantSplit/>
        </w:trPr>
        <w:tc>
          <w:tcPr>
            <w:tcW w:w="801" w:type="pct"/>
            <w:shd w:val="clear" w:color="auto" w:fill="E4E9F3"/>
            <w:noWrap/>
            <w:vAlign w:val="bottom"/>
            <w:hideMark/>
          </w:tcPr>
          <w:p w14:paraId="2CFF44A9" w14:textId="564E0690" w:rsidR="00785761" w:rsidRPr="00A0186B" w:rsidRDefault="007179F9" w:rsidP="00785761">
            <w:pPr>
              <w:spacing w:after="0" w:line="240" w:lineRule="auto"/>
              <w:rPr>
                <w:rFonts w:eastAsia="Times New Roman" w:cs="Arial"/>
                <w:b/>
                <w:sz w:val="20"/>
                <w:szCs w:val="20"/>
                <w:lang w:eastAsia="en-AU"/>
              </w:rPr>
            </w:pPr>
            <w:r w:rsidRPr="00F0567C">
              <w:rPr>
                <w:rFonts w:eastAsia="Times New Roman" w:cs="Calibri"/>
                <w:b/>
                <w:bCs/>
                <w:color w:val="000000"/>
                <w:lang w:val="it" w:eastAsia="en-AU"/>
              </w:rPr>
              <w:t>Totale</w:t>
            </w:r>
          </w:p>
        </w:tc>
        <w:tc>
          <w:tcPr>
            <w:tcW w:w="767"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633"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35D7ED0D" w:rsidR="00C62233" w:rsidRPr="00C62233" w:rsidRDefault="00DF186C" w:rsidP="0094489E">
      <w:pPr>
        <w:pStyle w:val="Heading1"/>
      </w:pPr>
      <w:bookmarkStart w:id="21" w:name="_Toc153298582"/>
      <w:r w:rsidRPr="00030BB0">
        <w:rPr>
          <w:rFonts w:cs="Arial"/>
          <w:lang w:val="it-IT"/>
        </w:rPr>
        <w:lastRenderedPageBreak/>
        <w:t>Piano d'azione mirato alla sicurezza</w:t>
      </w:r>
      <w:bookmarkEnd w:id="21"/>
    </w:p>
    <w:p w14:paraId="583BD182" w14:textId="056208A0" w:rsidR="00DA227A" w:rsidRPr="005812E6" w:rsidRDefault="005812E6" w:rsidP="00515A1C">
      <w:pPr>
        <w:pStyle w:val="Heading2"/>
        <w:pBdr>
          <w:top w:val="none" w:sz="0" w:space="0" w:color="auto"/>
        </w:pBdr>
      </w:pPr>
      <w:bookmarkStart w:id="22" w:name="_Toc153298583"/>
      <w:proofErr w:type="spellStart"/>
      <w:r w:rsidRPr="005812E6">
        <w:rPr>
          <w:rFonts w:cs="Arial"/>
        </w:rPr>
        <w:t>Introduzione</w:t>
      </w:r>
      <w:bookmarkEnd w:id="22"/>
      <w:proofErr w:type="spellEnd"/>
    </w:p>
    <w:p w14:paraId="0458D678" w14:textId="77777777" w:rsidR="005812E6" w:rsidRPr="00030BB0" w:rsidRDefault="005812E6" w:rsidP="005812E6">
      <w:pPr>
        <w:spacing w:before="240" w:after="240" w:line="240" w:lineRule="auto"/>
        <w:rPr>
          <w:rFonts w:cs="Arial"/>
          <w:lang w:val="it-IT"/>
        </w:rPr>
      </w:pPr>
      <w:r w:rsidRPr="00030BB0">
        <w:rPr>
          <w:rFonts w:cs="Arial"/>
          <w:lang w:val="it-IT"/>
        </w:rPr>
        <w:t>Il TAP sulla sicurezza è concepito per favorire i progressi nell’ambito dell’area dei risultati sicurezza, diritti e giustizia dell’ADS.</w:t>
      </w:r>
    </w:p>
    <w:p w14:paraId="5F287037" w14:textId="77777777" w:rsidR="005812E6" w:rsidRPr="00030BB0" w:rsidRDefault="005812E6" w:rsidP="005812E6">
      <w:pPr>
        <w:spacing w:before="240" w:after="240" w:line="240" w:lineRule="auto"/>
        <w:rPr>
          <w:rFonts w:cs="Arial"/>
          <w:lang w:val="it-IT"/>
        </w:rPr>
      </w:pPr>
      <w:r w:rsidRPr="00030BB0">
        <w:rPr>
          <w:rFonts w:cs="Arial"/>
          <w:lang w:val="it-IT"/>
        </w:rPr>
        <w:t>Questa area di risultato mira a garantire che i diritti delle persone con disabilità siano promossi, rispettati e tutelati e che le persone con disabilità si sentano sicure e siano uguali davanti alla legge.</w:t>
      </w:r>
    </w:p>
    <w:p w14:paraId="2D65D7C8" w14:textId="77777777" w:rsidR="005812E6" w:rsidRPr="00030BB0" w:rsidRDefault="005812E6" w:rsidP="005812E6">
      <w:pPr>
        <w:spacing w:before="240" w:after="240" w:line="240" w:lineRule="auto"/>
        <w:rPr>
          <w:rFonts w:cs="Arial"/>
          <w:lang w:val="it-IT"/>
        </w:rPr>
      </w:pPr>
      <w:r w:rsidRPr="00030BB0">
        <w:rPr>
          <w:rFonts w:cs="Arial"/>
          <w:lang w:val="it-IT"/>
        </w:rPr>
        <w:t>Nell’ambito del TAP sulla sicurezza sono segnalate 117 azioni tra i governi australiani, statali e territoriali per il periodo 2022-2023.</w:t>
      </w:r>
    </w:p>
    <w:p w14:paraId="052C0217" w14:textId="3713D96A" w:rsidR="005812E6" w:rsidRDefault="005812E6" w:rsidP="005812E6">
      <w:pPr>
        <w:spacing w:before="240" w:after="240" w:line="240" w:lineRule="auto"/>
      </w:pPr>
      <w:r w:rsidRPr="00030BB0">
        <w:rPr>
          <w:rFonts w:cs="Arial"/>
          <w:lang w:val="it-IT"/>
        </w:rPr>
        <w:t>Ciò include azioni che supportano l’identificazione delle persone con disabilità a rischio di danni, considerano come allineare meglio la legislazione e la politica nazionale e migliorano i servizi e le risorse a sostegno delle persone a rischio.</w:t>
      </w:r>
    </w:p>
    <w:p w14:paraId="1ABC1D7A" w14:textId="67BD33A0" w:rsidR="00C62233" w:rsidRPr="005812E6" w:rsidRDefault="005812E6" w:rsidP="00B71B33">
      <w:pPr>
        <w:pStyle w:val="Heading2"/>
      </w:pPr>
      <w:bookmarkStart w:id="23" w:name="_Toc153298584"/>
      <w:proofErr w:type="spellStart"/>
      <w:r w:rsidRPr="005812E6">
        <w:rPr>
          <w:rFonts w:cs="Arial"/>
        </w:rPr>
        <w:t>Obiettivi</w:t>
      </w:r>
      <w:bookmarkEnd w:id="23"/>
      <w:proofErr w:type="spellEnd"/>
    </w:p>
    <w:p w14:paraId="55EC2423" w14:textId="77777777" w:rsidR="005812E6" w:rsidRPr="005812E6" w:rsidRDefault="005812E6" w:rsidP="00B67DD9">
      <w:pPr>
        <w:pStyle w:val="ListParagraph"/>
        <w:numPr>
          <w:ilvl w:val="0"/>
          <w:numId w:val="21"/>
        </w:numPr>
        <w:spacing w:after="120" w:line="240" w:lineRule="auto"/>
        <w:contextualSpacing w:val="0"/>
        <w:rPr>
          <w:rFonts w:cs="Arial"/>
          <w:lang w:val="it-IT"/>
        </w:rPr>
      </w:pPr>
      <w:r w:rsidRPr="005812E6">
        <w:rPr>
          <w:rFonts w:cs="Arial"/>
          <w:lang w:val="it-IT"/>
        </w:rPr>
        <w:t>Sviluppare la capacità di identificare e rispondere ai fattori di rischio e di protezione che fanno sì che una persona con disabilità subisca, o possa essere a rischio di subire un danno.</w:t>
      </w:r>
    </w:p>
    <w:p w14:paraId="5F332C41" w14:textId="1F7C7BE9" w:rsidR="005812E6" w:rsidRPr="005812E6" w:rsidRDefault="005812E6" w:rsidP="00B67DD9">
      <w:pPr>
        <w:pStyle w:val="ListParagraph"/>
        <w:numPr>
          <w:ilvl w:val="0"/>
          <w:numId w:val="21"/>
        </w:numPr>
        <w:spacing w:after="120" w:line="240" w:lineRule="auto"/>
        <w:contextualSpacing w:val="0"/>
        <w:rPr>
          <w:rFonts w:cs="Arial"/>
          <w:lang w:val="it-IT"/>
        </w:rPr>
      </w:pPr>
      <w:r w:rsidRPr="005812E6">
        <w:rPr>
          <w:rFonts w:cs="Arial"/>
          <w:lang w:val="it-IT"/>
        </w:rPr>
        <w:t>Garantire che i servizi tradizionali e specialistici per la disabilità forniscano protezioni adeguate e proporzionate alle persone con disabilità che subiscono o potrebbero essere a rischio di subire danni.</w:t>
      </w:r>
    </w:p>
    <w:p w14:paraId="493595C6" w14:textId="06E63D3F" w:rsidR="005812E6" w:rsidRPr="005812E6" w:rsidRDefault="005812E6" w:rsidP="00B67DD9">
      <w:pPr>
        <w:pStyle w:val="ListParagraph"/>
        <w:numPr>
          <w:ilvl w:val="0"/>
          <w:numId w:val="21"/>
        </w:numPr>
        <w:spacing w:after="120" w:line="240" w:lineRule="auto"/>
        <w:contextualSpacing w:val="0"/>
        <w:rPr>
          <w:rFonts w:cs="Arial"/>
          <w:lang w:val="it-IT"/>
        </w:rPr>
      </w:pPr>
      <w:r w:rsidRPr="005812E6">
        <w:rPr>
          <w:rFonts w:cs="Arial"/>
          <w:lang w:val="it-IT"/>
        </w:rPr>
        <w:t>Rafforzare la progettazione di tutti i sistemi di servizi pubblici e il supporto che forniscono alle persone con disabilità a rischio di subire danni.</w:t>
      </w:r>
    </w:p>
    <w:p w14:paraId="27BFB6CE" w14:textId="20BAFFAB" w:rsidR="005812E6" w:rsidRPr="005812E6" w:rsidRDefault="005812E6" w:rsidP="00B67DD9">
      <w:pPr>
        <w:pStyle w:val="ListParagraph"/>
        <w:numPr>
          <w:ilvl w:val="0"/>
          <w:numId w:val="21"/>
        </w:numPr>
        <w:spacing w:after="120" w:line="240" w:lineRule="auto"/>
        <w:contextualSpacing w:val="0"/>
        <w:rPr>
          <w:rFonts w:cs="Arial"/>
          <w:lang w:val="it-IT"/>
        </w:rPr>
      </w:pPr>
      <w:r w:rsidRPr="005812E6">
        <w:rPr>
          <w:rFonts w:cs="Arial"/>
          <w:lang w:val="it-IT"/>
        </w:rPr>
        <w:t>Ridurre ed eliminare l'uso di pratiche restrittive in tutti i sistemi di servizi pubblici.</w:t>
      </w:r>
    </w:p>
    <w:p w14:paraId="77D588C0" w14:textId="02255766" w:rsidR="005812E6" w:rsidRDefault="005812E6" w:rsidP="00B67DD9">
      <w:pPr>
        <w:pStyle w:val="ListParagraph"/>
        <w:numPr>
          <w:ilvl w:val="0"/>
          <w:numId w:val="21"/>
        </w:numPr>
        <w:spacing w:after="120" w:line="240" w:lineRule="auto"/>
        <w:contextualSpacing w:val="0"/>
      </w:pPr>
      <w:r w:rsidRPr="00030BB0">
        <w:rPr>
          <w:rFonts w:cs="Arial"/>
          <w:lang w:val="it-IT"/>
        </w:rPr>
        <w:t>Costruire capacità individuali e salvaguardie naturali efficaci (ovvero supporti e protezioni informali come il collegamento con la famiglia e la comunità) delle persone con disabilità.</w:t>
      </w:r>
    </w:p>
    <w:p w14:paraId="6F491625" w14:textId="77777777" w:rsidR="00C62233" w:rsidRDefault="00C62233">
      <w:r>
        <w:br w:type="page"/>
      </w:r>
    </w:p>
    <w:p w14:paraId="61E37569" w14:textId="222659B9" w:rsidR="00C62233" w:rsidRPr="0066071F" w:rsidRDefault="0043354E" w:rsidP="0066071F">
      <w:pPr>
        <w:rPr>
          <w:b/>
          <w:bCs/>
          <w:color w:val="6C1740"/>
          <w:sz w:val="94"/>
          <w:szCs w:val="94"/>
        </w:rPr>
      </w:pPr>
      <w:r w:rsidRPr="0043354E">
        <w:rPr>
          <w:b/>
          <w:bCs/>
          <w:color w:val="6C1740"/>
          <w:sz w:val="94"/>
          <w:szCs w:val="94"/>
        </w:rPr>
        <w:lastRenderedPageBreak/>
        <w:t xml:space="preserve">TAP </w:t>
      </w:r>
      <w:proofErr w:type="spellStart"/>
      <w:proofErr w:type="gramStart"/>
      <w:r w:rsidRPr="0043354E">
        <w:rPr>
          <w:b/>
          <w:bCs/>
          <w:color w:val="6C1740"/>
          <w:sz w:val="94"/>
          <w:szCs w:val="94"/>
        </w:rPr>
        <w:t>sulla</w:t>
      </w:r>
      <w:proofErr w:type="spellEnd"/>
      <w:proofErr w:type="gramEnd"/>
      <w:r w:rsidRPr="0043354E">
        <w:rPr>
          <w:b/>
          <w:bCs/>
          <w:color w:val="6C1740"/>
          <w:sz w:val="94"/>
          <w:szCs w:val="94"/>
        </w:rPr>
        <w:t xml:space="preserve"> </w:t>
      </w:r>
      <w:proofErr w:type="spellStart"/>
      <w:r w:rsidRPr="0043354E">
        <w:rPr>
          <w:b/>
          <w:bCs/>
          <w:color w:val="6C1740"/>
          <w:sz w:val="94"/>
          <w:szCs w:val="94"/>
        </w:rPr>
        <w:t>sicurezza</w:t>
      </w:r>
      <w:proofErr w:type="spellEnd"/>
    </w:p>
    <w:p w14:paraId="4AF4A1D1" w14:textId="42196BB2" w:rsidR="00C62233" w:rsidRDefault="00A00CD5" w:rsidP="00697A46">
      <w:pPr>
        <w:spacing w:before="240" w:after="240" w:line="240" w:lineRule="auto"/>
      </w:pPr>
      <w:r w:rsidRPr="00030BB0">
        <w:rPr>
          <w:rFonts w:cs="Arial"/>
          <w:lang w:val="it-IT"/>
        </w:rPr>
        <w:t>Tabella 9: TAP Sicurezza – stato di progresso delle azioni del governo nel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420"/>
        <w:gridCol w:w="1168"/>
        <w:gridCol w:w="1294"/>
        <w:gridCol w:w="1294"/>
        <w:gridCol w:w="1294"/>
        <w:gridCol w:w="1294"/>
      </w:tblGrid>
      <w:tr w:rsidR="00A00CD5" w:rsidRPr="00A0186B" w14:paraId="4A6BA6AA" w14:textId="77777777" w:rsidTr="00430160">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3E55F876" w:rsidR="00A00CD5" w:rsidRPr="00A0186B" w:rsidRDefault="00A00CD5" w:rsidP="002A249B">
            <w:pPr>
              <w:spacing w:after="0" w:line="240" w:lineRule="auto"/>
              <w:rPr>
                <w:rFonts w:eastAsia="Times New Roman" w:cs="Arial"/>
                <w:b/>
                <w:bCs/>
                <w:color w:val="FFFFFF" w:themeColor="background1"/>
                <w:sz w:val="20"/>
                <w:szCs w:val="20"/>
                <w:lang w:eastAsia="en-AU"/>
              </w:rPr>
            </w:pPr>
            <w:bookmarkStart w:id="24" w:name="Title_09"/>
            <w:bookmarkEnd w:id="24"/>
            <w:r w:rsidRPr="003848ED">
              <w:rPr>
                <w:rFonts w:eastAsia="Times New Roman" w:cs="Calibri"/>
                <w:b/>
                <w:bCs/>
                <w:color w:val="FFFFFF" w:themeColor="background1"/>
                <w:lang w:val="it" w:eastAsia="en-AU"/>
              </w:rPr>
              <w:t>Governo</w:t>
            </w:r>
          </w:p>
        </w:tc>
        <w:tc>
          <w:tcPr>
            <w:tcW w:w="7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6C1BB30C" w:rsidR="00A00CD5" w:rsidRPr="00A0186B" w:rsidRDefault="00A00CD5" w:rsidP="00464AAF">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0338696C"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43889134"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0A27A608"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18F57A06"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514D1327" w:rsidR="00A00CD5" w:rsidRPr="00A0186B" w:rsidRDefault="00A00CD5"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A00CD5" w:rsidRPr="00A0186B" w14:paraId="1A6B4889" w14:textId="77777777" w:rsidTr="00430160">
        <w:trPr>
          <w:cantSplit/>
        </w:trPr>
        <w:tc>
          <w:tcPr>
            <w:tcW w:w="800" w:type="pct"/>
            <w:tcBorders>
              <w:top w:val="single" w:sz="4" w:space="0" w:color="auto"/>
            </w:tcBorders>
            <w:noWrap/>
            <w:vAlign w:val="bottom"/>
            <w:hideMark/>
          </w:tcPr>
          <w:p w14:paraId="1EE59503" w14:textId="08EDA9DD"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Gov. Australiano</w:t>
            </w:r>
          </w:p>
        </w:tc>
        <w:tc>
          <w:tcPr>
            <w:tcW w:w="768" w:type="pct"/>
            <w:tcBorders>
              <w:top w:val="single" w:sz="4" w:space="0" w:color="auto"/>
            </w:tcBorders>
            <w:noWrap/>
            <w:hideMark/>
          </w:tcPr>
          <w:p w14:paraId="6892605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632" w:type="pct"/>
            <w:tcBorders>
              <w:top w:val="single" w:sz="4" w:space="0" w:color="auto"/>
            </w:tcBorders>
            <w:noWrap/>
            <w:hideMark/>
          </w:tcPr>
          <w:p w14:paraId="5287CC8A"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A00CD5" w:rsidRPr="00A0186B" w14:paraId="41FE6ECC" w14:textId="77777777" w:rsidTr="00430160">
        <w:trPr>
          <w:cantSplit/>
        </w:trPr>
        <w:tc>
          <w:tcPr>
            <w:tcW w:w="800" w:type="pct"/>
            <w:shd w:val="clear" w:color="auto" w:fill="FAF9F8"/>
            <w:noWrap/>
            <w:vAlign w:val="bottom"/>
            <w:hideMark/>
          </w:tcPr>
          <w:p w14:paraId="20CA60DA" w14:textId="57B7E290"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NSW</w:t>
            </w:r>
          </w:p>
        </w:tc>
        <w:tc>
          <w:tcPr>
            <w:tcW w:w="768" w:type="pct"/>
            <w:shd w:val="clear" w:color="auto" w:fill="FAF9F8"/>
            <w:noWrap/>
            <w:hideMark/>
          </w:tcPr>
          <w:p w14:paraId="0EF23DB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32" w:type="pct"/>
            <w:shd w:val="clear" w:color="auto" w:fill="FAF9F8"/>
            <w:noWrap/>
            <w:hideMark/>
          </w:tcPr>
          <w:p w14:paraId="7E35BFD5"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A00CD5" w:rsidRPr="00A0186B" w14:paraId="54AFFBF3" w14:textId="77777777" w:rsidTr="00430160">
        <w:trPr>
          <w:cantSplit/>
        </w:trPr>
        <w:tc>
          <w:tcPr>
            <w:tcW w:w="800" w:type="pct"/>
            <w:noWrap/>
            <w:vAlign w:val="bottom"/>
            <w:hideMark/>
          </w:tcPr>
          <w:p w14:paraId="58ED579B" w14:textId="52680EBC"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VIC</w:t>
            </w:r>
          </w:p>
        </w:tc>
        <w:tc>
          <w:tcPr>
            <w:tcW w:w="768" w:type="pct"/>
            <w:noWrap/>
            <w:hideMark/>
          </w:tcPr>
          <w:p w14:paraId="2446CACC"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632" w:type="pct"/>
            <w:noWrap/>
            <w:hideMark/>
          </w:tcPr>
          <w:p w14:paraId="4ADEC6C1"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A00CD5" w:rsidRPr="00A0186B" w14:paraId="04301E7D" w14:textId="77777777" w:rsidTr="00430160">
        <w:trPr>
          <w:cantSplit/>
        </w:trPr>
        <w:tc>
          <w:tcPr>
            <w:tcW w:w="800" w:type="pct"/>
            <w:shd w:val="clear" w:color="auto" w:fill="FAF9F8"/>
            <w:noWrap/>
            <w:vAlign w:val="bottom"/>
            <w:hideMark/>
          </w:tcPr>
          <w:p w14:paraId="7E618625" w14:textId="0A41E13B"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QLD</w:t>
            </w:r>
          </w:p>
        </w:tc>
        <w:tc>
          <w:tcPr>
            <w:tcW w:w="768" w:type="pct"/>
            <w:shd w:val="clear" w:color="auto" w:fill="FAF9F8"/>
            <w:noWrap/>
            <w:hideMark/>
          </w:tcPr>
          <w:p w14:paraId="7E6436B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632" w:type="pct"/>
            <w:shd w:val="clear" w:color="auto" w:fill="FAF9F8"/>
            <w:noWrap/>
            <w:hideMark/>
          </w:tcPr>
          <w:p w14:paraId="659425A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A00CD5" w:rsidRPr="00A0186B" w14:paraId="6376A06A" w14:textId="77777777" w:rsidTr="00430160">
        <w:trPr>
          <w:cantSplit/>
        </w:trPr>
        <w:tc>
          <w:tcPr>
            <w:tcW w:w="800" w:type="pct"/>
            <w:noWrap/>
            <w:vAlign w:val="bottom"/>
            <w:hideMark/>
          </w:tcPr>
          <w:p w14:paraId="450E5E40" w14:textId="36CDEADE"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WA</w:t>
            </w:r>
          </w:p>
        </w:tc>
        <w:tc>
          <w:tcPr>
            <w:tcW w:w="768" w:type="pct"/>
            <w:noWrap/>
            <w:hideMark/>
          </w:tcPr>
          <w:p w14:paraId="5342A9F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632" w:type="pct"/>
            <w:noWrap/>
            <w:hideMark/>
          </w:tcPr>
          <w:p w14:paraId="3F7F7E70"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A00CD5" w:rsidRPr="00A0186B" w14:paraId="33572A73" w14:textId="77777777" w:rsidTr="00430160">
        <w:trPr>
          <w:cantSplit/>
        </w:trPr>
        <w:tc>
          <w:tcPr>
            <w:tcW w:w="800" w:type="pct"/>
            <w:shd w:val="clear" w:color="auto" w:fill="FAF9F8"/>
            <w:noWrap/>
            <w:vAlign w:val="bottom"/>
            <w:hideMark/>
          </w:tcPr>
          <w:p w14:paraId="58F4EF6A" w14:textId="730E97C2"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SA</w:t>
            </w:r>
          </w:p>
        </w:tc>
        <w:tc>
          <w:tcPr>
            <w:tcW w:w="768" w:type="pct"/>
            <w:shd w:val="clear" w:color="auto" w:fill="FAF9F8"/>
            <w:noWrap/>
            <w:hideMark/>
          </w:tcPr>
          <w:p w14:paraId="4791A30E"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632" w:type="pct"/>
            <w:shd w:val="clear" w:color="auto" w:fill="FAF9F8"/>
            <w:noWrap/>
            <w:hideMark/>
          </w:tcPr>
          <w:p w14:paraId="392918FE"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A00CD5" w:rsidRPr="00A0186B" w14:paraId="79FB5A6D" w14:textId="77777777" w:rsidTr="00430160">
        <w:trPr>
          <w:cantSplit/>
        </w:trPr>
        <w:tc>
          <w:tcPr>
            <w:tcW w:w="800" w:type="pct"/>
            <w:noWrap/>
            <w:vAlign w:val="bottom"/>
            <w:hideMark/>
          </w:tcPr>
          <w:p w14:paraId="32045DC3" w14:textId="79CF2333"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TAS</w:t>
            </w:r>
          </w:p>
        </w:tc>
        <w:tc>
          <w:tcPr>
            <w:tcW w:w="768" w:type="pct"/>
            <w:noWrap/>
            <w:hideMark/>
          </w:tcPr>
          <w:p w14:paraId="6C8DCF7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32" w:type="pct"/>
            <w:noWrap/>
            <w:hideMark/>
          </w:tcPr>
          <w:p w14:paraId="175CE8F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A00CD5" w:rsidRPr="00A0186B" w14:paraId="08D656B7" w14:textId="77777777" w:rsidTr="00430160">
        <w:trPr>
          <w:cantSplit/>
        </w:trPr>
        <w:tc>
          <w:tcPr>
            <w:tcW w:w="800" w:type="pct"/>
            <w:shd w:val="clear" w:color="auto" w:fill="FAF9F8"/>
            <w:noWrap/>
            <w:vAlign w:val="bottom"/>
            <w:hideMark/>
          </w:tcPr>
          <w:p w14:paraId="3AC90D32" w14:textId="3017FF7E"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ACT</w:t>
            </w:r>
          </w:p>
        </w:tc>
        <w:tc>
          <w:tcPr>
            <w:tcW w:w="768" w:type="pct"/>
            <w:shd w:val="clear" w:color="auto" w:fill="FAF9F8"/>
            <w:noWrap/>
            <w:hideMark/>
          </w:tcPr>
          <w:p w14:paraId="4E0C0BE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632" w:type="pct"/>
            <w:shd w:val="clear" w:color="auto" w:fill="FAF9F8"/>
            <w:noWrap/>
            <w:hideMark/>
          </w:tcPr>
          <w:p w14:paraId="3F31ADD4"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A00CD5" w:rsidRPr="00A0186B" w14:paraId="374EAD0F" w14:textId="77777777" w:rsidTr="00430160">
        <w:trPr>
          <w:cantSplit/>
        </w:trPr>
        <w:tc>
          <w:tcPr>
            <w:tcW w:w="800" w:type="pct"/>
            <w:noWrap/>
            <w:vAlign w:val="bottom"/>
            <w:hideMark/>
          </w:tcPr>
          <w:p w14:paraId="21C95C9C" w14:textId="66FD5967"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NT</w:t>
            </w:r>
          </w:p>
        </w:tc>
        <w:tc>
          <w:tcPr>
            <w:tcW w:w="768" w:type="pct"/>
            <w:noWrap/>
            <w:hideMark/>
          </w:tcPr>
          <w:p w14:paraId="44F29401"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632" w:type="pct"/>
            <w:noWrap/>
            <w:hideMark/>
          </w:tcPr>
          <w:p w14:paraId="2924C135"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A00CD5" w:rsidRPr="00A0186B" w14:paraId="685DB864" w14:textId="77777777" w:rsidTr="00430160">
        <w:trPr>
          <w:cantSplit/>
        </w:trPr>
        <w:tc>
          <w:tcPr>
            <w:tcW w:w="800" w:type="pct"/>
            <w:shd w:val="clear" w:color="auto" w:fill="E4E9F3"/>
            <w:noWrap/>
            <w:vAlign w:val="bottom"/>
            <w:hideMark/>
          </w:tcPr>
          <w:p w14:paraId="6051DFDB" w14:textId="792E94FA" w:rsidR="00A00CD5" w:rsidRPr="00A0186B" w:rsidRDefault="00A00CD5" w:rsidP="002A249B">
            <w:pPr>
              <w:spacing w:after="0" w:line="240" w:lineRule="auto"/>
              <w:rPr>
                <w:rFonts w:eastAsia="Times New Roman" w:cs="Arial"/>
                <w:b/>
                <w:sz w:val="20"/>
                <w:szCs w:val="20"/>
                <w:lang w:eastAsia="en-AU"/>
              </w:rPr>
            </w:pPr>
            <w:r w:rsidRPr="00F0567C">
              <w:rPr>
                <w:rFonts w:eastAsia="Times New Roman" w:cs="Calibri"/>
                <w:b/>
                <w:bCs/>
                <w:color w:val="000000"/>
                <w:lang w:val="it" w:eastAsia="en-AU"/>
              </w:rPr>
              <w:t>Totale nazionale</w:t>
            </w:r>
          </w:p>
        </w:tc>
        <w:tc>
          <w:tcPr>
            <w:tcW w:w="768" w:type="pct"/>
            <w:shd w:val="clear" w:color="auto" w:fill="E4E9F3"/>
            <w:noWrap/>
            <w:hideMark/>
          </w:tcPr>
          <w:p w14:paraId="4005B25E"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632" w:type="pct"/>
            <w:shd w:val="clear" w:color="auto" w:fill="E4E9F3"/>
            <w:noWrap/>
            <w:hideMark/>
          </w:tcPr>
          <w:p w14:paraId="3598A9E0"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02EDFCA3" w:rsidR="00C62233" w:rsidRDefault="00A00CD5" w:rsidP="009A28E1">
      <w:pPr>
        <w:spacing w:before="240" w:after="240" w:line="240" w:lineRule="auto"/>
      </w:pPr>
      <w:r w:rsidRPr="00030BB0">
        <w:rPr>
          <w:rFonts w:cs="Arial"/>
          <w:lang w:val="it-IT"/>
        </w:rPr>
        <w:t>Tabella 10: TAP sulla sicurezza – progresso delle azioni per obiettivo nel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420"/>
        <w:gridCol w:w="1168"/>
        <w:gridCol w:w="1294"/>
        <w:gridCol w:w="1294"/>
        <w:gridCol w:w="1294"/>
        <w:gridCol w:w="1294"/>
      </w:tblGrid>
      <w:tr w:rsidR="00A00CD5" w:rsidRPr="00A0186B" w14:paraId="1A442218" w14:textId="77777777" w:rsidTr="00430160">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0AB49555" w:rsidR="00A00CD5" w:rsidRPr="00A0186B" w:rsidRDefault="00A00CD5" w:rsidP="002A249B">
            <w:pPr>
              <w:spacing w:after="0" w:line="240" w:lineRule="auto"/>
              <w:rPr>
                <w:rFonts w:eastAsia="Times New Roman" w:cs="Arial"/>
                <w:b/>
                <w:bCs/>
                <w:color w:val="FFFFFF" w:themeColor="background1"/>
                <w:sz w:val="20"/>
                <w:szCs w:val="20"/>
                <w:lang w:eastAsia="en-AU"/>
              </w:rPr>
            </w:pPr>
            <w:bookmarkStart w:id="25" w:name="Title_10"/>
            <w:bookmarkEnd w:id="25"/>
            <w:r w:rsidRPr="00F80414">
              <w:rPr>
                <w:rFonts w:eastAsia="Times New Roman" w:cs="Calibri"/>
                <w:b/>
                <w:bCs/>
                <w:color w:val="FFFFFF" w:themeColor="background1"/>
                <w:lang w:val="it" w:eastAsia="en-AU"/>
              </w:rPr>
              <w:t>Obiettivo</w:t>
            </w:r>
          </w:p>
        </w:tc>
        <w:tc>
          <w:tcPr>
            <w:tcW w:w="7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1DAB4E47" w:rsidR="00A00CD5" w:rsidRPr="00A0186B" w:rsidRDefault="00A00CD5" w:rsidP="00464AAF">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61EAC6B5"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5A390053"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228BA955"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0EA0DBFF" w:rsidR="00A00CD5" w:rsidRPr="00A0186B" w:rsidRDefault="00A00CD5" w:rsidP="002A249B">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31CAD6BB" w:rsidR="00A00CD5" w:rsidRPr="00A0186B" w:rsidRDefault="00A00CD5"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A00CD5" w:rsidRPr="00A0186B" w14:paraId="50224A4E" w14:textId="77777777" w:rsidTr="00430160">
        <w:trPr>
          <w:cantSplit/>
        </w:trPr>
        <w:tc>
          <w:tcPr>
            <w:tcW w:w="800" w:type="pct"/>
            <w:tcBorders>
              <w:top w:val="single" w:sz="4" w:space="0" w:color="auto"/>
            </w:tcBorders>
            <w:shd w:val="clear" w:color="auto" w:fill="auto"/>
            <w:noWrap/>
            <w:vAlign w:val="bottom"/>
            <w:hideMark/>
          </w:tcPr>
          <w:p w14:paraId="42DCB5DB" w14:textId="2496CA45"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Obiettivo 1</w:t>
            </w:r>
          </w:p>
        </w:tc>
        <w:tc>
          <w:tcPr>
            <w:tcW w:w="768" w:type="pct"/>
            <w:tcBorders>
              <w:top w:val="single" w:sz="4" w:space="0" w:color="auto"/>
            </w:tcBorders>
            <w:shd w:val="clear" w:color="auto" w:fill="auto"/>
            <w:noWrap/>
            <w:vAlign w:val="bottom"/>
            <w:hideMark/>
          </w:tcPr>
          <w:p w14:paraId="283962CF"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632" w:type="pct"/>
            <w:tcBorders>
              <w:top w:val="single" w:sz="4" w:space="0" w:color="auto"/>
            </w:tcBorders>
            <w:shd w:val="clear" w:color="auto" w:fill="auto"/>
            <w:noWrap/>
            <w:vAlign w:val="bottom"/>
            <w:hideMark/>
          </w:tcPr>
          <w:p w14:paraId="3C90674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A00CD5" w:rsidRPr="00A0186B" w14:paraId="24E43643" w14:textId="77777777" w:rsidTr="00430160">
        <w:trPr>
          <w:cantSplit/>
        </w:trPr>
        <w:tc>
          <w:tcPr>
            <w:tcW w:w="800" w:type="pct"/>
            <w:shd w:val="clear" w:color="auto" w:fill="FAF9F8"/>
            <w:noWrap/>
            <w:vAlign w:val="bottom"/>
            <w:hideMark/>
          </w:tcPr>
          <w:p w14:paraId="4E897F82" w14:textId="227A170C"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Obiettivo 2</w:t>
            </w:r>
          </w:p>
        </w:tc>
        <w:tc>
          <w:tcPr>
            <w:tcW w:w="768" w:type="pct"/>
            <w:shd w:val="clear" w:color="auto" w:fill="FAF9F8"/>
            <w:noWrap/>
            <w:vAlign w:val="bottom"/>
            <w:hideMark/>
          </w:tcPr>
          <w:p w14:paraId="0BED6AA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632" w:type="pct"/>
            <w:shd w:val="clear" w:color="auto" w:fill="FAF9F8"/>
            <w:noWrap/>
            <w:vAlign w:val="bottom"/>
            <w:hideMark/>
          </w:tcPr>
          <w:p w14:paraId="2E216D00"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A00CD5" w:rsidRPr="00A0186B" w14:paraId="752C962F" w14:textId="77777777" w:rsidTr="00430160">
        <w:trPr>
          <w:cantSplit/>
        </w:trPr>
        <w:tc>
          <w:tcPr>
            <w:tcW w:w="800" w:type="pct"/>
            <w:shd w:val="clear" w:color="auto" w:fill="auto"/>
            <w:noWrap/>
            <w:vAlign w:val="bottom"/>
            <w:hideMark/>
          </w:tcPr>
          <w:p w14:paraId="62025C90" w14:textId="7871E3C0"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Obiettivo</w:t>
            </w:r>
            <w:r w:rsidRPr="00C50630">
              <w:rPr>
                <w:rFonts w:eastAsia="Times New Roman" w:cs="Arial"/>
                <w:color w:val="000000"/>
                <w:sz w:val="20"/>
                <w:szCs w:val="20"/>
                <w:lang w:eastAsia="en-AU"/>
              </w:rPr>
              <w:t xml:space="preserve"> 3</w:t>
            </w:r>
          </w:p>
        </w:tc>
        <w:tc>
          <w:tcPr>
            <w:tcW w:w="768" w:type="pct"/>
            <w:shd w:val="clear" w:color="auto" w:fill="auto"/>
            <w:noWrap/>
            <w:vAlign w:val="bottom"/>
            <w:hideMark/>
          </w:tcPr>
          <w:p w14:paraId="0FA5F14F"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632" w:type="pct"/>
            <w:shd w:val="clear" w:color="auto" w:fill="auto"/>
            <w:noWrap/>
            <w:vAlign w:val="bottom"/>
            <w:hideMark/>
          </w:tcPr>
          <w:p w14:paraId="6C2713E0"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A00CD5" w:rsidRPr="00A0186B" w14:paraId="6C97C360" w14:textId="77777777" w:rsidTr="00430160">
        <w:trPr>
          <w:cantSplit/>
        </w:trPr>
        <w:tc>
          <w:tcPr>
            <w:tcW w:w="800" w:type="pct"/>
            <w:shd w:val="clear" w:color="auto" w:fill="FAF9F8"/>
            <w:noWrap/>
            <w:vAlign w:val="bottom"/>
            <w:hideMark/>
          </w:tcPr>
          <w:p w14:paraId="4A8A8395" w14:textId="3DEF6654" w:rsidR="00A00CD5" w:rsidRPr="00A0186B" w:rsidRDefault="00A00CD5" w:rsidP="00A00CD5">
            <w:pPr>
              <w:spacing w:after="0" w:line="240" w:lineRule="auto"/>
              <w:rPr>
                <w:rFonts w:eastAsia="Times New Roman" w:cs="Arial"/>
                <w:sz w:val="20"/>
                <w:szCs w:val="20"/>
                <w:lang w:eastAsia="en-AU"/>
              </w:rPr>
            </w:pPr>
            <w:r w:rsidRPr="00F0567C">
              <w:rPr>
                <w:rFonts w:eastAsia="Times New Roman" w:cs="Calibri"/>
                <w:color w:val="000000"/>
                <w:lang w:val="it" w:eastAsia="en-AU"/>
              </w:rPr>
              <w:t>Obiettivo</w:t>
            </w:r>
            <w:r w:rsidRPr="00C50630">
              <w:rPr>
                <w:rFonts w:eastAsia="Times New Roman" w:cs="Arial"/>
                <w:color w:val="000000"/>
                <w:sz w:val="20"/>
                <w:szCs w:val="20"/>
                <w:lang w:eastAsia="en-AU"/>
              </w:rPr>
              <w:t xml:space="preserve"> </w:t>
            </w:r>
            <w:r>
              <w:rPr>
                <w:rFonts w:eastAsia="Times New Roman" w:cs="Arial"/>
                <w:color w:val="000000"/>
                <w:sz w:val="20"/>
                <w:szCs w:val="20"/>
                <w:lang w:eastAsia="en-AU"/>
              </w:rPr>
              <w:t>4</w:t>
            </w:r>
          </w:p>
        </w:tc>
        <w:tc>
          <w:tcPr>
            <w:tcW w:w="768" w:type="pct"/>
            <w:shd w:val="clear" w:color="auto" w:fill="FAF9F8"/>
            <w:noWrap/>
            <w:vAlign w:val="bottom"/>
            <w:hideMark/>
          </w:tcPr>
          <w:p w14:paraId="3EE6C45E"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632" w:type="pct"/>
            <w:shd w:val="clear" w:color="auto" w:fill="FAF9F8"/>
            <w:noWrap/>
            <w:vAlign w:val="bottom"/>
            <w:hideMark/>
          </w:tcPr>
          <w:p w14:paraId="360830C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A00CD5" w:rsidRPr="00A0186B" w14:paraId="53A6D06E" w14:textId="77777777" w:rsidTr="00430160">
        <w:trPr>
          <w:cantSplit/>
        </w:trPr>
        <w:tc>
          <w:tcPr>
            <w:tcW w:w="800" w:type="pct"/>
            <w:shd w:val="clear" w:color="auto" w:fill="auto"/>
            <w:noWrap/>
            <w:vAlign w:val="bottom"/>
            <w:hideMark/>
          </w:tcPr>
          <w:p w14:paraId="152F361C" w14:textId="32970C04" w:rsidR="00A00CD5" w:rsidRPr="00A0186B" w:rsidRDefault="00A00CD5"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Obiettivo</w:t>
            </w:r>
            <w:r w:rsidRPr="00A0186B">
              <w:rPr>
                <w:rFonts w:eastAsia="Times New Roman" w:cs="Arial"/>
                <w:sz w:val="20"/>
                <w:szCs w:val="20"/>
                <w:lang w:eastAsia="en-AU"/>
              </w:rPr>
              <w:t xml:space="preserve"> 5</w:t>
            </w:r>
          </w:p>
        </w:tc>
        <w:tc>
          <w:tcPr>
            <w:tcW w:w="768" w:type="pct"/>
            <w:shd w:val="clear" w:color="auto" w:fill="auto"/>
            <w:noWrap/>
            <w:vAlign w:val="bottom"/>
            <w:hideMark/>
          </w:tcPr>
          <w:p w14:paraId="4F3B89F1"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632" w:type="pct"/>
            <w:shd w:val="clear" w:color="auto" w:fill="auto"/>
            <w:noWrap/>
            <w:vAlign w:val="bottom"/>
            <w:hideMark/>
          </w:tcPr>
          <w:p w14:paraId="3A27BE1D"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A00CD5" w:rsidRPr="00A0186B" w:rsidRDefault="00A00CD5"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A00CD5" w:rsidRPr="00A0186B" w:rsidRDefault="00A00CD5"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A00CD5" w:rsidRPr="00A0186B" w14:paraId="10585727" w14:textId="77777777" w:rsidTr="00430160">
        <w:trPr>
          <w:cantSplit/>
        </w:trPr>
        <w:tc>
          <w:tcPr>
            <w:tcW w:w="800" w:type="pct"/>
            <w:shd w:val="clear" w:color="auto" w:fill="E4E9F3"/>
            <w:noWrap/>
            <w:vAlign w:val="bottom"/>
            <w:hideMark/>
          </w:tcPr>
          <w:p w14:paraId="4196F190" w14:textId="2DD2D2A9" w:rsidR="00A00CD5" w:rsidRPr="00A0186B" w:rsidRDefault="00A00CD5" w:rsidP="002A249B">
            <w:pPr>
              <w:spacing w:after="0" w:line="240" w:lineRule="auto"/>
              <w:rPr>
                <w:rFonts w:eastAsia="Times New Roman" w:cs="Arial"/>
                <w:b/>
                <w:sz w:val="20"/>
                <w:szCs w:val="20"/>
                <w:lang w:eastAsia="en-AU"/>
              </w:rPr>
            </w:pPr>
            <w:r w:rsidRPr="00F0567C">
              <w:rPr>
                <w:rFonts w:eastAsia="Times New Roman" w:cs="Calibri"/>
                <w:b/>
                <w:bCs/>
                <w:color w:val="000000"/>
                <w:lang w:val="it" w:eastAsia="en-AU"/>
              </w:rPr>
              <w:t>Totale</w:t>
            </w:r>
          </w:p>
        </w:tc>
        <w:tc>
          <w:tcPr>
            <w:tcW w:w="768" w:type="pct"/>
            <w:shd w:val="clear" w:color="auto" w:fill="E4E9F3"/>
            <w:noWrap/>
            <w:vAlign w:val="bottom"/>
            <w:hideMark/>
          </w:tcPr>
          <w:p w14:paraId="56BE06D7"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632" w:type="pct"/>
            <w:shd w:val="clear" w:color="auto" w:fill="E4E9F3"/>
            <w:noWrap/>
            <w:vAlign w:val="bottom"/>
            <w:hideMark/>
          </w:tcPr>
          <w:p w14:paraId="531944AA"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A00CD5" w:rsidRPr="00A0186B" w:rsidRDefault="00A00CD5"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7F0D82EE" w:rsidR="00C62233" w:rsidRPr="00C62233" w:rsidRDefault="002466B8" w:rsidP="00DA227A">
      <w:pPr>
        <w:pStyle w:val="Heading1"/>
      </w:pPr>
      <w:bookmarkStart w:id="26" w:name="_Toc153298585"/>
      <w:r w:rsidRPr="00030BB0">
        <w:rPr>
          <w:rFonts w:cs="Arial"/>
          <w:lang w:val="it-IT"/>
        </w:rPr>
        <w:lastRenderedPageBreak/>
        <w:t>Piano d'azione mirato per la gestione delle emergenze</w:t>
      </w:r>
      <w:bookmarkEnd w:id="26"/>
    </w:p>
    <w:p w14:paraId="41C85088" w14:textId="2461B24B" w:rsidR="00C62233" w:rsidRPr="00DD5550" w:rsidRDefault="00DD5550" w:rsidP="00515A1C">
      <w:pPr>
        <w:pStyle w:val="Heading2"/>
        <w:pBdr>
          <w:top w:val="none" w:sz="0" w:space="0" w:color="auto"/>
        </w:pBdr>
      </w:pPr>
      <w:bookmarkStart w:id="27" w:name="_Toc153298586"/>
      <w:proofErr w:type="spellStart"/>
      <w:r w:rsidRPr="00DD5550">
        <w:rPr>
          <w:rFonts w:cs="Arial"/>
        </w:rPr>
        <w:t>Introduzione</w:t>
      </w:r>
      <w:bookmarkEnd w:id="27"/>
      <w:proofErr w:type="spellEnd"/>
      <w:r w:rsidR="00C62233" w:rsidRPr="00DD5550">
        <w:t xml:space="preserve"> </w:t>
      </w:r>
    </w:p>
    <w:p w14:paraId="522EAB65" w14:textId="77777777" w:rsidR="00DD5550" w:rsidRPr="00030BB0" w:rsidRDefault="00DD5550" w:rsidP="00DD5550">
      <w:pPr>
        <w:spacing w:before="240" w:after="240" w:line="240" w:lineRule="auto"/>
        <w:rPr>
          <w:rFonts w:cs="Arial"/>
          <w:lang w:val="it-IT"/>
        </w:rPr>
      </w:pPr>
      <w:r w:rsidRPr="00030BB0">
        <w:rPr>
          <w:rFonts w:cs="Arial"/>
          <w:lang w:val="it-IT"/>
        </w:rPr>
        <w:t>Il TAP per la gestione delle emergenze è progettato per guidare i progressi nell’ambito dell’area dei risultati di salute e benessere dell’ADS.</w:t>
      </w:r>
    </w:p>
    <w:p w14:paraId="63721622" w14:textId="77777777" w:rsidR="00DD5550" w:rsidRPr="00030BB0" w:rsidRDefault="00DD5550" w:rsidP="00DD5550">
      <w:pPr>
        <w:spacing w:before="240" w:after="240" w:line="240" w:lineRule="auto"/>
        <w:rPr>
          <w:rFonts w:cs="Arial"/>
          <w:lang w:val="it-IT"/>
        </w:rPr>
      </w:pPr>
      <w:r w:rsidRPr="00030BB0">
        <w:rPr>
          <w:rFonts w:cs="Arial"/>
          <w:lang w:val="it-IT"/>
        </w:rPr>
        <w:t>Questa area dei risultati mira a garantire che le persone con disabilità ottengano i massimi risultati possibili in termini di salute e benessere per tutta la vita.</w:t>
      </w:r>
    </w:p>
    <w:p w14:paraId="2AC80B64" w14:textId="77777777" w:rsidR="00DD5550" w:rsidRPr="00030BB0" w:rsidRDefault="00DD5550" w:rsidP="00DD5550">
      <w:pPr>
        <w:spacing w:before="240" w:after="240" w:line="240" w:lineRule="auto"/>
        <w:rPr>
          <w:rFonts w:cs="Arial"/>
          <w:lang w:val="it-IT"/>
        </w:rPr>
      </w:pPr>
      <w:r w:rsidRPr="00030BB0">
        <w:rPr>
          <w:rFonts w:cs="Arial"/>
          <w:lang w:val="it-IT"/>
        </w:rPr>
        <w:t>Nell’ambito del TAP per la gestione delle emergenze vengono segnalate 47 azioni tra i governi australiani, statali e territoriali per il periodo 2022-2023.</w:t>
      </w:r>
    </w:p>
    <w:p w14:paraId="76199829" w14:textId="5769CA87" w:rsidR="00DD5550" w:rsidRDefault="00DD5550" w:rsidP="00DD5550">
      <w:pPr>
        <w:spacing w:before="240" w:after="240" w:line="240" w:lineRule="auto"/>
      </w:pPr>
      <w:r w:rsidRPr="00030BB0">
        <w:rPr>
          <w:rFonts w:cs="Arial"/>
          <w:lang w:val="it-IT"/>
        </w:rPr>
        <w:t>Fra queste vi sono azioni che cercano attivamente feedback dalle persone con disabilità e dal settore, rivedono e migliorano i piani e i preparativi di risposta alle emergenze per includere meglio le persone con disabilità e migliorare le comunicazioni fornite durante le emergenze.</w:t>
      </w:r>
    </w:p>
    <w:p w14:paraId="0B4539E0" w14:textId="756565B5" w:rsidR="00C62233" w:rsidRPr="00DD5550" w:rsidRDefault="00DD5550" w:rsidP="009B5AB0">
      <w:pPr>
        <w:pStyle w:val="Heading2"/>
      </w:pPr>
      <w:bookmarkStart w:id="28" w:name="_Toc153298587"/>
      <w:proofErr w:type="spellStart"/>
      <w:r w:rsidRPr="00DD5550">
        <w:rPr>
          <w:rFonts w:cs="Arial"/>
        </w:rPr>
        <w:t>Obiettivi</w:t>
      </w:r>
      <w:bookmarkEnd w:id="28"/>
      <w:proofErr w:type="spellEnd"/>
      <w:r w:rsidR="00C62233" w:rsidRPr="00DD5550">
        <w:t xml:space="preserve"> </w:t>
      </w:r>
    </w:p>
    <w:p w14:paraId="2D9563B5" w14:textId="571ECFC6" w:rsidR="00B10F19" w:rsidRDefault="00B10F19" w:rsidP="00B67DD9">
      <w:pPr>
        <w:pStyle w:val="ListParagraph"/>
        <w:numPr>
          <w:ilvl w:val="0"/>
          <w:numId w:val="18"/>
        </w:numPr>
        <w:spacing w:before="120" w:after="120" w:line="240" w:lineRule="auto"/>
        <w:contextualSpacing w:val="0"/>
      </w:pPr>
      <w:r w:rsidRPr="00030BB0">
        <w:rPr>
          <w:rFonts w:cs="Arial"/>
          <w:lang w:val="it-IT"/>
        </w:rPr>
        <w:t>Garantire che i processi di pianificazione delle emergenze/disastri per condurre valutazioni del rischio di disastri e il successivo sviluppo e mantenimento dei piani di gestione delle emergenze/disastri includano le persone con disabilità.</w:t>
      </w:r>
    </w:p>
    <w:p w14:paraId="55ADE46B" w14:textId="7E09D8C6" w:rsidR="00C62233" w:rsidRDefault="00B10F19" w:rsidP="00B67DD9">
      <w:pPr>
        <w:pStyle w:val="ListParagraph"/>
        <w:numPr>
          <w:ilvl w:val="0"/>
          <w:numId w:val="18"/>
        </w:numPr>
        <w:spacing w:before="120" w:after="120" w:line="240" w:lineRule="auto"/>
        <w:contextualSpacing w:val="0"/>
      </w:pPr>
      <w:r w:rsidRPr="00030BB0">
        <w:rPr>
          <w:rFonts w:cs="Arial"/>
          <w:lang w:val="it-IT"/>
        </w:rPr>
        <w:t>Garantire che i processi inclusivi di gestione delle emergenze/disastri, di preparazione e di pianificazione del ripristino sostengano la salute e il benessere delle persone con disabilità prima, durante e dopo le emergenze.</w:t>
      </w:r>
    </w:p>
    <w:p w14:paraId="0D242A81" w14:textId="77777777" w:rsidR="00C62233" w:rsidRDefault="00C62233">
      <w:r>
        <w:br w:type="page"/>
      </w:r>
    </w:p>
    <w:p w14:paraId="3F7F5B46" w14:textId="3B3A5E0F" w:rsidR="00C62233" w:rsidRPr="0066071F" w:rsidRDefault="00FC55BF" w:rsidP="0066071F">
      <w:pPr>
        <w:rPr>
          <w:b/>
          <w:bCs/>
          <w:color w:val="6C1740"/>
          <w:sz w:val="94"/>
          <w:szCs w:val="94"/>
        </w:rPr>
      </w:pPr>
      <w:r w:rsidRPr="00FC55BF">
        <w:rPr>
          <w:b/>
          <w:bCs/>
          <w:color w:val="6C1740"/>
          <w:sz w:val="94"/>
          <w:szCs w:val="94"/>
        </w:rPr>
        <w:lastRenderedPageBreak/>
        <w:t xml:space="preserve">TAP per la </w:t>
      </w:r>
      <w:proofErr w:type="spellStart"/>
      <w:r w:rsidRPr="00FC55BF">
        <w:rPr>
          <w:b/>
          <w:bCs/>
          <w:color w:val="6C1740"/>
          <w:sz w:val="94"/>
          <w:szCs w:val="94"/>
        </w:rPr>
        <w:t>gestione</w:t>
      </w:r>
      <w:proofErr w:type="spellEnd"/>
      <w:r w:rsidRPr="00FC55BF">
        <w:rPr>
          <w:b/>
          <w:bCs/>
          <w:color w:val="6C1740"/>
          <w:sz w:val="94"/>
          <w:szCs w:val="94"/>
        </w:rPr>
        <w:t xml:space="preserve"> </w:t>
      </w:r>
      <w:proofErr w:type="spellStart"/>
      <w:r w:rsidRPr="00FC55BF">
        <w:rPr>
          <w:b/>
          <w:bCs/>
          <w:color w:val="6C1740"/>
          <w:sz w:val="94"/>
          <w:szCs w:val="94"/>
        </w:rPr>
        <w:t>delle</w:t>
      </w:r>
      <w:proofErr w:type="spellEnd"/>
      <w:r w:rsidRPr="00FC55BF">
        <w:rPr>
          <w:b/>
          <w:bCs/>
          <w:color w:val="6C1740"/>
          <w:sz w:val="94"/>
          <w:szCs w:val="94"/>
        </w:rPr>
        <w:t xml:space="preserve"> </w:t>
      </w:r>
      <w:proofErr w:type="spellStart"/>
      <w:r w:rsidRPr="00FC55BF">
        <w:rPr>
          <w:b/>
          <w:bCs/>
          <w:color w:val="6C1740"/>
          <w:sz w:val="94"/>
          <w:szCs w:val="94"/>
        </w:rPr>
        <w:t>emergenze</w:t>
      </w:r>
      <w:proofErr w:type="spellEnd"/>
    </w:p>
    <w:p w14:paraId="2EBAA179" w14:textId="645C362A" w:rsidR="00B12B54" w:rsidRDefault="00FC55BF" w:rsidP="009B5AB0">
      <w:pPr>
        <w:spacing w:before="240" w:after="240" w:line="240" w:lineRule="auto"/>
      </w:pPr>
      <w:r w:rsidRPr="00030BB0">
        <w:rPr>
          <w:rFonts w:cs="Arial"/>
          <w:lang w:val="it-IT"/>
        </w:rPr>
        <w:t>Tabella 11: TAP per la gestione delle emergenze – stato di progresso delle azioni del governo nel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420"/>
        <w:gridCol w:w="1168"/>
        <w:gridCol w:w="1294"/>
        <w:gridCol w:w="1294"/>
        <w:gridCol w:w="1294"/>
        <w:gridCol w:w="1294"/>
      </w:tblGrid>
      <w:tr w:rsidR="00430160" w:rsidRPr="0008159F" w14:paraId="1C137626" w14:textId="77777777" w:rsidTr="00430160">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370509B5" w:rsidR="00430160" w:rsidRPr="0008159F" w:rsidRDefault="00430160"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Governo</w:t>
            </w:r>
          </w:p>
        </w:tc>
        <w:tc>
          <w:tcPr>
            <w:tcW w:w="7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078052AE" w:rsidR="00430160" w:rsidRPr="0008159F" w:rsidRDefault="00430160" w:rsidP="00464AAF">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0A5B458D" w:rsidR="00430160" w:rsidRPr="0008159F" w:rsidRDefault="00430160"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78A98B09" w:rsidR="00430160" w:rsidRPr="0008159F" w:rsidRDefault="00430160"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2CA1DEA4" w:rsidR="00430160" w:rsidRPr="0008159F" w:rsidRDefault="00430160"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329BF028" w:rsidR="00430160" w:rsidRPr="0008159F" w:rsidRDefault="00430160"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2A5DCDC7" w:rsidR="00430160" w:rsidRPr="0008159F" w:rsidRDefault="00430160" w:rsidP="002A249B">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430160" w:rsidRPr="0008159F" w14:paraId="0DCF74B0" w14:textId="77777777" w:rsidTr="00430160">
        <w:tc>
          <w:tcPr>
            <w:tcW w:w="800" w:type="pct"/>
            <w:tcBorders>
              <w:top w:val="single" w:sz="4" w:space="0" w:color="auto"/>
            </w:tcBorders>
            <w:shd w:val="clear" w:color="auto" w:fill="auto"/>
            <w:noWrap/>
            <w:vAlign w:val="bottom"/>
            <w:hideMark/>
          </w:tcPr>
          <w:p w14:paraId="31A858C9" w14:textId="79AF8B99"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Gov. Australiano</w:t>
            </w:r>
          </w:p>
        </w:tc>
        <w:tc>
          <w:tcPr>
            <w:tcW w:w="768" w:type="pct"/>
            <w:tcBorders>
              <w:top w:val="single" w:sz="4" w:space="0" w:color="auto"/>
            </w:tcBorders>
            <w:shd w:val="clear" w:color="auto" w:fill="auto"/>
            <w:noWrap/>
            <w:vAlign w:val="bottom"/>
            <w:hideMark/>
          </w:tcPr>
          <w:p w14:paraId="2262EDB7"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632" w:type="pct"/>
            <w:tcBorders>
              <w:top w:val="single" w:sz="4" w:space="0" w:color="auto"/>
            </w:tcBorders>
            <w:shd w:val="clear" w:color="auto" w:fill="auto"/>
            <w:noWrap/>
            <w:vAlign w:val="bottom"/>
            <w:hideMark/>
          </w:tcPr>
          <w:p w14:paraId="48463F06"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430160" w:rsidRPr="0008159F" w14:paraId="0C3BA2D8" w14:textId="77777777" w:rsidTr="00430160">
        <w:tc>
          <w:tcPr>
            <w:tcW w:w="800" w:type="pct"/>
            <w:shd w:val="clear" w:color="auto" w:fill="FAF9F8"/>
            <w:noWrap/>
            <w:vAlign w:val="bottom"/>
            <w:hideMark/>
          </w:tcPr>
          <w:p w14:paraId="6ABC2B46" w14:textId="238BE735"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NSW</w:t>
            </w:r>
          </w:p>
        </w:tc>
        <w:tc>
          <w:tcPr>
            <w:tcW w:w="768" w:type="pct"/>
            <w:shd w:val="clear" w:color="auto" w:fill="FAF9F8"/>
            <w:noWrap/>
            <w:vAlign w:val="bottom"/>
            <w:hideMark/>
          </w:tcPr>
          <w:p w14:paraId="4FD50421"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632" w:type="pct"/>
            <w:shd w:val="clear" w:color="auto" w:fill="FAF9F8"/>
            <w:noWrap/>
            <w:vAlign w:val="bottom"/>
            <w:hideMark/>
          </w:tcPr>
          <w:p w14:paraId="3A0C4ED0"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430160" w:rsidRPr="0008159F" w14:paraId="013760D8" w14:textId="77777777" w:rsidTr="00430160">
        <w:tc>
          <w:tcPr>
            <w:tcW w:w="800" w:type="pct"/>
            <w:shd w:val="clear" w:color="auto" w:fill="auto"/>
            <w:noWrap/>
            <w:vAlign w:val="bottom"/>
            <w:hideMark/>
          </w:tcPr>
          <w:p w14:paraId="66E2EE6A" w14:textId="0D7229F6"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VIC</w:t>
            </w:r>
          </w:p>
        </w:tc>
        <w:tc>
          <w:tcPr>
            <w:tcW w:w="768" w:type="pct"/>
            <w:shd w:val="clear" w:color="auto" w:fill="auto"/>
            <w:noWrap/>
            <w:vAlign w:val="bottom"/>
            <w:hideMark/>
          </w:tcPr>
          <w:p w14:paraId="2AE15052"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632" w:type="pct"/>
            <w:shd w:val="clear" w:color="auto" w:fill="auto"/>
            <w:noWrap/>
            <w:vAlign w:val="bottom"/>
            <w:hideMark/>
          </w:tcPr>
          <w:p w14:paraId="20D31E47"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430160" w:rsidRPr="0008159F" w14:paraId="3CF3A435" w14:textId="77777777" w:rsidTr="00430160">
        <w:tc>
          <w:tcPr>
            <w:tcW w:w="800" w:type="pct"/>
            <w:shd w:val="clear" w:color="auto" w:fill="FAF9F8"/>
            <w:noWrap/>
            <w:vAlign w:val="bottom"/>
            <w:hideMark/>
          </w:tcPr>
          <w:p w14:paraId="448AE5BB" w14:textId="480DB344"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QLD</w:t>
            </w:r>
          </w:p>
        </w:tc>
        <w:tc>
          <w:tcPr>
            <w:tcW w:w="768" w:type="pct"/>
            <w:shd w:val="clear" w:color="auto" w:fill="FAF9F8"/>
            <w:noWrap/>
            <w:vAlign w:val="bottom"/>
            <w:hideMark/>
          </w:tcPr>
          <w:p w14:paraId="1F9C17AB"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632" w:type="pct"/>
            <w:shd w:val="clear" w:color="auto" w:fill="FAF9F8"/>
            <w:noWrap/>
            <w:vAlign w:val="bottom"/>
            <w:hideMark/>
          </w:tcPr>
          <w:p w14:paraId="4244CD2B"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430160" w:rsidRPr="0008159F" w14:paraId="50ACD9E3" w14:textId="77777777" w:rsidTr="00430160">
        <w:tc>
          <w:tcPr>
            <w:tcW w:w="800" w:type="pct"/>
            <w:shd w:val="clear" w:color="auto" w:fill="auto"/>
            <w:noWrap/>
            <w:vAlign w:val="bottom"/>
            <w:hideMark/>
          </w:tcPr>
          <w:p w14:paraId="69EF4F95" w14:textId="1BE78788"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WA</w:t>
            </w:r>
          </w:p>
        </w:tc>
        <w:tc>
          <w:tcPr>
            <w:tcW w:w="768" w:type="pct"/>
            <w:shd w:val="clear" w:color="auto" w:fill="auto"/>
            <w:noWrap/>
            <w:vAlign w:val="bottom"/>
            <w:hideMark/>
          </w:tcPr>
          <w:p w14:paraId="1CCCE82A"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632" w:type="pct"/>
            <w:shd w:val="clear" w:color="auto" w:fill="auto"/>
            <w:noWrap/>
            <w:vAlign w:val="bottom"/>
            <w:hideMark/>
          </w:tcPr>
          <w:p w14:paraId="7BF34F59"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430160" w:rsidRPr="0008159F" w14:paraId="3BAA5C76" w14:textId="77777777" w:rsidTr="00430160">
        <w:tc>
          <w:tcPr>
            <w:tcW w:w="800" w:type="pct"/>
            <w:shd w:val="clear" w:color="auto" w:fill="FAF9F8"/>
            <w:noWrap/>
            <w:vAlign w:val="bottom"/>
            <w:hideMark/>
          </w:tcPr>
          <w:p w14:paraId="122FAFA3" w14:textId="71765D90"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SA</w:t>
            </w:r>
          </w:p>
        </w:tc>
        <w:tc>
          <w:tcPr>
            <w:tcW w:w="768" w:type="pct"/>
            <w:shd w:val="clear" w:color="auto" w:fill="FAF9F8"/>
            <w:noWrap/>
            <w:vAlign w:val="bottom"/>
            <w:hideMark/>
          </w:tcPr>
          <w:p w14:paraId="4A71AF58"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632" w:type="pct"/>
            <w:shd w:val="clear" w:color="auto" w:fill="FAF9F8"/>
            <w:noWrap/>
            <w:vAlign w:val="bottom"/>
            <w:hideMark/>
          </w:tcPr>
          <w:p w14:paraId="0660A67A"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430160" w:rsidRPr="0008159F" w14:paraId="577B1584" w14:textId="77777777" w:rsidTr="00430160">
        <w:tc>
          <w:tcPr>
            <w:tcW w:w="800" w:type="pct"/>
            <w:shd w:val="clear" w:color="auto" w:fill="auto"/>
            <w:noWrap/>
            <w:vAlign w:val="bottom"/>
            <w:hideMark/>
          </w:tcPr>
          <w:p w14:paraId="11A9EE57" w14:textId="70A2CC57"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TAS</w:t>
            </w:r>
          </w:p>
        </w:tc>
        <w:tc>
          <w:tcPr>
            <w:tcW w:w="768" w:type="pct"/>
            <w:shd w:val="clear" w:color="auto" w:fill="auto"/>
            <w:noWrap/>
            <w:vAlign w:val="bottom"/>
            <w:hideMark/>
          </w:tcPr>
          <w:p w14:paraId="3F29406B"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632" w:type="pct"/>
            <w:shd w:val="clear" w:color="auto" w:fill="auto"/>
            <w:noWrap/>
            <w:vAlign w:val="bottom"/>
            <w:hideMark/>
          </w:tcPr>
          <w:p w14:paraId="2C992748"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430160" w:rsidRPr="0008159F" w14:paraId="04318AD1" w14:textId="77777777" w:rsidTr="00430160">
        <w:tc>
          <w:tcPr>
            <w:tcW w:w="800" w:type="pct"/>
            <w:shd w:val="clear" w:color="auto" w:fill="FAF9F8"/>
            <w:noWrap/>
            <w:vAlign w:val="bottom"/>
            <w:hideMark/>
          </w:tcPr>
          <w:p w14:paraId="27F54484" w14:textId="2403B7C8"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ACT</w:t>
            </w:r>
          </w:p>
        </w:tc>
        <w:tc>
          <w:tcPr>
            <w:tcW w:w="768" w:type="pct"/>
            <w:shd w:val="clear" w:color="auto" w:fill="FAF9F8"/>
            <w:noWrap/>
            <w:vAlign w:val="bottom"/>
            <w:hideMark/>
          </w:tcPr>
          <w:p w14:paraId="07525472"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632" w:type="pct"/>
            <w:shd w:val="clear" w:color="auto" w:fill="FAF9F8"/>
            <w:noWrap/>
            <w:vAlign w:val="bottom"/>
            <w:hideMark/>
          </w:tcPr>
          <w:p w14:paraId="7C7E60BE"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430160" w:rsidRPr="0008159F" w14:paraId="04C8CBED" w14:textId="77777777" w:rsidTr="00430160">
        <w:tc>
          <w:tcPr>
            <w:tcW w:w="800" w:type="pct"/>
            <w:shd w:val="clear" w:color="auto" w:fill="auto"/>
            <w:noWrap/>
            <w:vAlign w:val="bottom"/>
            <w:hideMark/>
          </w:tcPr>
          <w:p w14:paraId="7BA71BB6" w14:textId="5E4827B4" w:rsidR="00430160" w:rsidRPr="0008159F" w:rsidRDefault="00430160" w:rsidP="002A249B">
            <w:pPr>
              <w:spacing w:after="0" w:line="240" w:lineRule="auto"/>
              <w:rPr>
                <w:rFonts w:eastAsia="Times New Roman" w:cs="Arial"/>
                <w:sz w:val="20"/>
                <w:szCs w:val="20"/>
                <w:lang w:eastAsia="en-AU"/>
              </w:rPr>
            </w:pPr>
            <w:r w:rsidRPr="00F0567C">
              <w:rPr>
                <w:rFonts w:eastAsia="Times New Roman" w:cs="Calibri"/>
                <w:color w:val="000000"/>
                <w:lang w:val="it" w:eastAsia="en-AU"/>
              </w:rPr>
              <w:t>NT</w:t>
            </w:r>
          </w:p>
        </w:tc>
        <w:tc>
          <w:tcPr>
            <w:tcW w:w="768" w:type="pct"/>
            <w:shd w:val="clear" w:color="auto" w:fill="auto"/>
            <w:noWrap/>
            <w:vAlign w:val="bottom"/>
            <w:hideMark/>
          </w:tcPr>
          <w:p w14:paraId="54DF0044"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632" w:type="pct"/>
            <w:shd w:val="clear" w:color="auto" w:fill="auto"/>
            <w:noWrap/>
            <w:vAlign w:val="bottom"/>
            <w:hideMark/>
          </w:tcPr>
          <w:p w14:paraId="0A1A00F4"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430160" w:rsidRPr="0008159F" w:rsidRDefault="0043016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430160" w:rsidRPr="0008159F" w:rsidRDefault="0043016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430160" w:rsidRPr="0008159F" w14:paraId="3E058CF7" w14:textId="77777777" w:rsidTr="00430160">
        <w:tc>
          <w:tcPr>
            <w:tcW w:w="800" w:type="pct"/>
            <w:shd w:val="clear" w:color="auto" w:fill="E4E9F3"/>
            <w:noWrap/>
            <w:vAlign w:val="bottom"/>
            <w:hideMark/>
          </w:tcPr>
          <w:p w14:paraId="2643E38B" w14:textId="45E0D426" w:rsidR="00430160" w:rsidRPr="0008159F" w:rsidRDefault="00430160" w:rsidP="002A249B">
            <w:pPr>
              <w:spacing w:after="0" w:line="240" w:lineRule="auto"/>
              <w:rPr>
                <w:rFonts w:eastAsia="Times New Roman" w:cs="Arial"/>
                <w:b/>
                <w:sz w:val="20"/>
                <w:szCs w:val="20"/>
                <w:lang w:eastAsia="en-AU"/>
              </w:rPr>
            </w:pPr>
            <w:r w:rsidRPr="00F0567C">
              <w:rPr>
                <w:rFonts w:eastAsia="Times New Roman" w:cs="Calibri"/>
                <w:b/>
                <w:bCs/>
                <w:color w:val="000000"/>
                <w:lang w:val="it" w:eastAsia="en-AU"/>
              </w:rPr>
              <w:t>Totale nazionale</w:t>
            </w:r>
          </w:p>
        </w:tc>
        <w:tc>
          <w:tcPr>
            <w:tcW w:w="768" w:type="pct"/>
            <w:shd w:val="clear" w:color="auto" w:fill="E4E9F3"/>
            <w:noWrap/>
            <w:vAlign w:val="bottom"/>
            <w:hideMark/>
          </w:tcPr>
          <w:p w14:paraId="157D17ED" w14:textId="77777777" w:rsidR="00430160" w:rsidRPr="0008159F" w:rsidRDefault="0043016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632" w:type="pct"/>
            <w:shd w:val="clear" w:color="auto" w:fill="E4E9F3"/>
            <w:noWrap/>
            <w:vAlign w:val="bottom"/>
            <w:hideMark/>
          </w:tcPr>
          <w:p w14:paraId="7B0B9D0F" w14:textId="77777777" w:rsidR="00430160" w:rsidRPr="0008159F" w:rsidRDefault="0043016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430160" w:rsidRPr="0008159F" w:rsidRDefault="0043016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430160" w:rsidRPr="0008159F" w:rsidRDefault="0043016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430160" w:rsidRPr="0008159F" w:rsidRDefault="0043016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430160" w:rsidRPr="0008159F" w:rsidRDefault="0043016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45F00978" w:rsidR="00B12B54" w:rsidRDefault="00FC55BF" w:rsidP="00482017">
      <w:pPr>
        <w:spacing w:before="240" w:after="240" w:line="240" w:lineRule="auto"/>
      </w:pPr>
      <w:r w:rsidRPr="00030BB0">
        <w:rPr>
          <w:rFonts w:cs="Arial"/>
          <w:lang w:val="it-IT"/>
        </w:rPr>
        <w:t>Tabella 12: TAP Gestione Emergenze –progresso delle azioni per obiettivo nel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418"/>
        <w:gridCol w:w="1170"/>
        <w:gridCol w:w="1294"/>
        <w:gridCol w:w="1294"/>
        <w:gridCol w:w="1294"/>
        <w:gridCol w:w="1292"/>
      </w:tblGrid>
      <w:tr w:rsidR="00430160" w:rsidRPr="00A0186B" w14:paraId="122B5EAA" w14:textId="77777777" w:rsidTr="00430160">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77361B3F" w:rsidR="00430160" w:rsidRPr="00A0186B" w:rsidRDefault="00430160" w:rsidP="00CA6879">
            <w:pPr>
              <w:spacing w:after="0" w:line="240" w:lineRule="auto"/>
              <w:rPr>
                <w:rFonts w:eastAsia="Times New Roman" w:cs="Arial"/>
                <w:b/>
                <w:bCs/>
                <w:color w:val="FFFFFF" w:themeColor="background1"/>
                <w:sz w:val="20"/>
                <w:szCs w:val="20"/>
                <w:lang w:eastAsia="en-AU"/>
              </w:rPr>
            </w:pPr>
            <w:r w:rsidRPr="00F80414">
              <w:rPr>
                <w:rFonts w:eastAsia="Times New Roman" w:cs="Calibri"/>
                <w:b/>
                <w:bCs/>
                <w:color w:val="FFFFFF" w:themeColor="background1"/>
                <w:lang w:val="it" w:eastAsia="en-AU"/>
              </w:rPr>
              <w:t>Obiettivo</w:t>
            </w:r>
          </w:p>
        </w:tc>
        <w:tc>
          <w:tcPr>
            <w:tcW w:w="76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75483C78" w:rsidR="00430160" w:rsidRPr="00A0186B" w:rsidRDefault="00430160" w:rsidP="00CA6879">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Completate</w:t>
            </w:r>
          </w:p>
        </w:tc>
        <w:tc>
          <w:tcPr>
            <w:tcW w:w="63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38A11DAC" w:rsidR="00430160" w:rsidRPr="00A0186B" w:rsidRDefault="00430160" w:rsidP="00CA6879">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linea con i piani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402062F2" w:rsidR="00430160" w:rsidRPr="00A0186B" w:rsidRDefault="00430160" w:rsidP="00CA6879">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Alcuni ritardi</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24BD484E" w:rsidR="00430160" w:rsidRPr="00A0186B" w:rsidRDefault="00430160" w:rsidP="00CA6879">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In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658D0209" w:rsidR="00430160" w:rsidRPr="00A0186B" w:rsidRDefault="00430160" w:rsidP="00CA6879">
            <w:pPr>
              <w:spacing w:after="0" w:line="240" w:lineRule="auto"/>
              <w:rPr>
                <w:rFonts w:eastAsia="Times New Roman" w:cs="Arial"/>
                <w:b/>
                <w:bCs/>
                <w:color w:val="FFFFFF" w:themeColor="background1"/>
                <w:sz w:val="20"/>
                <w:szCs w:val="20"/>
                <w:lang w:eastAsia="en-AU"/>
              </w:rPr>
            </w:pPr>
            <w:r w:rsidRPr="003848ED">
              <w:rPr>
                <w:rFonts w:eastAsia="Times New Roman" w:cs="Calibri"/>
                <w:b/>
                <w:bCs/>
                <w:color w:val="FFFFFF" w:themeColor="background1"/>
                <w:lang w:val="it" w:eastAsia="en-AU"/>
              </w:rPr>
              <w:t>Avvio futuro</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62B671E8" w:rsidR="00430160" w:rsidRPr="00A0186B" w:rsidRDefault="00430160" w:rsidP="00CA6879">
            <w:pPr>
              <w:spacing w:after="0" w:line="240" w:lineRule="auto"/>
              <w:rPr>
                <w:rFonts w:eastAsia="Times New Roman" w:cs="Arial"/>
                <w:b/>
                <w:color w:val="FFFFFF" w:themeColor="background1"/>
                <w:sz w:val="20"/>
                <w:szCs w:val="20"/>
                <w:lang w:eastAsia="en-AU"/>
              </w:rPr>
            </w:pPr>
            <w:r w:rsidRPr="003848ED">
              <w:rPr>
                <w:rFonts w:eastAsia="Times New Roman" w:cs="Calibri"/>
                <w:b/>
                <w:bCs/>
                <w:color w:val="FFFFFF" w:themeColor="background1"/>
                <w:lang w:val="it" w:eastAsia="en-AU"/>
              </w:rPr>
              <w:t>Totale</w:t>
            </w:r>
          </w:p>
        </w:tc>
      </w:tr>
      <w:tr w:rsidR="00430160" w:rsidRPr="00A0186B" w14:paraId="75A5AFA8" w14:textId="77777777" w:rsidTr="00430160">
        <w:trPr>
          <w:cantSplit/>
        </w:trPr>
        <w:tc>
          <w:tcPr>
            <w:tcW w:w="801" w:type="pct"/>
            <w:tcBorders>
              <w:top w:val="single" w:sz="4" w:space="0" w:color="auto"/>
            </w:tcBorders>
            <w:shd w:val="clear" w:color="auto" w:fill="auto"/>
            <w:noWrap/>
            <w:vAlign w:val="bottom"/>
            <w:hideMark/>
          </w:tcPr>
          <w:p w14:paraId="24DB55B5" w14:textId="077B2680" w:rsidR="00430160" w:rsidRPr="00A0186B" w:rsidRDefault="00430160" w:rsidP="00CA6879">
            <w:pPr>
              <w:spacing w:after="0" w:line="240" w:lineRule="auto"/>
              <w:rPr>
                <w:rFonts w:eastAsia="Times New Roman" w:cs="Arial"/>
                <w:sz w:val="20"/>
                <w:szCs w:val="20"/>
                <w:lang w:eastAsia="en-AU"/>
              </w:rPr>
            </w:pPr>
            <w:r w:rsidRPr="00F0567C">
              <w:rPr>
                <w:rFonts w:eastAsia="Times New Roman" w:cs="Calibri"/>
                <w:color w:val="000000"/>
                <w:lang w:val="it" w:eastAsia="en-AU"/>
              </w:rPr>
              <w:t>Obiettivo 1</w:t>
            </w:r>
          </w:p>
        </w:tc>
        <w:tc>
          <w:tcPr>
            <w:tcW w:w="767" w:type="pct"/>
            <w:tcBorders>
              <w:top w:val="single" w:sz="4" w:space="0" w:color="auto"/>
            </w:tcBorders>
            <w:shd w:val="clear" w:color="auto" w:fill="auto"/>
            <w:noWrap/>
            <w:vAlign w:val="bottom"/>
            <w:hideMark/>
          </w:tcPr>
          <w:p w14:paraId="0D73D234" w14:textId="6EDFD57D"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633" w:type="pct"/>
            <w:tcBorders>
              <w:top w:val="single" w:sz="4" w:space="0" w:color="auto"/>
            </w:tcBorders>
            <w:shd w:val="clear" w:color="auto" w:fill="auto"/>
            <w:noWrap/>
            <w:vAlign w:val="bottom"/>
            <w:hideMark/>
          </w:tcPr>
          <w:p w14:paraId="2F53D960" w14:textId="62501D18"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430160" w:rsidRPr="00A0186B" w:rsidRDefault="00430160"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430160" w:rsidRPr="00A0186B" w14:paraId="0462DD16" w14:textId="77777777" w:rsidTr="00430160">
        <w:trPr>
          <w:cantSplit/>
        </w:trPr>
        <w:tc>
          <w:tcPr>
            <w:tcW w:w="801" w:type="pct"/>
            <w:shd w:val="clear" w:color="auto" w:fill="FAF9F8"/>
            <w:noWrap/>
            <w:vAlign w:val="bottom"/>
            <w:hideMark/>
          </w:tcPr>
          <w:p w14:paraId="7050C660" w14:textId="58478055" w:rsidR="00430160" w:rsidRPr="00A0186B" w:rsidRDefault="00430160" w:rsidP="00CA6879">
            <w:pPr>
              <w:spacing w:after="0" w:line="240" w:lineRule="auto"/>
              <w:rPr>
                <w:rFonts w:eastAsia="Times New Roman" w:cs="Arial"/>
                <w:sz w:val="20"/>
                <w:szCs w:val="20"/>
                <w:lang w:eastAsia="en-AU"/>
              </w:rPr>
            </w:pPr>
            <w:r w:rsidRPr="00F0567C">
              <w:rPr>
                <w:rFonts w:eastAsia="Times New Roman" w:cs="Calibri"/>
                <w:color w:val="000000"/>
                <w:lang w:val="it" w:eastAsia="en-AU"/>
              </w:rPr>
              <w:t>Obiettivo 2</w:t>
            </w:r>
          </w:p>
        </w:tc>
        <w:tc>
          <w:tcPr>
            <w:tcW w:w="767" w:type="pct"/>
            <w:shd w:val="clear" w:color="auto" w:fill="FAF9F8"/>
            <w:noWrap/>
            <w:vAlign w:val="bottom"/>
            <w:hideMark/>
          </w:tcPr>
          <w:p w14:paraId="65D744F0" w14:textId="67E7B14E"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633" w:type="pct"/>
            <w:shd w:val="clear" w:color="auto" w:fill="FAF9F8"/>
            <w:noWrap/>
            <w:vAlign w:val="bottom"/>
            <w:hideMark/>
          </w:tcPr>
          <w:p w14:paraId="0E7C92F7" w14:textId="4E40AF45"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430160" w:rsidRPr="00A0186B" w:rsidRDefault="00430160"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430160" w:rsidRPr="00A0186B" w:rsidRDefault="00430160"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430160">
        <w:trPr>
          <w:cantSplit/>
        </w:trPr>
        <w:tc>
          <w:tcPr>
            <w:tcW w:w="801" w:type="pct"/>
            <w:shd w:val="clear" w:color="auto" w:fill="E4E9F3"/>
            <w:noWrap/>
            <w:vAlign w:val="bottom"/>
            <w:hideMark/>
          </w:tcPr>
          <w:p w14:paraId="6F51DEF0" w14:textId="23A3CA7A" w:rsidR="00CA6879" w:rsidRPr="00A0186B" w:rsidRDefault="00430160" w:rsidP="00CA6879">
            <w:pPr>
              <w:spacing w:after="0" w:line="240" w:lineRule="auto"/>
              <w:rPr>
                <w:rFonts w:eastAsia="Times New Roman" w:cs="Arial"/>
                <w:b/>
                <w:sz w:val="20"/>
                <w:szCs w:val="20"/>
                <w:lang w:eastAsia="en-AU"/>
              </w:rPr>
            </w:pPr>
            <w:r w:rsidRPr="00F0567C">
              <w:rPr>
                <w:rFonts w:eastAsia="Times New Roman" w:cs="Calibri"/>
                <w:b/>
                <w:bCs/>
                <w:color w:val="000000"/>
                <w:lang w:val="it" w:eastAsia="en-AU"/>
              </w:rPr>
              <w:t>Totale</w:t>
            </w:r>
          </w:p>
        </w:tc>
        <w:tc>
          <w:tcPr>
            <w:tcW w:w="767"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633"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40AE2D12" w:rsidR="00C62233" w:rsidRDefault="00C8480E" w:rsidP="003F7BC7">
      <w:pPr>
        <w:pStyle w:val="Heading1"/>
      </w:pPr>
      <w:bookmarkStart w:id="29" w:name="_Toc153298588"/>
      <w:proofErr w:type="spellStart"/>
      <w:r w:rsidRPr="00030BB0">
        <w:rPr>
          <w:rFonts w:cs="Arial"/>
        </w:rPr>
        <w:lastRenderedPageBreak/>
        <w:t>Azioni</w:t>
      </w:r>
      <w:proofErr w:type="spellEnd"/>
      <w:r w:rsidRPr="00030BB0">
        <w:rPr>
          <w:rFonts w:cs="Arial"/>
        </w:rPr>
        <w:t xml:space="preserve"> in </w:t>
      </w:r>
      <w:proofErr w:type="spellStart"/>
      <w:r w:rsidRPr="00030BB0">
        <w:rPr>
          <w:rFonts w:cs="Arial"/>
        </w:rPr>
        <w:t>pratica</w:t>
      </w:r>
      <w:bookmarkEnd w:id="29"/>
      <w:proofErr w:type="spellEnd"/>
    </w:p>
    <w:p w14:paraId="5520CAEA" w14:textId="32B3A23E" w:rsidR="00F91315" w:rsidRPr="00030BB0" w:rsidRDefault="00F91315" w:rsidP="00F91315">
      <w:pPr>
        <w:spacing w:before="240" w:after="240"/>
        <w:rPr>
          <w:rFonts w:cs="Arial"/>
          <w:lang w:val="it-IT"/>
        </w:rPr>
      </w:pPr>
      <w:r w:rsidRPr="00030BB0">
        <w:rPr>
          <w:rFonts w:cs="Arial"/>
          <w:lang w:val="it-IT"/>
        </w:rPr>
        <w:t>Tutti i governi hanno lavorato durante il periodo di riferimento per portare avanti ulteriormente le azioni nell’ambito dei TAP.</w:t>
      </w:r>
    </w:p>
    <w:p w14:paraId="1E2A9BA9" w14:textId="6615511E" w:rsidR="00D1030A" w:rsidRDefault="00F91315" w:rsidP="00F91315">
      <w:pPr>
        <w:spacing w:before="240" w:after="240"/>
        <w:rPr>
          <w:rFonts w:cs="Arial"/>
          <w:sz w:val="20"/>
          <w:szCs w:val="20"/>
        </w:rPr>
      </w:pPr>
      <w:r w:rsidRPr="00030BB0">
        <w:rPr>
          <w:rFonts w:cs="Arial"/>
          <w:lang w:val="it-IT"/>
        </w:rPr>
        <w:t>La sezione seguente fornisce esempi selezionati da ciascun TAP e da ciascun governo sulle attività conseguite e su come queste azioni stanno contribuendo a migliorare i risultati per le persone con disabilità.</w:t>
      </w:r>
    </w:p>
    <w:p w14:paraId="66B0D314" w14:textId="364F4688" w:rsidR="00D1030A" w:rsidRDefault="00D1030A">
      <w:pPr>
        <w:rPr>
          <w:rFonts w:cs="Arial"/>
          <w:sz w:val="20"/>
          <w:szCs w:val="20"/>
        </w:rPr>
      </w:pPr>
      <w:r>
        <w:rPr>
          <w:rFonts w:cs="Arial"/>
          <w:sz w:val="20"/>
          <w:szCs w:val="20"/>
        </w:rPr>
        <w:br w:type="page"/>
      </w:r>
    </w:p>
    <w:p w14:paraId="64ADD195" w14:textId="325F0317" w:rsidR="00D1030A" w:rsidRPr="001B596C" w:rsidRDefault="001907FB" w:rsidP="00515A1C">
      <w:pPr>
        <w:pStyle w:val="Heading2"/>
      </w:pPr>
      <w:bookmarkStart w:id="30" w:name="_Toc153298589"/>
      <w:r w:rsidRPr="00030BB0">
        <w:rPr>
          <w:rFonts w:cs="Arial"/>
          <w:lang w:val="it-IT"/>
        </w:rPr>
        <w:lastRenderedPageBreak/>
        <w:t>Dipendenti con disabilità nel settore pubblico del Queensland</w:t>
      </w:r>
      <w:bookmarkEnd w:id="30"/>
    </w:p>
    <w:p w14:paraId="1B326681" w14:textId="77777777" w:rsidR="001907FB" w:rsidRPr="00030BB0" w:rsidRDefault="001907FB" w:rsidP="001907FB">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Queensland</w:t>
      </w:r>
    </w:p>
    <w:p w14:paraId="77932745" w14:textId="77777777" w:rsidR="001907FB" w:rsidRPr="00030BB0" w:rsidRDefault="001907FB" w:rsidP="001907FB">
      <w:pPr>
        <w:spacing w:before="240" w:after="240" w:line="240" w:lineRule="auto"/>
        <w:rPr>
          <w:rFonts w:cs="Arial"/>
          <w:b/>
        </w:rPr>
      </w:pPr>
      <w:r w:rsidRPr="00030BB0">
        <w:rPr>
          <w:rFonts w:cs="Arial"/>
          <w:b/>
        </w:rPr>
        <w:t xml:space="preserve">Piano </w:t>
      </w:r>
      <w:proofErr w:type="spellStart"/>
      <w:r w:rsidRPr="00030BB0">
        <w:rPr>
          <w:rFonts w:cs="Arial"/>
          <w:b/>
        </w:rPr>
        <w:t>d'azione</w:t>
      </w:r>
      <w:proofErr w:type="spellEnd"/>
      <w:r w:rsidRPr="00030BB0">
        <w:rPr>
          <w:rFonts w:cs="Arial"/>
          <w:b/>
        </w:rPr>
        <w:t xml:space="preserve"> </w:t>
      </w:r>
      <w:proofErr w:type="spellStart"/>
      <w:r w:rsidRPr="00030BB0">
        <w:rPr>
          <w:rFonts w:cs="Arial"/>
          <w:b/>
        </w:rPr>
        <w:t>mirato</w:t>
      </w:r>
      <w:proofErr w:type="spellEnd"/>
      <w:r w:rsidRPr="00030BB0">
        <w:rPr>
          <w:rFonts w:cs="Arial"/>
          <w:b/>
        </w:rPr>
        <w:t xml:space="preserve">: </w:t>
      </w:r>
      <w:proofErr w:type="spellStart"/>
      <w:r w:rsidRPr="00030BB0">
        <w:rPr>
          <w:rFonts w:cs="Arial"/>
        </w:rPr>
        <w:t>occupazione</w:t>
      </w:r>
      <w:proofErr w:type="spellEnd"/>
    </w:p>
    <w:p w14:paraId="63567C0C" w14:textId="77777777" w:rsidR="001907FB" w:rsidRPr="00030BB0" w:rsidRDefault="001907FB" w:rsidP="001907FB">
      <w:pPr>
        <w:spacing w:before="240" w:after="240" w:line="240" w:lineRule="auto"/>
        <w:rPr>
          <w:rFonts w:cs="Arial"/>
          <w:b/>
          <w:lang w:val="it-IT"/>
        </w:rPr>
      </w:pPr>
      <w:r w:rsidRPr="00030BB0">
        <w:rPr>
          <w:rFonts w:cs="Arial"/>
          <w:b/>
          <w:lang w:val="it-IT"/>
        </w:rPr>
        <w:t xml:space="preserve">Obiettivo TAP: </w:t>
      </w:r>
      <w:r w:rsidRPr="00030BB0">
        <w:rPr>
          <w:rFonts w:cs="Arial"/>
          <w:lang w:val="it-IT"/>
        </w:rPr>
        <w:t>1. Aumentare l'occupazione delle persone con disabilità.</w:t>
      </w:r>
    </w:p>
    <w:p w14:paraId="07E1CD7A" w14:textId="77777777" w:rsidR="001907FB" w:rsidRPr="00030BB0" w:rsidRDefault="001907FB" w:rsidP="001907FB">
      <w:pPr>
        <w:spacing w:before="240" w:after="240" w:line="240" w:lineRule="auto"/>
        <w:rPr>
          <w:rFonts w:cs="Arial"/>
          <w:b/>
          <w:lang w:val="it-IT"/>
        </w:rPr>
      </w:pPr>
      <w:r w:rsidRPr="00030BB0">
        <w:rPr>
          <w:rFonts w:cs="Arial"/>
          <w:b/>
          <w:lang w:val="it-IT"/>
        </w:rPr>
        <w:t xml:space="preserve">Azione: </w:t>
      </w:r>
      <w:r w:rsidRPr="00030BB0">
        <w:rPr>
          <w:rFonts w:cs="Arial"/>
          <w:lang w:val="it-IT"/>
        </w:rPr>
        <w:t>1.4 Realizzare il prossimo piano statale sulla disabilità in collaborazione con il Queensland Working Party, concentrandosi sulle opportunità di lavoro per le persone con disabilità.</w:t>
      </w:r>
    </w:p>
    <w:p w14:paraId="79B7CCA2" w14:textId="7C94711F" w:rsidR="001907FB" w:rsidRPr="00A831D6" w:rsidRDefault="001907FB" w:rsidP="001907FB">
      <w:pPr>
        <w:spacing w:before="240" w:after="240" w:line="240" w:lineRule="auto"/>
        <w:rPr>
          <w:rFonts w:cs="Arial"/>
          <w:b/>
        </w:rPr>
      </w:pPr>
      <w:proofErr w:type="spellStart"/>
      <w:r w:rsidRPr="00030BB0">
        <w:rPr>
          <w:rFonts w:cs="Arial"/>
          <w:b/>
        </w:rPr>
        <w:t>Indicatore</w:t>
      </w:r>
      <w:proofErr w:type="spellEnd"/>
      <w:r w:rsidRPr="00030BB0">
        <w:rPr>
          <w:rFonts w:cs="Arial"/>
          <w:b/>
        </w:rPr>
        <w:t>:</w:t>
      </w:r>
    </w:p>
    <w:p w14:paraId="1AC89556" w14:textId="2D796CFC" w:rsidR="008E5649" w:rsidRPr="00A831D6" w:rsidRDefault="001907FB" w:rsidP="00B67DD9">
      <w:pPr>
        <w:pStyle w:val="ListParagraph"/>
        <w:numPr>
          <w:ilvl w:val="0"/>
          <w:numId w:val="7"/>
        </w:numPr>
        <w:spacing w:after="120" w:line="240" w:lineRule="auto"/>
        <w:ind w:left="360"/>
        <w:contextualSpacing w:val="0"/>
        <w:rPr>
          <w:rFonts w:cs="Arial"/>
        </w:rPr>
      </w:pPr>
      <w:r w:rsidRPr="00030BB0">
        <w:rPr>
          <w:rFonts w:cs="Arial"/>
          <w:lang w:val="it-IT"/>
        </w:rPr>
        <w:t>Il nuovo piano statale sull’invalidità si concentra sulle opportunità di lavoro per le persone con disabilità.</w:t>
      </w:r>
    </w:p>
    <w:p w14:paraId="60E1936F" w14:textId="6BCE1D26" w:rsidR="00D1030A" w:rsidRPr="00A831D6" w:rsidRDefault="001907FB" w:rsidP="00B67DD9">
      <w:pPr>
        <w:pStyle w:val="ListParagraph"/>
        <w:numPr>
          <w:ilvl w:val="0"/>
          <w:numId w:val="7"/>
        </w:numPr>
        <w:spacing w:after="120" w:line="240" w:lineRule="auto"/>
        <w:ind w:left="360"/>
        <w:contextualSpacing w:val="0"/>
        <w:rPr>
          <w:rFonts w:cs="Arial"/>
        </w:rPr>
      </w:pPr>
      <w:r w:rsidRPr="00030BB0">
        <w:rPr>
          <w:rFonts w:cs="Arial"/>
          <w:lang w:val="it-IT"/>
        </w:rPr>
        <w:t>La percentuale di cittadini del Queensland con disabilità che partecipano al mondo del lavoro aumenta sia nel settore pubblico che in quello privato in tutto il Queensland.</w:t>
      </w:r>
    </w:p>
    <w:p w14:paraId="71223E0E" w14:textId="77777777" w:rsidR="00E01E75" w:rsidRPr="00030BB0" w:rsidRDefault="00E01E75" w:rsidP="00E01E75">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proofErr w:type="spellStart"/>
      <w:r w:rsidRPr="00030BB0">
        <w:rPr>
          <w:rFonts w:cs="Arial"/>
        </w:rPr>
        <w:t>completato</w:t>
      </w:r>
      <w:proofErr w:type="spellEnd"/>
    </w:p>
    <w:p w14:paraId="49B39C11" w14:textId="77777777" w:rsidR="00E01E75" w:rsidRPr="00030BB0" w:rsidRDefault="00E01E75" w:rsidP="00E01E75">
      <w:pPr>
        <w:spacing w:before="240" w:after="240" w:line="240" w:lineRule="auto"/>
        <w:rPr>
          <w:rFonts w:cs="Arial"/>
          <w:b/>
        </w:rPr>
      </w:pPr>
      <w:proofErr w:type="spellStart"/>
      <w:r w:rsidRPr="00030BB0">
        <w:rPr>
          <w:rFonts w:cs="Arial"/>
          <w:b/>
        </w:rPr>
        <w:t>Descrizione</w:t>
      </w:r>
      <w:proofErr w:type="spellEnd"/>
      <w:r w:rsidRPr="00030BB0">
        <w:rPr>
          <w:rFonts w:cs="Arial"/>
          <w:b/>
        </w:rPr>
        <w:t>:</w:t>
      </w:r>
    </w:p>
    <w:p w14:paraId="0A77111F" w14:textId="77777777" w:rsidR="00E01E75" w:rsidRPr="00030BB0" w:rsidRDefault="008E3222" w:rsidP="00E01E75">
      <w:pPr>
        <w:spacing w:before="240" w:after="240" w:line="240" w:lineRule="auto"/>
        <w:rPr>
          <w:rFonts w:cs="Arial"/>
          <w:lang w:val="it-IT"/>
        </w:rPr>
      </w:pPr>
      <w:hyperlink r:id="rId18" w:history="1">
        <w:r w:rsidR="00E01E75" w:rsidRPr="00030BB0">
          <w:rPr>
            <w:rStyle w:val="Hyperlink"/>
            <w:rFonts w:eastAsia="Times New Roman" w:cs="Arial"/>
            <w:i/>
            <w:iCs/>
            <w:lang w:val="it-IT" w:eastAsia="en-AU"/>
          </w:rPr>
          <w:t>Piano per la disabilità del Queensland 2022-27: insieme, un Queensland migliore</w:t>
        </w:r>
      </w:hyperlink>
      <w:r w:rsidR="00E01E75" w:rsidRPr="00030BB0">
        <w:rPr>
          <w:rFonts w:eastAsia="Times New Roman" w:cs="Arial"/>
          <w:b/>
          <w:bCs/>
          <w:i/>
          <w:iCs/>
          <w:lang w:val="it-IT" w:eastAsia="en-AU"/>
        </w:rPr>
        <w:t xml:space="preserve"> </w:t>
      </w:r>
      <w:r w:rsidR="00E01E75" w:rsidRPr="00030BB0">
        <w:rPr>
          <w:rFonts w:cs="Arial"/>
          <w:lang w:val="it-IT"/>
        </w:rPr>
        <w:t>(</w:t>
      </w:r>
      <w:hyperlink r:id="rId19" w:history="1">
        <w:r w:rsidR="00E01E75" w:rsidRPr="00030BB0">
          <w:rPr>
            <w:rStyle w:val="Hyperlink"/>
            <w:rFonts w:eastAsia="Times New Roman" w:cs="Arial"/>
            <w:i/>
            <w:iCs/>
            <w:lang w:val="it-IT" w:eastAsia="en-AU"/>
          </w:rPr>
          <w:t>Queensland's Disability Plan 2022-27: Together, a better Queensland</w:t>
        </w:r>
      </w:hyperlink>
      <w:r w:rsidR="00E01E75" w:rsidRPr="00030BB0">
        <w:rPr>
          <w:rFonts w:eastAsia="Times New Roman" w:cs="Arial"/>
          <w:b/>
          <w:bCs/>
          <w:i/>
          <w:iCs/>
          <w:lang w:val="it-IT" w:eastAsia="en-AU"/>
        </w:rPr>
        <w:t xml:space="preserve"> - </w:t>
      </w:r>
      <w:r w:rsidR="00E01E75" w:rsidRPr="00030BB0">
        <w:rPr>
          <w:rFonts w:cs="Arial"/>
          <w:lang w:val="it-IT"/>
        </w:rPr>
        <w:t xml:space="preserve">QDP) è stato pubblicato a novembre 2022. Il QDP è il meccanismo generale per attuare gli impegni del Queensland nell'ambito della </w:t>
      </w:r>
      <w:r w:rsidR="00E01E75" w:rsidRPr="00030BB0">
        <w:rPr>
          <w:rFonts w:cs="Arial"/>
          <w:i/>
          <w:lang w:val="it-IT"/>
        </w:rPr>
        <w:t xml:space="preserve">Strategia australiana sulla disabilità 2021-2031 </w:t>
      </w:r>
      <w:r w:rsidR="00E01E75" w:rsidRPr="00030BB0">
        <w:rPr>
          <w:rFonts w:cs="Arial"/>
          <w:lang w:val="it-IT"/>
        </w:rPr>
        <w:t>(ADS) ed è stato progettato in collaborazione con le persone con disabilità.</w:t>
      </w:r>
    </w:p>
    <w:p w14:paraId="14D876AE" w14:textId="77777777" w:rsidR="00E01E75" w:rsidRPr="00030BB0" w:rsidRDefault="00E01E75" w:rsidP="00E01E75">
      <w:pPr>
        <w:spacing w:before="240" w:after="240" w:line="240" w:lineRule="auto"/>
        <w:rPr>
          <w:rFonts w:eastAsia="Times New Roman" w:cs="Arial"/>
          <w:lang w:val="it-IT" w:eastAsia="en-AU"/>
        </w:rPr>
      </w:pPr>
      <w:r w:rsidRPr="00030BB0">
        <w:rPr>
          <w:rFonts w:eastAsia="Times New Roman" w:cs="Arial"/>
          <w:lang w:val="it-IT" w:eastAsia="en-AU"/>
        </w:rPr>
        <w:t>Il QDP adotta le sette aree di risultato dell’ADS ed è un invito all’azione a tutti i livelli di governo, industria e comunità per estendere l’impegno verso un Queensland inclusivo.</w:t>
      </w:r>
    </w:p>
    <w:p w14:paraId="4F4DAF53" w14:textId="77777777" w:rsidR="00E01E75" w:rsidRPr="00030BB0" w:rsidRDefault="00E01E75" w:rsidP="00E01E75">
      <w:pPr>
        <w:spacing w:before="240" w:after="240" w:line="240" w:lineRule="auto"/>
        <w:rPr>
          <w:rFonts w:eastAsia="Times New Roman" w:cs="Arial"/>
          <w:lang w:val="it-IT" w:eastAsia="en-AU"/>
        </w:rPr>
      </w:pPr>
      <w:r w:rsidRPr="00030BB0">
        <w:rPr>
          <w:rFonts w:eastAsia="Times New Roman" w:cs="Arial"/>
          <w:lang w:val="it-IT" w:eastAsia="en-AU"/>
        </w:rPr>
        <w:t>Il governo del Queensland è impegnato a portare avanti le proprie azioni nell’ambito di piani d’azione mirati individuali per migliorare l’accesso all’istruzione, all’occupazione, ad alloggi adeguati e a una società priva di barriere o stigma.</w:t>
      </w:r>
    </w:p>
    <w:p w14:paraId="724BF33E" w14:textId="77777777" w:rsidR="00E01E75" w:rsidRPr="00030BB0" w:rsidRDefault="00E01E75" w:rsidP="00E01E75">
      <w:pPr>
        <w:spacing w:before="240" w:after="240" w:line="240" w:lineRule="auto"/>
        <w:rPr>
          <w:rFonts w:eastAsia="Times New Roman" w:cs="Arial"/>
          <w:lang w:val="it-IT" w:eastAsia="en-AU"/>
        </w:rPr>
      </w:pPr>
      <w:r w:rsidRPr="00030BB0">
        <w:rPr>
          <w:rFonts w:eastAsia="Times New Roman" w:cs="Arial"/>
          <w:lang w:val="it-IT" w:eastAsia="en-AU"/>
        </w:rPr>
        <w:t>Il QDP guida lo sviluppo dei Piani dipartimentali dei servizi per la disabilità (DSP). Ogni amministratore delegato di dipartimento del Queensland ha l'obbligo legale di sviluppare un DSP. Il QDP riconosce che oltre ad avere posti di lavoro e punti vendita di servizi inclusivi, il settore non governativo può anche prendere in considerazione lo sviluppo di piani d’azione sulla disabilità per riferire sui risultati e sui tassi di occupazione delle persone con disabilità.</w:t>
      </w:r>
    </w:p>
    <w:p w14:paraId="66BF8789" w14:textId="77777777" w:rsidR="00E01E75" w:rsidRPr="00030BB0" w:rsidRDefault="00E01E75" w:rsidP="00E01E75">
      <w:pPr>
        <w:spacing w:before="240" w:after="240" w:line="240" w:lineRule="auto"/>
        <w:rPr>
          <w:rFonts w:eastAsia="Times New Roman" w:cs="Arial"/>
          <w:lang w:val="it-IT" w:eastAsia="en-AU"/>
        </w:rPr>
      </w:pPr>
      <w:r w:rsidRPr="00030BB0">
        <w:rPr>
          <w:rFonts w:eastAsia="Times New Roman" w:cs="Arial"/>
          <w:lang w:val="it-IT" w:eastAsia="en-AU"/>
        </w:rPr>
        <w:t>Una relazione sullo stato di avanzamento sarà pubblicata annualmente. Verso la fine del periodo di cinque anni, il QDP sarà valutato per impatto ed effetto.</w:t>
      </w:r>
    </w:p>
    <w:p w14:paraId="28055F35" w14:textId="5CBF6FE7" w:rsidR="00E01E75" w:rsidRDefault="00E01E75" w:rsidP="00E01E75">
      <w:pPr>
        <w:spacing w:before="240" w:after="240" w:line="240" w:lineRule="auto"/>
      </w:pPr>
      <w:r w:rsidRPr="00030BB0">
        <w:rPr>
          <w:rFonts w:cs="Arial"/>
          <w:b/>
          <w:lang w:val="it-IT" w:eastAsia="en-AU"/>
        </w:rPr>
        <w:t xml:space="preserve">Nel giugno 2023, il Queensland ha ospitato il forum giurisdizionale inaugurale della </w:t>
      </w:r>
      <w:r w:rsidRPr="00030BB0">
        <w:rPr>
          <w:rFonts w:cs="Arial"/>
          <w:b/>
          <w:i/>
          <w:iCs/>
          <w:lang w:val="it-IT" w:eastAsia="en-AU"/>
        </w:rPr>
        <w:t>Strategia per la disabilità australiana</w:t>
      </w:r>
      <w:r w:rsidRPr="00030BB0">
        <w:rPr>
          <w:rFonts w:cs="Arial"/>
          <w:b/>
          <w:lang w:val="it-IT" w:eastAsia="en-AU"/>
        </w:rPr>
        <w:t xml:space="preserve"> intitolato</w:t>
      </w:r>
      <w:r w:rsidRPr="00030BB0">
        <w:rPr>
          <w:lang w:val="it-IT"/>
        </w:rPr>
        <w:t xml:space="preserve"> </w:t>
      </w:r>
      <w:hyperlink r:id="rId20" w:history="1">
        <w:r w:rsidRPr="00030BB0">
          <w:rPr>
            <w:rStyle w:val="Hyperlink"/>
            <w:rFonts w:cs="Arial"/>
            <w:b w:val="0"/>
            <w:lang w:val="it-IT" w:eastAsia="en-AU"/>
          </w:rPr>
          <w:t xml:space="preserve">" </w:t>
        </w:r>
      </w:hyperlink>
      <w:hyperlink r:id="rId21" w:history="1">
        <w:r w:rsidRPr="00030BB0">
          <w:rPr>
            <w:rStyle w:val="Hyperlink"/>
            <w:rFonts w:cs="Arial"/>
            <w:b w:val="0"/>
            <w:i/>
            <w:iCs/>
            <w:lang w:val="it-IT" w:eastAsia="en-AU"/>
          </w:rPr>
          <w:t xml:space="preserve">Insieme per creare un Queensland inclusivo </w:t>
        </w:r>
      </w:hyperlink>
      <w:hyperlink r:id="rId22" w:history="1">
        <w:r w:rsidRPr="00030BB0">
          <w:rPr>
            <w:rStyle w:val="Hyperlink"/>
            <w:rFonts w:cs="Arial"/>
            <w:b w:val="0"/>
            <w:lang w:val="it-IT" w:eastAsia="en-AU"/>
          </w:rPr>
          <w:t xml:space="preserve">". </w:t>
        </w:r>
      </w:hyperlink>
      <w:r w:rsidRPr="00030BB0">
        <w:rPr>
          <w:rFonts w:cs="Arial"/>
          <w:b/>
          <w:lang w:val="it-IT" w:eastAsia="en-AU"/>
        </w:rPr>
        <w:t>Il forum ha promosso ADS e QDP, attraverso la facilitazione di tavole rotonde incentrate sull'occupazione e sull'inclusione in azione, con partecipanti provenienti dal settore della disabilità, dall'industria in generale, dal governo e dalla comunità.</w:t>
      </w:r>
    </w:p>
    <w:p w14:paraId="7F566F52" w14:textId="08778353" w:rsidR="00DC4167" w:rsidRDefault="00DA6F57" w:rsidP="00515A1C">
      <w:pPr>
        <w:pStyle w:val="Heading2"/>
      </w:pPr>
      <w:bookmarkStart w:id="31" w:name="_Toc153298590"/>
      <w:proofErr w:type="spellStart"/>
      <w:r w:rsidRPr="00030BB0">
        <w:rPr>
          <w:rFonts w:cs="Arial"/>
          <w:szCs w:val="32"/>
        </w:rPr>
        <w:lastRenderedPageBreak/>
        <w:t>Piani</w:t>
      </w:r>
      <w:proofErr w:type="spellEnd"/>
      <w:r w:rsidRPr="00030BB0">
        <w:rPr>
          <w:rFonts w:cs="Arial"/>
          <w:szCs w:val="32"/>
        </w:rPr>
        <w:t xml:space="preserve"> </w:t>
      </w:r>
      <w:proofErr w:type="spellStart"/>
      <w:r w:rsidRPr="00030BB0">
        <w:rPr>
          <w:rFonts w:cs="Arial"/>
          <w:szCs w:val="32"/>
        </w:rPr>
        <w:t>guida</w:t>
      </w:r>
      <w:proofErr w:type="spellEnd"/>
      <w:r w:rsidRPr="00030BB0">
        <w:rPr>
          <w:rFonts w:cs="Arial"/>
          <w:szCs w:val="32"/>
        </w:rPr>
        <w:t xml:space="preserve"> per </w:t>
      </w:r>
      <w:proofErr w:type="spellStart"/>
      <w:r w:rsidRPr="00030BB0">
        <w:rPr>
          <w:rFonts w:cs="Arial"/>
          <w:szCs w:val="32"/>
        </w:rPr>
        <w:t>l'occupazione</w:t>
      </w:r>
      <w:bookmarkEnd w:id="31"/>
      <w:proofErr w:type="spellEnd"/>
    </w:p>
    <w:p w14:paraId="70489CF8" w14:textId="77777777" w:rsidR="00DA6F57" w:rsidRPr="00030BB0" w:rsidRDefault="00DA6F57" w:rsidP="00DA6F57">
      <w:pPr>
        <w:spacing w:before="240" w:after="240" w:line="240" w:lineRule="auto"/>
        <w:rPr>
          <w:rFonts w:cs="Arial"/>
          <w:b/>
          <w:bCs/>
          <w:lang w:val="it-IT"/>
        </w:rPr>
      </w:pPr>
      <w:r w:rsidRPr="00030BB0">
        <w:rPr>
          <w:rFonts w:cs="Arial"/>
          <w:b/>
          <w:bCs/>
          <w:lang w:val="it-IT"/>
        </w:rPr>
        <w:t xml:space="preserve">Giurisdizione: </w:t>
      </w:r>
      <w:r w:rsidRPr="00030BB0">
        <w:rPr>
          <w:rFonts w:cs="Arial"/>
          <w:lang w:val="it-IT"/>
        </w:rPr>
        <w:t>Governo australiano, Dipartimento dei servizi sociali</w:t>
      </w:r>
    </w:p>
    <w:p w14:paraId="2CBAD95F" w14:textId="77777777" w:rsidR="00DA6F57" w:rsidRPr="00030BB0" w:rsidRDefault="00DA6F57" w:rsidP="00DA6F57">
      <w:pPr>
        <w:spacing w:before="240" w:after="240" w:line="240" w:lineRule="auto"/>
        <w:rPr>
          <w:rFonts w:cs="Arial"/>
          <w:b/>
          <w:bCs/>
        </w:rPr>
      </w:pPr>
      <w:r w:rsidRPr="00030BB0">
        <w:rPr>
          <w:rFonts w:cs="Arial"/>
          <w:b/>
          <w:bCs/>
        </w:rPr>
        <w:t xml:space="preserve">Piano </w:t>
      </w:r>
      <w:proofErr w:type="spellStart"/>
      <w:r w:rsidRPr="00030BB0">
        <w:rPr>
          <w:rFonts w:cs="Arial"/>
          <w:b/>
          <w:bCs/>
        </w:rPr>
        <w:t>d'azione</w:t>
      </w:r>
      <w:proofErr w:type="spellEnd"/>
      <w:r w:rsidRPr="00030BB0">
        <w:rPr>
          <w:rFonts w:cs="Arial"/>
          <w:b/>
          <w:bCs/>
        </w:rPr>
        <w:t xml:space="preserve"> </w:t>
      </w:r>
      <w:proofErr w:type="spellStart"/>
      <w:r w:rsidRPr="00030BB0">
        <w:rPr>
          <w:rFonts w:cs="Arial"/>
          <w:b/>
          <w:bCs/>
        </w:rPr>
        <w:t>mirato</w:t>
      </w:r>
      <w:proofErr w:type="spellEnd"/>
      <w:r w:rsidRPr="00030BB0">
        <w:rPr>
          <w:rFonts w:cs="Arial"/>
          <w:b/>
          <w:bCs/>
        </w:rPr>
        <w:t xml:space="preserve">: </w:t>
      </w:r>
      <w:proofErr w:type="spellStart"/>
      <w:r w:rsidRPr="00030BB0">
        <w:rPr>
          <w:rFonts w:cs="Arial"/>
        </w:rPr>
        <w:t>occupazione</w:t>
      </w:r>
      <w:proofErr w:type="spellEnd"/>
    </w:p>
    <w:p w14:paraId="1731CDFB" w14:textId="77777777" w:rsidR="00DA6F57" w:rsidRPr="00030BB0" w:rsidRDefault="00DA6F57" w:rsidP="00DA6F57">
      <w:pPr>
        <w:spacing w:before="240" w:after="240" w:line="240" w:lineRule="auto"/>
        <w:rPr>
          <w:rFonts w:cs="Arial"/>
          <w:b/>
          <w:bCs/>
          <w:lang w:val="it-IT"/>
        </w:rPr>
      </w:pPr>
      <w:r w:rsidRPr="00030BB0">
        <w:rPr>
          <w:rFonts w:cs="Arial"/>
          <w:b/>
          <w:bCs/>
          <w:lang w:val="it-IT"/>
        </w:rPr>
        <w:t xml:space="preserve">Obiettivo TAP: </w:t>
      </w:r>
      <w:r w:rsidRPr="00030BB0">
        <w:rPr>
          <w:rFonts w:cs="Arial"/>
          <w:lang w:val="it-IT"/>
        </w:rPr>
        <w:t>Obiettivo 1: aumentare l'occupazione delle persone con disabilità.</w:t>
      </w:r>
    </w:p>
    <w:p w14:paraId="6CB7E00F" w14:textId="77777777" w:rsidR="00DA6F57" w:rsidRPr="00030BB0" w:rsidRDefault="00DA6F57" w:rsidP="00DA6F57">
      <w:pPr>
        <w:spacing w:before="240" w:after="240" w:line="240" w:lineRule="auto"/>
        <w:rPr>
          <w:rFonts w:cs="Arial"/>
          <w:b/>
          <w:bCs/>
          <w:lang w:val="it-IT"/>
        </w:rPr>
      </w:pPr>
      <w:r w:rsidRPr="00030BB0">
        <w:rPr>
          <w:rFonts w:cs="Arial"/>
          <w:b/>
          <w:bCs/>
          <w:lang w:val="it-IT"/>
        </w:rPr>
        <w:t xml:space="preserve">Azione: </w:t>
      </w:r>
      <w:r w:rsidRPr="00030BB0">
        <w:rPr>
          <w:rFonts w:cs="Arial"/>
          <w:lang w:val="it-IT"/>
        </w:rPr>
        <w:t>1.8 Progetti pilota per l'occupazione: collegare le persone al lavoro in aree caratterizzate da carenza di competenze.</w:t>
      </w:r>
    </w:p>
    <w:p w14:paraId="651BA365" w14:textId="77777777" w:rsidR="00DA6F57" w:rsidRPr="00030BB0" w:rsidRDefault="00DA6F57" w:rsidP="00DA6F57">
      <w:pPr>
        <w:spacing w:before="240" w:after="240" w:line="240" w:lineRule="auto"/>
        <w:rPr>
          <w:rFonts w:cs="Arial"/>
          <w:lang w:val="it-IT"/>
        </w:rPr>
      </w:pPr>
      <w:r w:rsidRPr="00030BB0">
        <w:rPr>
          <w:rFonts w:cs="Arial"/>
          <w:lang w:val="it-IT"/>
        </w:rPr>
        <w:t>Collaborare con l’industria per sperimentare programmi pilota che mettono in contatto i partecipanti ai servizi per l’occupazione dei disabili con posti di lavoro in settori che registrano carenze di competenze.</w:t>
      </w:r>
    </w:p>
    <w:p w14:paraId="705854F2" w14:textId="77777777" w:rsidR="00DA6F57" w:rsidRPr="00030BB0" w:rsidRDefault="00DA6F57" w:rsidP="00DA6F57">
      <w:pPr>
        <w:spacing w:before="240" w:after="240" w:line="240" w:lineRule="auto"/>
        <w:rPr>
          <w:rFonts w:cs="Arial"/>
          <w:b/>
          <w:bCs/>
          <w:lang w:val="it-IT"/>
        </w:rPr>
      </w:pPr>
      <w:r w:rsidRPr="00030BB0">
        <w:rPr>
          <w:rFonts w:cs="Arial"/>
          <w:b/>
          <w:bCs/>
          <w:lang w:val="it-IT"/>
        </w:rPr>
        <w:t xml:space="preserve">Indicatore: </w:t>
      </w:r>
      <w:r w:rsidRPr="00030BB0">
        <w:rPr>
          <w:rFonts w:cs="Arial"/>
          <w:lang w:val="it-IT"/>
        </w:rPr>
        <w:t>gli indicatori saranno personalizzati per ciascun progetto pilota.</w:t>
      </w:r>
    </w:p>
    <w:p w14:paraId="07BFC067" w14:textId="77777777" w:rsidR="00DA6F57" w:rsidRPr="00030BB0" w:rsidRDefault="00DA6F57" w:rsidP="00DA6F57">
      <w:pPr>
        <w:spacing w:before="240" w:after="240" w:line="240" w:lineRule="auto"/>
        <w:rPr>
          <w:rFonts w:cs="Arial"/>
          <w:b/>
          <w:bCs/>
        </w:rPr>
      </w:pPr>
      <w:proofErr w:type="spellStart"/>
      <w:r w:rsidRPr="00030BB0">
        <w:rPr>
          <w:rFonts w:cs="Arial"/>
          <w:b/>
          <w:bCs/>
        </w:rPr>
        <w:t>Stato</w:t>
      </w:r>
      <w:proofErr w:type="spellEnd"/>
      <w:r w:rsidRPr="00030BB0">
        <w:rPr>
          <w:rFonts w:cs="Arial"/>
          <w:b/>
          <w:bCs/>
        </w:rPr>
        <w:t xml:space="preserve">: </w:t>
      </w:r>
      <w:r w:rsidRPr="00030BB0">
        <w:rPr>
          <w:rFonts w:cs="Arial"/>
        </w:rPr>
        <w:t xml:space="preserve">in </w:t>
      </w:r>
      <w:proofErr w:type="spellStart"/>
      <w:r w:rsidRPr="00030BB0">
        <w:rPr>
          <w:rFonts w:cs="Arial"/>
        </w:rPr>
        <w:t>corso</w:t>
      </w:r>
      <w:proofErr w:type="spellEnd"/>
    </w:p>
    <w:p w14:paraId="4B1B4591" w14:textId="6244E5E4" w:rsidR="00DA6F57" w:rsidRPr="00965A28" w:rsidRDefault="00DA6F57" w:rsidP="00DA6F57">
      <w:pPr>
        <w:spacing w:before="240" w:after="240" w:line="240" w:lineRule="auto"/>
        <w:rPr>
          <w:rFonts w:cs="Arial"/>
        </w:rPr>
      </w:pPr>
      <w:r w:rsidRPr="00030BB0">
        <w:rPr>
          <w:rFonts w:cs="Arial"/>
          <w:lang w:val="it-IT"/>
        </w:rPr>
        <w:t>Il Dipartimento dei Servizi Sociali e Austrade hanno collaborato al fine di sviluppare un progetto pilota per testare un nuovo approccio per migliorare i risultati occupazionali delle persone con disabilità. Il progetto pilota sui navigatori locali per il turismo fornirà navigatori locali locali in regioni mirate per assistere le piccole e medie imprese del settore turistico nel riformare le culture e le pratiche occupazionali sul posto di lavoro, oltre a rafforzare la fiducia dei datori di lavoro nell’assumere persone con disabilità.</w:t>
      </w:r>
    </w:p>
    <w:p w14:paraId="6A074EFD" w14:textId="4BB73F04" w:rsidR="00F60B29" w:rsidRPr="00965A28" w:rsidRDefault="00DA6F57" w:rsidP="00B67DD9">
      <w:pPr>
        <w:pStyle w:val="ListParagraph"/>
        <w:numPr>
          <w:ilvl w:val="0"/>
          <w:numId w:val="9"/>
        </w:numPr>
        <w:spacing w:before="240" w:after="0" w:line="240" w:lineRule="auto"/>
        <w:ind w:left="360"/>
        <w:contextualSpacing w:val="0"/>
        <w:rPr>
          <w:rFonts w:cs="Arial"/>
        </w:rPr>
      </w:pPr>
      <w:r w:rsidRPr="00030BB0">
        <w:rPr>
          <w:rFonts w:cs="Arial"/>
          <w:lang w:val="it-IT"/>
        </w:rPr>
        <w:t>Il progetto pilota è iniziato all'inizio di luglio 2023 e proseguirà per un periodo di dodici mesi.</w:t>
      </w:r>
      <w:r w:rsidR="00F60B29" w:rsidRPr="00965A28">
        <w:rPr>
          <w:rFonts w:cs="Arial"/>
        </w:rPr>
        <w:t xml:space="preserve"> </w:t>
      </w:r>
    </w:p>
    <w:p w14:paraId="356E225E" w14:textId="4292D900" w:rsidR="00F60B29" w:rsidRPr="00965A28" w:rsidRDefault="00DA6F57" w:rsidP="00B67DD9">
      <w:pPr>
        <w:pStyle w:val="ListParagraph"/>
        <w:numPr>
          <w:ilvl w:val="0"/>
          <w:numId w:val="9"/>
        </w:numPr>
        <w:spacing w:before="120" w:after="0" w:line="240" w:lineRule="auto"/>
        <w:ind w:left="360"/>
        <w:contextualSpacing w:val="0"/>
        <w:rPr>
          <w:rFonts w:cs="Arial"/>
        </w:rPr>
      </w:pPr>
      <w:r w:rsidRPr="00030BB0">
        <w:rPr>
          <w:rFonts w:cs="Arial"/>
          <w:lang w:val="it-IT"/>
        </w:rPr>
        <w:t>Le sovvenzioni per fornire Navigatori Locali sono state assegnate a 12 fornitori in 8 regioni occupazionali prioritarie.</w:t>
      </w:r>
      <w:r w:rsidR="00F60B29" w:rsidRPr="00965A28">
        <w:rPr>
          <w:rFonts w:cs="Arial"/>
        </w:rPr>
        <w:t xml:space="preserve"> </w:t>
      </w:r>
    </w:p>
    <w:p w14:paraId="0DD00EA9" w14:textId="01CF142F" w:rsidR="00DA6F57" w:rsidRPr="00965A28" w:rsidRDefault="00DA6F57" w:rsidP="00DA6F57">
      <w:pPr>
        <w:spacing w:before="240" w:after="240" w:line="240" w:lineRule="auto"/>
        <w:rPr>
          <w:rFonts w:cs="Arial"/>
        </w:rPr>
      </w:pPr>
      <w:r w:rsidRPr="00030BB0">
        <w:rPr>
          <w:rFonts w:cs="Arial"/>
          <w:lang w:val="it-IT"/>
        </w:rPr>
        <w:t>Il Dipartimento dei servizi sociali ha collaborato con il Business Council of Australia (BCA), quattro dei suoi grandi datori di lavoro membri e l'Australian Network on Disability (AND) per sviluppare un progetto pilota incentrato sulla promozione del cambiamento attitudinale dimostrando leadership attraverso la comunità imprenditoriale, incoraggiando i maggiori datori di lavoro australiani a concentrarsi non solo sui posti di lavoro entry-level per le persone con disabilità, dimostrando che sono luoghi sicuri in cui le persone con disabilità possono lavorare e prosperare nella loro carriera e favorendo risultati occupazionali a lungo termine per le persone con disabilità con un focus sull’avanzamento di carriera e futura leadership.</w:t>
      </w:r>
    </w:p>
    <w:p w14:paraId="122B160E" w14:textId="480034AE" w:rsidR="00F60B29" w:rsidRPr="00965A28" w:rsidRDefault="00DA6F57" w:rsidP="00B67DD9">
      <w:pPr>
        <w:pStyle w:val="ListParagraph"/>
        <w:numPr>
          <w:ilvl w:val="0"/>
          <w:numId w:val="10"/>
        </w:numPr>
        <w:spacing w:after="120" w:line="240" w:lineRule="auto"/>
        <w:ind w:left="360"/>
        <w:contextualSpacing w:val="0"/>
        <w:rPr>
          <w:rFonts w:cs="Arial"/>
        </w:rPr>
      </w:pPr>
      <w:r w:rsidRPr="00030BB0">
        <w:rPr>
          <w:rFonts w:cs="Arial"/>
          <w:lang w:val="it-IT"/>
        </w:rPr>
        <w:t>Il progetto pilota è iniziato nell'agosto 2023 e proseguirà fino a febbraio 2025.</w:t>
      </w:r>
      <w:r w:rsidR="00F60B29" w:rsidRPr="00965A28">
        <w:rPr>
          <w:rFonts w:cs="Arial"/>
        </w:rPr>
        <w:t xml:space="preserve"> </w:t>
      </w:r>
    </w:p>
    <w:p w14:paraId="19F9C3AC" w14:textId="27E7E15A" w:rsidR="00F60B29" w:rsidRPr="00965A28" w:rsidRDefault="00DA6F57" w:rsidP="00B67DD9">
      <w:pPr>
        <w:pStyle w:val="ListParagraph"/>
        <w:numPr>
          <w:ilvl w:val="0"/>
          <w:numId w:val="10"/>
        </w:numPr>
        <w:spacing w:after="120" w:line="240" w:lineRule="auto"/>
        <w:ind w:left="360"/>
        <w:contextualSpacing w:val="0"/>
        <w:rPr>
          <w:rFonts w:cs="Arial"/>
        </w:rPr>
      </w:pPr>
      <w:r w:rsidRPr="00030BB0">
        <w:rPr>
          <w:rFonts w:cs="Arial"/>
          <w:lang w:val="it-IT"/>
        </w:rPr>
        <w:t>È stata assegnata una sovvenzione a AND per lo sviluppo di progetti pilota con i quattro grandi datori di lavoro e i loro dipendenti con disabilità per imparare come identificare e affrontare al meglio gli ostacoli incontrati dai dipendenti con disabilità all’avanzamento di carriera.</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79DF0259" w:rsidR="0034572C" w:rsidRPr="00965A28" w:rsidRDefault="005264D0" w:rsidP="00515A1C">
      <w:pPr>
        <w:pStyle w:val="Heading2"/>
      </w:pPr>
      <w:bookmarkStart w:id="32" w:name="_Toc153298591"/>
      <w:r w:rsidRPr="00030BB0">
        <w:rPr>
          <w:rFonts w:cs="Arial"/>
          <w:lang w:val="it-IT"/>
        </w:rPr>
        <w:lastRenderedPageBreak/>
        <w:t>Commissario per la disabilità della Tasmania</w:t>
      </w:r>
      <w:bookmarkEnd w:id="32"/>
    </w:p>
    <w:p w14:paraId="67BE930E" w14:textId="77777777" w:rsidR="005264D0" w:rsidRPr="00030BB0" w:rsidRDefault="005264D0" w:rsidP="005264D0">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Tasmania</w:t>
      </w:r>
    </w:p>
    <w:p w14:paraId="151C6CE2" w14:textId="77777777" w:rsidR="005264D0" w:rsidRPr="00030BB0" w:rsidRDefault="005264D0" w:rsidP="005264D0">
      <w:pPr>
        <w:spacing w:before="240" w:after="240" w:line="240" w:lineRule="auto"/>
        <w:rPr>
          <w:rFonts w:cs="Arial"/>
          <w:b/>
        </w:rPr>
      </w:pPr>
      <w:r w:rsidRPr="00030BB0">
        <w:rPr>
          <w:rFonts w:cs="Arial"/>
          <w:b/>
        </w:rPr>
        <w:t xml:space="preserve">TAP: </w:t>
      </w:r>
      <w:proofErr w:type="spellStart"/>
      <w:r w:rsidRPr="00030BB0">
        <w:rPr>
          <w:rFonts w:cs="Arial"/>
        </w:rPr>
        <w:t>atteggiamenti</w:t>
      </w:r>
      <w:proofErr w:type="spellEnd"/>
      <w:r w:rsidRPr="00030BB0">
        <w:rPr>
          <w:rFonts w:cs="Arial"/>
        </w:rPr>
        <w:t xml:space="preserve"> </w:t>
      </w:r>
      <w:proofErr w:type="spellStart"/>
      <w:proofErr w:type="gramStart"/>
      <w:r w:rsidRPr="00030BB0">
        <w:rPr>
          <w:rFonts w:cs="Arial"/>
        </w:rPr>
        <w:t>della</w:t>
      </w:r>
      <w:proofErr w:type="spellEnd"/>
      <w:proofErr w:type="gramEnd"/>
      <w:r w:rsidRPr="00030BB0">
        <w:rPr>
          <w:rFonts w:cs="Arial"/>
        </w:rPr>
        <w:t xml:space="preserve"> </w:t>
      </w:r>
      <w:proofErr w:type="spellStart"/>
      <w:r w:rsidRPr="00030BB0">
        <w:rPr>
          <w:rFonts w:cs="Arial"/>
        </w:rPr>
        <w:t>comunità</w:t>
      </w:r>
      <w:proofErr w:type="spellEnd"/>
    </w:p>
    <w:p w14:paraId="7E89EA0C" w14:textId="77777777" w:rsidR="005264D0" w:rsidRPr="00030BB0" w:rsidRDefault="005264D0" w:rsidP="005264D0">
      <w:pPr>
        <w:spacing w:before="240" w:after="240" w:line="240" w:lineRule="auto"/>
        <w:rPr>
          <w:rFonts w:cs="Arial"/>
          <w:b/>
          <w:lang w:val="it-IT"/>
        </w:rPr>
      </w:pPr>
      <w:r w:rsidRPr="00030BB0">
        <w:rPr>
          <w:rFonts w:cs="Arial"/>
          <w:b/>
          <w:lang w:val="it-IT"/>
        </w:rPr>
        <w:t xml:space="preserve">Obiettivo TAP: </w:t>
      </w:r>
      <w:r w:rsidRPr="00030BB0">
        <w:rPr>
          <w:rFonts w:cs="Arial"/>
          <w:lang w:val="it-IT"/>
        </w:rPr>
        <w:t>4. Migliorare gli atteggiamenti della comunità per avere un impatto positivo sulle priorità politiche nell'ambito dell'ADS.</w:t>
      </w:r>
    </w:p>
    <w:p w14:paraId="0BE4C74C" w14:textId="77777777" w:rsidR="005264D0" w:rsidRPr="00030BB0" w:rsidRDefault="005264D0" w:rsidP="005264D0">
      <w:pPr>
        <w:spacing w:before="240" w:after="240" w:line="240" w:lineRule="auto"/>
        <w:rPr>
          <w:rFonts w:cs="Arial"/>
          <w:b/>
          <w:lang w:val="it-IT"/>
        </w:rPr>
      </w:pPr>
      <w:r w:rsidRPr="00030BB0">
        <w:rPr>
          <w:rFonts w:cs="Arial"/>
          <w:b/>
          <w:lang w:val="it-IT"/>
        </w:rPr>
        <w:t xml:space="preserve">Azione: </w:t>
      </w:r>
      <w:r w:rsidRPr="00030BB0">
        <w:rPr>
          <w:rFonts w:cs="Arial"/>
          <w:lang w:val="it-IT"/>
        </w:rPr>
        <w:t>4.1 - L'istituzione di un Commissario per la disabilità della Tasmania lavorerà per garantire che le persone con disabilità e le loro famiglie ricevano il sostegno e i servizi inclusivi e accessibili di cui hanno bisogno, compresi quelli supportati attraverso i servizi tradizionali, con un investimento di 300.000 dollari all'anno nel corso del quadriennio 2021-2022.</w:t>
      </w:r>
    </w:p>
    <w:p w14:paraId="2AA06E92" w14:textId="62BE6887" w:rsidR="005264D0" w:rsidRPr="00965A28" w:rsidRDefault="005264D0" w:rsidP="005264D0">
      <w:pPr>
        <w:spacing w:before="240" w:after="240" w:line="240" w:lineRule="auto"/>
        <w:rPr>
          <w:rFonts w:cs="Arial"/>
        </w:rPr>
      </w:pPr>
      <w:proofErr w:type="spellStart"/>
      <w:r w:rsidRPr="00030BB0">
        <w:rPr>
          <w:rFonts w:cs="Arial"/>
          <w:b/>
        </w:rPr>
        <w:t>Indicatore</w:t>
      </w:r>
      <w:proofErr w:type="spellEnd"/>
      <w:r w:rsidRPr="00030BB0">
        <w:rPr>
          <w:rFonts w:cs="Arial"/>
          <w:b/>
        </w:rPr>
        <w:t>:</w:t>
      </w:r>
    </w:p>
    <w:p w14:paraId="05ECA0FF" w14:textId="0EF6F0F8" w:rsidR="00D1030A" w:rsidRPr="00965A28" w:rsidRDefault="005264D0" w:rsidP="00B67DD9">
      <w:pPr>
        <w:numPr>
          <w:ilvl w:val="0"/>
          <w:numId w:val="1"/>
        </w:numPr>
        <w:spacing w:before="240" w:after="120" w:line="240" w:lineRule="auto"/>
        <w:ind w:left="360"/>
        <w:rPr>
          <w:rFonts w:cs="Arial"/>
        </w:rPr>
      </w:pPr>
      <w:r w:rsidRPr="00030BB0">
        <w:rPr>
          <w:rFonts w:cs="Arial"/>
          <w:lang w:val="it-IT"/>
        </w:rPr>
        <w:t>La consultazione con la comunità della Tasmania è completata.</w:t>
      </w:r>
    </w:p>
    <w:p w14:paraId="61E91713" w14:textId="5A897666" w:rsidR="00D1030A" w:rsidRPr="00965A28" w:rsidRDefault="005264D0" w:rsidP="00B67DD9">
      <w:pPr>
        <w:numPr>
          <w:ilvl w:val="0"/>
          <w:numId w:val="1"/>
        </w:numPr>
        <w:spacing w:after="120" w:line="240" w:lineRule="auto"/>
        <w:ind w:left="360"/>
        <w:rPr>
          <w:rFonts w:cs="Arial"/>
        </w:rPr>
      </w:pPr>
      <w:r w:rsidRPr="00030BB0">
        <w:rPr>
          <w:rFonts w:cs="Arial"/>
          <w:lang w:val="it-IT"/>
        </w:rPr>
        <w:t>Esiste un quadro per l’istituzione del primo Commissario per la disabilità.</w:t>
      </w:r>
    </w:p>
    <w:p w14:paraId="032048D9" w14:textId="77777777" w:rsidR="005264D0" w:rsidRPr="00030BB0" w:rsidRDefault="005264D0" w:rsidP="005264D0">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r w:rsidRPr="00030BB0">
        <w:rPr>
          <w:rFonts w:cs="Arial"/>
        </w:rPr>
        <w:tab/>
      </w:r>
      <w:proofErr w:type="spellStart"/>
      <w:r w:rsidRPr="00030BB0">
        <w:rPr>
          <w:rFonts w:cs="Arial"/>
        </w:rPr>
        <w:t>Alcuni</w:t>
      </w:r>
      <w:proofErr w:type="spellEnd"/>
      <w:r w:rsidRPr="00030BB0">
        <w:rPr>
          <w:rFonts w:cs="Arial"/>
        </w:rPr>
        <w:t xml:space="preserve"> </w:t>
      </w:r>
      <w:proofErr w:type="spellStart"/>
      <w:r w:rsidRPr="00030BB0">
        <w:rPr>
          <w:rFonts w:cs="Arial"/>
        </w:rPr>
        <w:t>ritardi</w:t>
      </w:r>
      <w:proofErr w:type="spellEnd"/>
    </w:p>
    <w:p w14:paraId="08976076" w14:textId="77777777" w:rsidR="005264D0" w:rsidRPr="00030BB0" w:rsidRDefault="005264D0" w:rsidP="005264D0">
      <w:pPr>
        <w:spacing w:before="240" w:after="240" w:line="240" w:lineRule="auto"/>
        <w:rPr>
          <w:rFonts w:cs="Arial"/>
          <w:b/>
          <w:lang w:val="it-IT"/>
        </w:rPr>
      </w:pPr>
      <w:r w:rsidRPr="00030BB0">
        <w:rPr>
          <w:rFonts w:cs="Arial"/>
          <w:b/>
          <w:lang w:val="it-IT"/>
        </w:rPr>
        <w:t>Descrizione</w:t>
      </w:r>
      <w:r w:rsidRPr="00030BB0">
        <w:rPr>
          <w:rFonts w:cs="Arial"/>
          <w:lang w:val="it-IT"/>
        </w:rPr>
        <w:t>: Alla fine del 2022 è stato avviato un processo di reclutamento e il nuovo commissario ad interim, Mary Mallett, ha assunto l'incarico nel gennaio 2023.</w:t>
      </w:r>
    </w:p>
    <w:p w14:paraId="325C481E" w14:textId="77777777" w:rsidR="005264D0" w:rsidRPr="00030BB0" w:rsidRDefault="005264D0" w:rsidP="005264D0">
      <w:pPr>
        <w:spacing w:before="240" w:after="240" w:line="240" w:lineRule="auto"/>
        <w:rPr>
          <w:rFonts w:cs="Arial"/>
          <w:lang w:val="it-IT"/>
        </w:rPr>
      </w:pPr>
      <w:r w:rsidRPr="00030BB0">
        <w:rPr>
          <w:rFonts w:cs="Arial"/>
          <w:lang w:val="it-IT"/>
        </w:rPr>
        <w:t>Il governo della Tasmania è impegnato a creare un atto legislativo contemporaneo che celebri la forza, la diversità e l’esperienza dei cittadini della Tasmania con disabilità e si prevede che un nuovo disegno di legge sulla disabilità sarà pronto per la consultazione tra la metà e la fine del 2023.</w:t>
      </w:r>
    </w:p>
    <w:p w14:paraId="194768AE" w14:textId="77777777" w:rsidR="005264D0" w:rsidRPr="00030BB0" w:rsidRDefault="005264D0" w:rsidP="005264D0">
      <w:pPr>
        <w:spacing w:before="240" w:after="240" w:line="240" w:lineRule="auto"/>
        <w:rPr>
          <w:rFonts w:cs="Arial"/>
          <w:lang w:val="it-IT"/>
        </w:rPr>
      </w:pPr>
      <w:r w:rsidRPr="00030BB0">
        <w:rPr>
          <w:rFonts w:cs="Arial"/>
          <w:lang w:val="it-IT"/>
        </w:rPr>
        <w:t>L’istituzione di un Commissario ad interim per la disabilità offre tempo e opportunità, prima della legislazione che istituisce un Commissario per la disabilità, per lavorare con altri funzionari statutari per sviluppare capacità e possibilità di risolvere i reclami delle persone con disabilità.</w:t>
      </w:r>
    </w:p>
    <w:p w14:paraId="037D9095" w14:textId="638791DF" w:rsidR="005264D0" w:rsidRPr="00965A28" w:rsidRDefault="005264D0" w:rsidP="005264D0">
      <w:pPr>
        <w:spacing w:before="240" w:after="240" w:line="240" w:lineRule="auto"/>
        <w:rPr>
          <w:rFonts w:cs="Arial"/>
        </w:rPr>
      </w:pPr>
      <w:r w:rsidRPr="00030BB0">
        <w:rPr>
          <w:rFonts w:cs="Arial"/>
          <w:lang w:val="it-IT"/>
        </w:rPr>
        <w:t xml:space="preserve">Al Commissario ad interim per la disabilità sono stati conferiti i poteri di un funzionario autorizzato ai sensi del Disability Services Act 2011 (Tas). </w:t>
      </w:r>
      <w:proofErr w:type="gramStart"/>
      <w:r w:rsidRPr="00030BB0">
        <w:rPr>
          <w:rFonts w:cs="Arial"/>
        </w:rPr>
        <w:t>Un</w:t>
      </w:r>
      <w:proofErr w:type="gramEnd"/>
      <w:r w:rsidRPr="00030BB0">
        <w:rPr>
          <w:rFonts w:cs="Arial"/>
        </w:rPr>
        <w:t xml:space="preserve"> </w:t>
      </w:r>
      <w:proofErr w:type="spellStart"/>
      <w:r w:rsidRPr="00030BB0">
        <w:rPr>
          <w:rFonts w:cs="Arial"/>
        </w:rPr>
        <w:t>funzionario</w:t>
      </w:r>
      <w:proofErr w:type="spellEnd"/>
      <w:r w:rsidRPr="00030BB0">
        <w:rPr>
          <w:rFonts w:cs="Arial"/>
        </w:rPr>
        <w:t xml:space="preserve"> </w:t>
      </w:r>
      <w:proofErr w:type="spellStart"/>
      <w:r w:rsidRPr="00030BB0">
        <w:rPr>
          <w:rFonts w:cs="Arial"/>
        </w:rPr>
        <w:t>autorizzato</w:t>
      </w:r>
      <w:proofErr w:type="spellEnd"/>
      <w:r w:rsidRPr="00030BB0">
        <w:rPr>
          <w:rFonts w:cs="Arial"/>
        </w:rPr>
        <w:t xml:space="preserve"> </w:t>
      </w:r>
      <w:proofErr w:type="spellStart"/>
      <w:r w:rsidRPr="00030BB0">
        <w:rPr>
          <w:rFonts w:cs="Arial"/>
        </w:rPr>
        <w:t>può</w:t>
      </w:r>
      <w:proofErr w:type="spellEnd"/>
      <w:r w:rsidRPr="00030BB0">
        <w:rPr>
          <w:rFonts w:cs="Arial"/>
        </w:rPr>
        <w:t xml:space="preserve"> </w:t>
      </w:r>
      <w:proofErr w:type="spellStart"/>
      <w:r w:rsidRPr="00030BB0">
        <w:rPr>
          <w:rFonts w:cs="Arial"/>
        </w:rPr>
        <w:t>entrare</w:t>
      </w:r>
      <w:proofErr w:type="spellEnd"/>
      <w:r w:rsidRPr="00030BB0">
        <w:rPr>
          <w:rFonts w:cs="Arial"/>
        </w:rPr>
        <w:t xml:space="preserve"> </w:t>
      </w:r>
      <w:proofErr w:type="spellStart"/>
      <w:r w:rsidRPr="00030BB0">
        <w:rPr>
          <w:rFonts w:cs="Arial"/>
        </w:rPr>
        <w:t>nei</w:t>
      </w:r>
      <w:proofErr w:type="spellEnd"/>
      <w:r w:rsidRPr="00030BB0">
        <w:rPr>
          <w:rFonts w:cs="Arial"/>
        </w:rPr>
        <w:t xml:space="preserve"> </w:t>
      </w:r>
      <w:proofErr w:type="spellStart"/>
      <w:r w:rsidRPr="00030BB0">
        <w:rPr>
          <w:rFonts w:cs="Arial"/>
        </w:rPr>
        <w:t>locali</w:t>
      </w:r>
      <w:proofErr w:type="spellEnd"/>
      <w:r w:rsidRPr="00030BB0">
        <w:rPr>
          <w:rFonts w:cs="Arial"/>
        </w:rPr>
        <w:t xml:space="preserve"> per:</w:t>
      </w:r>
    </w:p>
    <w:p w14:paraId="1DE36FCD" w14:textId="37FCF695" w:rsidR="00D1030A" w:rsidRPr="00965A28" w:rsidRDefault="0066091C" w:rsidP="00B67DD9">
      <w:pPr>
        <w:numPr>
          <w:ilvl w:val="0"/>
          <w:numId w:val="3"/>
        </w:numPr>
        <w:spacing w:after="120" w:line="240" w:lineRule="auto"/>
        <w:ind w:left="288" w:hanging="288"/>
        <w:rPr>
          <w:rFonts w:cs="Arial"/>
        </w:rPr>
      </w:pPr>
      <w:r w:rsidRPr="00030BB0">
        <w:rPr>
          <w:rFonts w:cs="Arial"/>
          <w:lang w:val="it-IT"/>
        </w:rPr>
        <w:t>garantire che le persone con disabilità che risiedono o ricevono servizi specialistici per disabili nelle strutture ricevano le cure e il supporto necessari o desiderabili per la loro salute e il loro benessere; oppure</w:t>
      </w:r>
    </w:p>
    <w:p w14:paraId="3944D07B" w14:textId="637D0BCB" w:rsidR="00D1030A" w:rsidRPr="00965A28" w:rsidRDefault="0066091C" w:rsidP="00B67DD9">
      <w:pPr>
        <w:numPr>
          <w:ilvl w:val="0"/>
          <w:numId w:val="2"/>
        </w:numPr>
        <w:spacing w:after="120" w:line="240" w:lineRule="auto"/>
        <w:ind w:left="288" w:hanging="288"/>
        <w:rPr>
          <w:rFonts w:cs="Arial"/>
        </w:rPr>
      </w:pPr>
      <w:r w:rsidRPr="00030BB0">
        <w:rPr>
          <w:rFonts w:cs="Arial"/>
          <w:lang w:val="it-IT"/>
        </w:rPr>
        <w:t>garantire la sicurezza delle persone.</w:t>
      </w:r>
    </w:p>
    <w:p w14:paraId="1FFEE3B0" w14:textId="2769946E" w:rsidR="00D1030A" w:rsidRPr="00965A28" w:rsidRDefault="0066091C" w:rsidP="00C41CE0">
      <w:pPr>
        <w:spacing w:before="240" w:after="240" w:line="240" w:lineRule="auto"/>
        <w:rPr>
          <w:rFonts w:cs="Arial"/>
        </w:rPr>
      </w:pPr>
      <w:r w:rsidRPr="00030BB0">
        <w:rPr>
          <w:rFonts w:cs="Arial"/>
          <w:lang w:val="it-IT"/>
        </w:rPr>
        <w:t>Il Commissario ad interim per la disabilità dovrà inoltre:</w:t>
      </w:r>
    </w:p>
    <w:p w14:paraId="2EB57104" w14:textId="77777777" w:rsidR="0066091C" w:rsidRPr="00030BB0" w:rsidRDefault="0066091C" w:rsidP="00B67DD9">
      <w:pPr>
        <w:numPr>
          <w:ilvl w:val="0"/>
          <w:numId w:val="2"/>
        </w:numPr>
        <w:spacing w:after="120" w:line="240" w:lineRule="auto"/>
        <w:ind w:left="274" w:hanging="284"/>
        <w:rPr>
          <w:rFonts w:cs="Arial"/>
          <w:lang w:val="it-IT"/>
        </w:rPr>
      </w:pPr>
      <w:r w:rsidRPr="00030BB0">
        <w:rPr>
          <w:rFonts w:cs="Arial"/>
          <w:lang w:val="it-IT"/>
        </w:rPr>
        <w:t>fornire leadership, favorire l’inclusione e promuovere l’accessibilità all’interno del governo e dei servizi tradizionali;</w:t>
      </w:r>
    </w:p>
    <w:p w14:paraId="01BD80BF" w14:textId="77777777" w:rsidR="0066091C" w:rsidRPr="00030BB0" w:rsidRDefault="0066091C" w:rsidP="00B67DD9">
      <w:pPr>
        <w:numPr>
          <w:ilvl w:val="0"/>
          <w:numId w:val="2"/>
        </w:numPr>
        <w:spacing w:after="120" w:line="240" w:lineRule="auto"/>
        <w:ind w:left="274" w:hanging="284"/>
        <w:rPr>
          <w:rFonts w:cs="Arial"/>
          <w:lang w:val="it-IT"/>
        </w:rPr>
      </w:pPr>
      <w:r w:rsidRPr="00030BB0">
        <w:rPr>
          <w:rFonts w:cs="Arial"/>
          <w:lang w:val="it-IT"/>
        </w:rPr>
        <w:t>promuovere i diritti delle persone con disabilità;</w:t>
      </w:r>
    </w:p>
    <w:p w14:paraId="5E00CE24" w14:textId="77777777" w:rsidR="0066091C" w:rsidRPr="00030BB0" w:rsidRDefault="0066091C" w:rsidP="00B67DD9">
      <w:pPr>
        <w:numPr>
          <w:ilvl w:val="0"/>
          <w:numId w:val="2"/>
        </w:numPr>
        <w:spacing w:after="120" w:line="240" w:lineRule="auto"/>
        <w:ind w:left="274" w:hanging="284"/>
        <w:rPr>
          <w:rFonts w:cs="Arial"/>
          <w:lang w:val="it-IT"/>
        </w:rPr>
      </w:pPr>
      <w:r w:rsidRPr="00030BB0">
        <w:rPr>
          <w:rFonts w:cs="Arial"/>
          <w:lang w:val="it-IT"/>
        </w:rPr>
        <w:t>stabilire e monitorare meccanismi di salvaguardia che affrontino la violenza, l’abuso, l’abbandono e lo sfruttamento delle persone con disabilità e</w:t>
      </w:r>
    </w:p>
    <w:p w14:paraId="1C3EC26C" w14:textId="5FF1221B" w:rsidR="0066091C" w:rsidRPr="00965A28" w:rsidRDefault="0066091C" w:rsidP="00B67DD9">
      <w:pPr>
        <w:numPr>
          <w:ilvl w:val="0"/>
          <w:numId w:val="2"/>
        </w:numPr>
        <w:spacing w:after="120" w:line="240" w:lineRule="auto"/>
        <w:ind w:left="274" w:hanging="288"/>
        <w:rPr>
          <w:rFonts w:cs="Arial"/>
        </w:rPr>
      </w:pPr>
      <w:r w:rsidRPr="00030BB0">
        <w:rPr>
          <w:rFonts w:cs="Arial"/>
          <w:lang w:val="it-IT"/>
        </w:rPr>
        <w:lastRenderedPageBreak/>
        <w:t>rispondere alle accuse di abuso, abbandono e sfruttamento delle persone con disabilità.</w:t>
      </w:r>
    </w:p>
    <w:p w14:paraId="7F82F7A3" w14:textId="785E3E0C" w:rsidR="001F7ED0" w:rsidRDefault="001F7ED0" w:rsidP="00C41CE0">
      <w:pPr>
        <w:pStyle w:val="NoSpacing"/>
        <w:spacing w:before="240" w:after="240"/>
      </w:pPr>
      <w:r>
        <w:br w:type="page"/>
      </w:r>
    </w:p>
    <w:p w14:paraId="1E6923E4" w14:textId="5B1B65DC" w:rsidR="0034572C" w:rsidRPr="0038135C" w:rsidRDefault="00532CAC" w:rsidP="00515A1C">
      <w:pPr>
        <w:pStyle w:val="Heading2"/>
      </w:pPr>
      <w:bookmarkStart w:id="33" w:name="_Toc153298592"/>
      <w:r w:rsidRPr="00030BB0">
        <w:rPr>
          <w:rFonts w:cs="Arial"/>
          <w:lang w:val="it-IT"/>
        </w:rPr>
        <w:lastRenderedPageBreak/>
        <w:t>Workshop su come sviluppare la genitorialità in modo diverso</w:t>
      </w:r>
      <w:bookmarkEnd w:id="33"/>
    </w:p>
    <w:p w14:paraId="64897616" w14:textId="77777777" w:rsidR="00532CAC" w:rsidRPr="00030BB0" w:rsidRDefault="00532CAC" w:rsidP="00532CAC">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South Australia</w:t>
      </w:r>
    </w:p>
    <w:p w14:paraId="0884197D" w14:textId="77777777" w:rsidR="00532CAC" w:rsidRPr="00030BB0" w:rsidRDefault="00532CAC" w:rsidP="00532CAC">
      <w:pPr>
        <w:spacing w:before="240" w:after="240" w:line="240" w:lineRule="auto"/>
        <w:rPr>
          <w:rFonts w:cs="Arial"/>
          <w:b/>
        </w:rPr>
      </w:pPr>
      <w:r w:rsidRPr="00030BB0">
        <w:rPr>
          <w:rFonts w:cs="Arial"/>
          <w:b/>
        </w:rPr>
        <w:t xml:space="preserve">TAP: </w:t>
      </w:r>
      <w:r w:rsidRPr="00030BB0">
        <w:rPr>
          <w:rFonts w:cs="Arial"/>
        </w:rPr>
        <w:t xml:space="preserve">Prima </w:t>
      </w:r>
      <w:proofErr w:type="spellStart"/>
      <w:r w:rsidRPr="00030BB0">
        <w:rPr>
          <w:rFonts w:cs="Arial"/>
        </w:rPr>
        <w:t>infanzia</w:t>
      </w:r>
      <w:proofErr w:type="spellEnd"/>
    </w:p>
    <w:p w14:paraId="4ED28EAD" w14:textId="77777777" w:rsidR="00532CAC" w:rsidRPr="00030BB0" w:rsidRDefault="00532CAC" w:rsidP="00532CAC">
      <w:pPr>
        <w:spacing w:before="240" w:after="240" w:line="240" w:lineRule="auto"/>
        <w:rPr>
          <w:rFonts w:cs="Arial"/>
          <w:b/>
          <w:lang w:val="it-IT"/>
        </w:rPr>
      </w:pPr>
      <w:r w:rsidRPr="00030BB0">
        <w:rPr>
          <w:rFonts w:cs="Arial"/>
          <w:b/>
          <w:lang w:val="it-IT"/>
        </w:rPr>
        <w:t xml:space="preserve">Obiettivo TAP: </w:t>
      </w:r>
      <w:r w:rsidRPr="00030BB0">
        <w:rPr>
          <w:rFonts w:cs="Arial"/>
          <w:lang w:val="it-IT"/>
        </w:rPr>
        <w:t>2. Rafforzare la potenzialità e la capacità dei servizi e dei sistemi chiave di supportare genitori e tutori nel compiere scelte informate riguardo i propri figli.</w:t>
      </w:r>
    </w:p>
    <w:p w14:paraId="7EB85A83" w14:textId="77777777" w:rsidR="00532CAC" w:rsidRPr="00030BB0" w:rsidRDefault="00532CAC" w:rsidP="00532CAC">
      <w:pPr>
        <w:spacing w:before="240" w:after="240" w:line="240" w:lineRule="auto"/>
        <w:rPr>
          <w:rFonts w:cs="Arial"/>
          <w:b/>
          <w:lang w:val="it-IT"/>
        </w:rPr>
      </w:pPr>
      <w:r w:rsidRPr="00030BB0">
        <w:rPr>
          <w:rFonts w:cs="Arial"/>
          <w:b/>
          <w:lang w:val="it-IT"/>
        </w:rPr>
        <w:t xml:space="preserve">Azione: </w:t>
      </w:r>
      <w:r w:rsidRPr="00030BB0">
        <w:rPr>
          <w:rFonts w:cs="Arial"/>
          <w:lang w:val="it-IT"/>
        </w:rPr>
        <w:t>2.8 Portare avanti lo sviluppo di un laboratorio specifico per genitori/tutori che vivono con un bambino con disabilità – “Sviluppare diversamente”.</w:t>
      </w:r>
    </w:p>
    <w:p w14:paraId="52B77ED4" w14:textId="0175415D" w:rsidR="00532CAC" w:rsidRPr="0038135C" w:rsidRDefault="00532CAC" w:rsidP="00532CAC">
      <w:pPr>
        <w:spacing w:before="240" w:after="240" w:line="240" w:lineRule="auto"/>
        <w:rPr>
          <w:rFonts w:cs="Arial"/>
        </w:rPr>
      </w:pPr>
      <w:proofErr w:type="spellStart"/>
      <w:r w:rsidRPr="00030BB0">
        <w:rPr>
          <w:rFonts w:cs="Arial"/>
          <w:b/>
        </w:rPr>
        <w:t>Indicatore</w:t>
      </w:r>
      <w:proofErr w:type="spellEnd"/>
      <w:r w:rsidRPr="00030BB0">
        <w:rPr>
          <w:rFonts w:cs="Arial"/>
        </w:rPr>
        <w:t>:</w:t>
      </w:r>
    </w:p>
    <w:p w14:paraId="7C210B4B" w14:textId="1ADCDFFE" w:rsidR="00D1030A" w:rsidRPr="0038135C" w:rsidRDefault="00532CAC" w:rsidP="00B67DD9">
      <w:pPr>
        <w:numPr>
          <w:ilvl w:val="0"/>
          <w:numId w:val="5"/>
        </w:numPr>
        <w:spacing w:before="120" w:after="0" w:line="240" w:lineRule="auto"/>
        <w:ind w:left="360"/>
        <w:rPr>
          <w:rFonts w:cs="Arial"/>
        </w:rPr>
      </w:pPr>
      <w:r w:rsidRPr="00030BB0">
        <w:rPr>
          <w:rFonts w:cs="Arial"/>
        </w:rPr>
        <w:t xml:space="preserve">Workshop </w:t>
      </w:r>
      <w:proofErr w:type="spellStart"/>
      <w:r w:rsidRPr="00030BB0">
        <w:rPr>
          <w:rFonts w:cs="Arial"/>
        </w:rPr>
        <w:t>completato</w:t>
      </w:r>
      <w:proofErr w:type="spellEnd"/>
      <w:r w:rsidRPr="00030BB0">
        <w:rPr>
          <w:rFonts w:cs="Arial"/>
        </w:rPr>
        <w:t xml:space="preserve"> e </w:t>
      </w:r>
      <w:proofErr w:type="spellStart"/>
      <w:r w:rsidRPr="00030BB0">
        <w:rPr>
          <w:rFonts w:cs="Arial"/>
        </w:rPr>
        <w:t>approvato</w:t>
      </w:r>
      <w:proofErr w:type="spellEnd"/>
      <w:r w:rsidRPr="00030BB0">
        <w:rPr>
          <w:rFonts w:cs="Arial"/>
        </w:rPr>
        <w:t>.</w:t>
      </w:r>
    </w:p>
    <w:p w14:paraId="1ABB2DB1" w14:textId="27477E9B" w:rsidR="00D1030A" w:rsidRPr="0038135C" w:rsidRDefault="00532CAC" w:rsidP="00B67DD9">
      <w:pPr>
        <w:numPr>
          <w:ilvl w:val="0"/>
          <w:numId w:val="5"/>
        </w:numPr>
        <w:spacing w:before="120" w:after="0" w:line="240" w:lineRule="auto"/>
        <w:ind w:left="360"/>
        <w:rPr>
          <w:rFonts w:cs="Arial"/>
        </w:rPr>
      </w:pPr>
      <w:r w:rsidRPr="00030BB0">
        <w:rPr>
          <w:rFonts w:cs="Arial"/>
          <w:lang w:val="it-IT"/>
        </w:rPr>
        <w:t>Progetto pilota completato e rapporto inviato.</w:t>
      </w:r>
    </w:p>
    <w:p w14:paraId="1D8C5081" w14:textId="77777777" w:rsidR="00532CAC" w:rsidRPr="00030BB0" w:rsidRDefault="00532CAC" w:rsidP="00532CAC">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proofErr w:type="spellStart"/>
      <w:r w:rsidRPr="00030BB0">
        <w:rPr>
          <w:rFonts w:cs="Arial"/>
        </w:rPr>
        <w:t>completato</w:t>
      </w:r>
      <w:proofErr w:type="spellEnd"/>
    </w:p>
    <w:p w14:paraId="2AF93556" w14:textId="77777777" w:rsidR="00532CAC" w:rsidRPr="00030BB0" w:rsidRDefault="00532CAC" w:rsidP="00532CAC">
      <w:pPr>
        <w:spacing w:before="240" w:after="240" w:line="240" w:lineRule="auto"/>
        <w:rPr>
          <w:rFonts w:cs="Arial"/>
          <w:b/>
        </w:rPr>
      </w:pPr>
      <w:proofErr w:type="spellStart"/>
      <w:r w:rsidRPr="00030BB0">
        <w:rPr>
          <w:rFonts w:cs="Arial"/>
          <w:b/>
        </w:rPr>
        <w:t>Descrizione</w:t>
      </w:r>
      <w:proofErr w:type="spellEnd"/>
      <w:r w:rsidRPr="00030BB0">
        <w:rPr>
          <w:rFonts w:cs="Arial"/>
        </w:rPr>
        <w:t>:</w:t>
      </w:r>
      <w:r w:rsidRPr="00030BB0">
        <w:rPr>
          <w:rFonts w:cs="Arial"/>
        </w:rPr>
        <w:tab/>
      </w:r>
    </w:p>
    <w:p w14:paraId="3580013B" w14:textId="77777777" w:rsidR="00532CAC" w:rsidRPr="00030BB0" w:rsidRDefault="00532CAC" w:rsidP="00532CAC">
      <w:pPr>
        <w:spacing w:before="240" w:after="240" w:line="240" w:lineRule="auto"/>
        <w:rPr>
          <w:rFonts w:cs="Arial"/>
          <w:lang w:val="it-IT"/>
        </w:rPr>
      </w:pPr>
      <w:r w:rsidRPr="00030BB0">
        <w:rPr>
          <w:rFonts w:cs="Arial"/>
          <w:lang w:val="it-IT"/>
        </w:rPr>
        <w:t>Il feedback ricevuto dai genitori che hanno partecipato ai seminari sulla genitorialità di Families Growing Together (FGT) ha evidenziato che molti genitori che vivono con un bambino cercano ulteriore sostegno. Sulla base di ciò, il team FGT ha sviluppato un workshop specifico facendo riferimento alle informazioni contenute nelle facili guide per i genitori (Parent Easy Guide -PEG) di Parenting SA – "Bambini con disabilità" e "Ritardo dello sviluppo".</w:t>
      </w:r>
    </w:p>
    <w:p w14:paraId="0ABBF7DF" w14:textId="77777777" w:rsidR="00532CAC" w:rsidRPr="00030BB0" w:rsidRDefault="00532CAC" w:rsidP="00532CAC">
      <w:pPr>
        <w:spacing w:before="240" w:after="240" w:line="240" w:lineRule="auto"/>
        <w:rPr>
          <w:rFonts w:cs="Arial"/>
          <w:lang w:val="it-IT"/>
        </w:rPr>
      </w:pPr>
      <w:r w:rsidRPr="00030BB0">
        <w:rPr>
          <w:rFonts w:cs="Arial"/>
          <w:lang w:val="it-IT"/>
        </w:rPr>
        <w:t>Il nuovo workshop fornisce una panoramica dello sviluppo tipico, dei “segnali di allarme” dello sviluppo, di cosa cercare e delle strategie pratiche per essere genitori di un bambino con disabilità. Utilizzando il modello sociale della disabilità, il workshop si basa su un nuovo modo di vedere, pensare, fare ed essere fornendo uno spazio ai genitori per parlare insieme, imparare insieme e riflettere sulle loro esperienze.</w:t>
      </w:r>
    </w:p>
    <w:p w14:paraId="6820EBC5" w14:textId="77777777" w:rsidR="00532CAC" w:rsidRPr="00030BB0" w:rsidRDefault="00532CAC" w:rsidP="00532CAC">
      <w:pPr>
        <w:spacing w:before="240" w:after="240" w:line="240" w:lineRule="auto"/>
        <w:rPr>
          <w:rFonts w:cs="Arial"/>
          <w:lang w:val="it-IT"/>
        </w:rPr>
      </w:pPr>
      <w:r w:rsidRPr="00030BB0">
        <w:rPr>
          <w:rFonts w:cs="Arial"/>
          <w:lang w:val="it-IT"/>
        </w:rPr>
        <w:t>I genitori si impegnano in una nuova direzione e un nuovo modo di sentire attraverso video, attività e discussioni di gruppo. Alla fine del workshop i genitori completano un piano d'azione genitoriale che include l'identificazione di una rete di supporto.</w:t>
      </w:r>
    </w:p>
    <w:p w14:paraId="243843C3" w14:textId="5201C287" w:rsidR="00532CAC" w:rsidRPr="0038135C" w:rsidRDefault="00532CAC" w:rsidP="00532CAC">
      <w:pPr>
        <w:spacing w:before="240" w:after="240" w:line="240" w:lineRule="auto"/>
        <w:rPr>
          <w:rFonts w:cs="Arial"/>
        </w:rPr>
      </w:pPr>
      <w:r w:rsidRPr="00030BB0">
        <w:rPr>
          <w:rFonts w:cs="Arial"/>
          <w:lang w:val="it-IT"/>
        </w:rPr>
        <w:t>Il feedback dei genitori che hanno partecipato al seminario pilota è stato assolutamente positivo e il seminario sulla genitorialità "Sviluppare in modo diverso" sarà ora offerto in tutto lo Stato affinché i genitori possano parteciparvi nelle loro comunità locali.</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0C49B5B4" w:rsidR="002A08E0" w:rsidRPr="0038135C" w:rsidRDefault="00532CAC" w:rsidP="00515A1C">
      <w:pPr>
        <w:pStyle w:val="Heading2"/>
      </w:pPr>
      <w:bookmarkStart w:id="34" w:name="_Toc153298593"/>
      <w:r w:rsidRPr="00030BB0">
        <w:rPr>
          <w:rFonts w:cs="Arial"/>
          <w:lang w:val="it-IT"/>
        </w:rPr>
        <w:lastRenderedPageBreak/>
        <w:t>Programma del Centro per bambini e famiglie aborigeni (Aboriginal Child and Family Center -ACFC)</w:t>
      </w:r>
      <w:bookmarkEnd w:id="34"/>
    </w:p>
    <w:p w14:paraId="20670D0A" w14:textId="77777777" w:rsidR="00461AAB" w:rsidRPr="00030BB0" w:rsidRDefault="00461AAB" w:rsidP="00461AAB">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New South Wales</w:t>
      </w:r>
    </w:p>
    <w:p w14:paraId="2C6C0C67" w14:textId="77777777" w:rsidR="00461AAB" w:rsidRPr="00030BB0" w:rsidRDefault="00461AAB" w:rsidP="00461AAB">
      <w:pPr>
        <w:spacing w:before="240" w:after="240" w:line="240" w:lineRule="auto"/>
        <w:rPr>
          <w:rFonts w:cs="Arial"/>
          <w:b/>
        </w:rPr>
      </w:pPr>
      <w:r w:rsidRPr="00030BB0">
        <w:rPr>
          <w:rFonts w:cs="Arial"/>
          <w:b/>
        </w:rPr>
        <w:t>TAP</w:t>
      </w:r>
      <w:r w:rsidRPr="00030BB0">
        <w:rPr>
          <w:rFonts w:cs="Arial"/>
        </w:rPr>
        <w:t xml:space="preserve">: </w:t>
      </w:r>
      <w:r w:rsidRPr="00030BB0">
        <w:rPr>
          <w:rFonts w:cs="Arial"/>
        </w:rPr>
        <w:tab/>
        <w:t xml:space="preserve">Prima </w:t>
      </w:r>
      <w:proofErr w:type="spellStart"/>
      <w:r w:rsidRPr="00030BB0">
        <w:rPr>
          <w:rFonts w:cs="Arial"/>
        </w:rPr>
        <w:t>infanzia</w:t>
      </w:r>
      <w:proofErr w:type="spellEnd"/>
    </w:p>
    <w:p w14:paraId="4824A81B" w14:textId="77777777" w:rsidR="00461AAB" w:rsidRPr="00030BB0" w:rsidRDefault="00461AAB" w:rsidP="00461AAB">
      <w:pPr>
        <w:spacing w:before="240" w:after="240" w:line="240" w:lineRule="auto"/>
        <w:rPr>
          <w:rFonts w:cs="Arial"/>
          <w:b/>
          <w:lang w:val="it-IT"/>
        </w:rPr>
      </w:pPr>
      <w:r w:rsidRPr="00030BB0">
        <w:rPr>
          <w:rFonts w:cs="Arial"/>
          <w:b/>
          <w:lang w:val="it-IT"/>
        </w:rPr>
        <w:t>Obiettivo TAP</w:t>
      </w:r>
      <w:r w:rsidRPr="00030BB0">
        <w:rPr>
          <w:rFonts w:cs="Arial"/>
          <w:lang w:val="it-IT"/>
        </w:rPr>
        <w:t>: 3. Incoraggiare un più forte senso di inclusione e offrire opportunità a genitori, tutori e bambini di costruire reti di pari, anche per genitori aborigeni e delle isole dello Stretto di Torres e genitori e tutori culturalmente e linguisticamente diversi.</w:t>
      </w:r>
    </w:p>
    <w:p w14:paraId="4151E1BC" w14:textId="77777777" w:rsidR="00461AAB" w:rsidRPr="00030BB0" w:rsidRDefault="00461AAB" w:rsidP="00461AAB">
      <w:pPr>
        <w:spacing w:before="240" w:after="240" w:line="240" w:lineRule="auto"/>
        <w:rPr>
          <w:rFonts w:cs="Arial"/>
          <w:b/>
          <w:lang w:val="it-IT"/>
        </w:rPr>
      </w:pPr>
      <w:r w:rsidRPr="00030BB0">
        <w:rPr>
          <w:rFonts w:cs="Arial"/>
          <w:b/>
          <w:lang w:val="it-IT"/>
        </w:rPr>
        <w:t>Azione</w:t>
      </w:r>
      <w:r w:rsidRPr="00030BB0">
        <w:rPr>
          <w:rFonts w:cs="Arial"/>
          <w:lang w:val="it-IT"/>
        </w:rPr>
        <w:t>: 3.1 Aumentare la capacità dei Centri aborigeni per bambini e famiglie del NSW (ACFC) di fornire un'educazione di qualità per la prima infanzia e servizi sanitari e familiari integrati ai bambini, alle famiglie e alle comunità aborigene.</w:t>
      </w:r>
    </w:p>
    <w:p w14:paraId="7D4DBF89" w14:textId="77777777" w:rsidR="00461AAB" w:rsidRPr="00030BB0" w:rsidRDefault="00461AAB" w:rsidP="00461AAB">
      <w:pPr>
        <w:spacing w:before="240" w:after="240" w:line="240" w:lineRule="auto"/>
        <w:rPr>
          <w:rFonts w:cs="Arial"/>
          <w:lang w:val="it-IT"/>
        </w:rPr>
      </w:pPr>
      <w:r w:rsidRPr="00030BB0">
        <w:rPr>
          <w:rFonts w:cs="Arial"/>
          <w:lang w:val="it-IT"/>
        </w:rPr>
        <w:t>I centri ACFC aiutano i bambini aborigeni a raggiungere traguardi chiave dello sviluppo e a migliorare l’accesso a una gamma di servizi di qualità in un ambiente culturalmente sicuro.</w:t>
      </w:r>
    </w:p>
    <w:p w14:paraId="2AB9ED99" w14:textId="77777777" w:rsidR="00461AAB" w:rsidRPr="00030BB0" w:rsidRDefault="00461AAB" w:rsidP="00461AAB">
      <w:pPr>
        <w:spacing w:before="240" w:after="240" w:line="240" w:lineRule="auto"/>
        <w:rPr>
          <w:rFonts w:cs="Arial"/>
          <w:b/>
        </w:rPr>
      </w:pPr>
      <w:proofErr w:type="spellStart"/>
      <w:r w:rsidRPr="00030BB0">
        <w:rPr>
          <w:rFonts w:cs="Arial"/>
          <w:b/>
        </w:rPr>
        <w:t>Indicatore</w:t>
      </w:r>
      <w:proofErr w:type="spellEnd"/>
      <w:r w:rsidRPr="00030BB0">
        <w:rPr>
          <w:rFonts w:cs="Arial"/>
        </w:rPr>
        <w:t>:</w:t>
      </w:r>
    </w:p>
    <w:p w14:paraId="5EEF60F2" w14:textId="39DCBF9A" w:rsidR="00461AAB" w:rsidRPr="0038135C" w:rsidRDefault="00461AAB" w:rsidP="00461AAB">
      <w:pPr>
        <w:spacing w:before="240" w:after="240" w:line="240" w:lineRule="auto"/>
        <w:rPr>
          <w:rFonts w:cs="Arial"/>
        </w:rPr>
      </w:pPr>
      <w:proofErr w:type="spellStart"/>
      <w:r w:rsidRPr="00030BB0">
        <w:rPr>
          <w:rFonts w:cs="Arial"/>
        </w:rPr>
        <w:t>Rendiconto</w:t>
      </w:r>
      <w:proofErr w:type="spellEnd"/>
      <w:r w:rsidRPr="00030BB0">
        <w:rPr>
          <w:rFonts w:cs="Arial"/>
        </w:rPr>
        <w:t xml:space="preserve"> </w:t>
      </w:r>
      <w:proofErr w:type="spellStart"/>
      <w:r w:rsidRPr="00030BB0">
        <w:rPr>
          <w:rFonts w:cs="Arial"/>
        </w:rPr>
        <w:t>annuale</w:t>
      </w:r>
      <w:proofErr w:type="spellEnd"/>
      <w:r w:rsidRPr="00030BB0">
        <w:rPr>
          <w:rFonts w:cs="Arial"/>
        </w:rPr>
        <w:t>:</w:t>
      </w:r>
    </w:p>
    <w:p w14:paraId="5E454906" w14:textId="1D362D1A" w:rsidR="00D1030A" w:rsidRPr="00C41CE0" w:rsidRDefault="00461AAB" w:rsidP="00B67DD9">
      <w:pPr>
        <w:pStyle w:val="ListParagraph"/>
        <w:numPr>
          <w:ilvl w:val="0"/>
          <w:numId w:val="14"/>
        </w:numPr>
        <w:spacing w:before="120" w:after="0" w:line="240" w:lineRule="auto"/>
        <w:ind w:left="360"/>
        <w:contextualSpacing w:val="0"/>
        <w:rPr>
          <w:rFonts w:cs="Arial"/>
        </w:rPr>
      </w:pPr>
      <w:r w:rsidRPr="00030BB0">
        <w:rPr>
          <w:rFonts w:cs="Arial"/>
          <w:lang w:val="it-IT"/>
        </w:rPr>
        <w:t>Aumento della frequenza e dei risultati scolastici.</w:t>
      </w:r>
      <w:r w:rsidR="00D1030A" w:rsidRPr="00C41CE0">
        <w:rPr>
          <w:rFonts w:cs="Arial"/>
        </w:rPr>
        <w:t xml:space="preserve"> </w:t>
      </w:r>
    </w:p>
    <w:p w14:paraId="34DCDDB7" w14:textId="77777777" w:rsidR="00461AAB" w:rsidRPr="00461AAB" w:rsidRDefault="00461AAB" w:rsidP="00B67DD9">
      <w:pPr>
        <w:pStyle w:val="ListParagraph"/>
        <w:numPr>
          <w:ilvl w:val="0"/>
          <w:numId w:val="14"/>
        </w:numPr>
        <w:spacing w:before="240" w:after="240" w:line="240" w:lineRule="auto"/>
        <w:ind w:left="360"/>
        <w:contextualSpacing w:val="0"/>
        <w:rPr>
          <w:rFonts w:cs="Arial"/>
        </w:rPr>
      </w:pPr>
      <w:r w:rsidRPr="00461AAB">
        <w:rPr>
          <w:rFonts w:cs="Arial"/>
          <w:lang w:val="it-IT"/>
        </w:rPr>
        <w:t>Minor numero di bambini aborigeni che entrano nel sistema di protezione dell'infanzia.</w:t>
      </w:r>
    </w:p>
    <w:p w14:paraId="2E0E2F13" w14:textId="18328CC6" w:rsidR="00D1030A" w:rsidRPr="00461AAB" w:rsidRDefault="00461AAB" w:rsidP="00B67DD9">
      <w:pPr>
        <w:pStyle w:val="ListParagraph"/>
        <w:numPr>
          <w:ilvl w:val="0"/>
          <w:numId w:val="14"/>
        </w:numPr>
        <w:spacing w:before="240" w:after="240" w:line="240" w:lineRule="auto"/>
        <w:ind w:left="360"/>
        <w:contextualSpacing w:val="0"/>
        <w:rPr>
          <w:rFonts w:cs="Arial"/>
        </w:rPr>
      </w:pPr>
      <w:r w:rsidRPr="00461AAB">
        <w:rPr>
          <w:rFonts w:cs="Arial"/>
          <w:lang w:val="it-IT"/>
        </w:rPr>
        <w:t>Miglioramento della salute dei bambini e dei giovani aborigeni.</w:t>
      </w:r>
      <w:r w:rsidR="00D1030A" w:rsidRPr="00461AAB">
        <w:rPr>
          <w:rFonts w:cs="Arial"/>
          <w:b/>
        </w:rPr>
        <w:t>Status</w:t>
      </w:r>
      <w:r w:rsidR="00D1030A" w:rsidRPr="00461AAB">
        <w:rPr>
          <w:rFonts w:cs="Arial"/>
        </w:rPr>
        <w:t>:</w:t>
      </w:r>
      <w:r w:rsidR="0038135C" w:rsidRPr="00461AAB">
        <w:rPr>
          <w:rFonts w:cs="Arial"/>
        </w:rPr>
        <w:t xml:space="preserve"> </w:t>
      </w:r>
      <w:r w:rsidR="00D1030A" w:rsidRPr="00461AAB">
        <w:rPr>
          <w:rFonts w:cs="Arial"/>
        </w:rPr>
        <w:t>On track</w:t>
      </w:r>
    </w:p>
    <w:p w14:paraId="25A1F0D8" w14:textId="77777777" w:rsidR="00461AAB" w:rsidRPr="00030BB0" w:rsidRDefault="00461AAB" w:rsidP="00461AAB">
      <w:pPr>
        <w:spacing w:before="240" w:after="240" w:line="240" w:lineRule="auto"/>
        <w:rPr>
          <w:rFonts w:cs="Arial"/>
          <w:b/>
        </w:rPr>
      </w:pPr>
      <w:proofErr w:type="spellStart"/>
      <w:r w:rsidRPr="00030BB0">
        <w:rPr>
          <w:rFonts w:cs="Arial"/>
          <w:b/>
        </w:rPr>
        <w:t>Stato</w:t>
      </w:r>
      <w:proofErr w:type="spellEnd"/>
      <w:r w:rsidRPr="00030BB0">
        <w:rPr>
          <w:rFonts w:cs="Arial"/>
        </w:rPr>
        <w:t xml:space="preserve">: in </w:t>
      </w:r>
      <w:proofErr w:type="spellStart"/>
      <w:r w:rsidRPr="00030BB0">
        <w:rPr>
          <w:rFonts w:cs="Arial"/>
        </w:rPr>
        <w:t>corso</w:t>
      </w:r>
      <w:proofErr w:type="spellEnd"/>
    </w:p>
    <w:p w14:paraId="50A1441E" w14:textId="77777777" w:rsidR="00461AAB" w:rsidRPr="00030BB0" w:rsidRDefault="00461AAB" w:rsidP="00461AAB">
      <w:pPr>
        <w:spacing w:before="240" w:after="240" w:line="240" w:lineRule="auto"/>
        <w:rPr>
          <w:rFonts w:cs="Arial"/>
          <w:b/>
        </w:rPr>
      </w:pPr>
      <w:proofErr w:type="spellStart"/>
      <w:r w:rsidRPr="00030BB0">
        <w:rPr>
          <w:rFonts w:cs="Arial"/>
          <w:b/>
        </w:rPr>
        <w:t>Descrizione</w:t>
      </w:r>
      <w:proofErr w:type="spellEnd"/>
      <w:r w:rsidRPr="00030BB0">
        <w:rPr>
          <w:rFonts w:cs="Arial"/>
        </w:rPr>
        <w:t>:</w:t>
      </w:r>
    </w:p>
    <w:p w14:paraId="55BF1A56" w14:textId="77777777" w:rsidR="00461AAB" w:rsidRPr="00030BB0" w:rsidRDefault="00461AAB" w:rsidP="00461AAB">
      <w:pPr>
        <w:spacing w:before="240" w:after="240" w:line="240" w:lineRule="auto"/>
        <w:rPr>
          <w:rFonts w:cs="Arial"/>
          <w:lang w:val="it-IT"/>
        </w:rPr>
      </w:pPr>
      <w:r w:rsidRPr="00030BB0">
        <w:rPr>
          <w:rFonts w:cs="Arial"/>
          <w:lang w:val="it-IT"/>
        </w:rPr>
        <w:t>Brighter Beginnings è un'iniziativa governativa che si focalizza sul miglioramento dei risultati per i bambini del NSW e le loro famiglie nei primi 2000 giorni, dal concepimento all'età scolare.</w:t>
      </w:r>
    </w:p>
    <w:p w14:paraId="1F6238E6" w14:textId="77777777" w:rsidR="00461AAB" w:rsidRPr="00030BB0" w:rsidRDefault="00461AAB" w:rsidP="00461AAB">
      <w:pPr>
        <w:spacing w:before="240" w:after="240" w:line="240" w:lineRule="auto"/>
        <w:rPr>
          <w:rFonts w:cs="Arial"/>
        </w:rPr>
      </w:pPr>
      <w:proofErr w:type="spellStart"/>
      <w:r w:rsidRPr="00030BB0">
        <w:rPr>
          <w:rFonts w:cs="Arial"/>
        </w:rPr>
        <w:t>L'espansione</w:t>
      </w:r>
      <w:proofErr w:type="spellEnd"/>
      <w:r w:rsidRPr="00030BB0">
        <w:rPr>
          <w:rFonts w:cs="Arial"/>
        </w:rPr>
        <w:t xml:space="preserve"> </w:t>
      </w:r>
      <w:proofErr w:type="gramStart"/>
      <w:r w:rsidRPr="00030BB0">
        <w:rPr>
          <w:rFonts w:cs="Arial"/>
        </w:rPr>
        <w:t>del</w:t>
      </w:r>
      <w:proofErr w:type="gramEnd"/>
      <w:r w:rsidRPr="00030BB0">
        <w:rPr>
          <w:rFonts w:cs="Arial"/>
        </w:rPr>
        <w:t xml:space="preserve"> </w:t>
      </w:r>
      <w:proofErr w:type="spellStart"/>
      <w:r w:rsidRPr="00030BB0">
        <w:rPr>
          <w:rFonts w:cs="Arial"/>
        </w:rPr>
        <w:t>programma</w:t>
      </w:r>
      <w:proofErr w:type="spellEnd"/>
      <w:r w:rsidRPr="00030BB0">
        <w:rPr>
          <w:rFonts w:cs="Arial"/>
        </w:rPr>
        <w:t xml:space="preserve"> Aboriginal Child and Family </w:t>
      </w:r>
      <w:proofErr w:type="spellStart"/>
      <w:r w:rsidRPr="00030BB0">
        <w:rPr>
          <w:rFonts w:cs="Arial"/>
        </w:rPr>
        <w:t>Center</w:t>
      </w:r>
      <w:proofErr w:type="spellEnd"/>
      <w:r w:rsidRPr="00030BB0">
        <w:rPr>
          <w:rFonts w:cs="Arial"/>
        </w:rPr>
        <w:t xml:space="preserve"> (ACFC) è </w:t>
      </w:r>
      <w:proofErr w:type="spellStart"/>
      <w:r w:rsidRPr="00030BB0">
        <w:rPr>
          <w:rFonts w:cs="Arial"/>
        </w:rPr>
        <w:t>un'iniziativa</w:t>
      </w:r>
      <w:proofErr w:type="spellEnd"/>
      <w:r w:rsidRPr="00030BB0">
        <w:rPr>
          <w:rFonts w:cs="Arial"/>
        </w:rPr>
        <w:t xml:space="preserve"> Brighter Beginnings.</w:t>
      </w:r>
    </w:p>
    <w:p w14:paraId="0125E3D4" w14:textId="162D995D" w:rsidR="00461AAB" w:rsidRPr="0038135C" w:rsidRDefault="00461AAB" w:rsidP="00461AAB">
      <w:pPr>
        <w:spacing w:before="240" w:after="240" w:line="240" w:lineRule="auto"/>
        <w:rPr>
          <w:rFonts w:cs="Arial"/>
        </w:rPr>
      </w:pPr>
      <w:r w:rsidRPr="00030BB0">
        <w:rPr>
          <w:rFonts w:cs="Arial"/>
          <w:lang w:val="it-IT"/>
        </w:rPr>
        <w:t>I finanziamenti per espandere il programma ACFC includono:</w:t>
      </w:r>
    </w:p>
    <w:p w14:paraId="5AD71820" w14:textId="60B46BA0" w:rsidR="00D1030A" w:rsidRPr="0038135C" w:rsidRDefault="00FA7189" w:rsidP="00B67DD9">
      <w:pPr>
        <w:numPr>
          <w:ilvl w:val="0"/>
          <w:numId w:val="4"/>
        </w:numPr>
        <w:spacing w:before="120" w:after="0" w:line="240" w:lineRule="auto"/>
        <w:ind w:left="288" w:hanging="288"/>
        <w:rPr>
          <w:rFonts w:cs="Arial"/>
        </w:rPr>
      </w:pPr>
      <w:r w:rsidRPr="00030BB0">
        <w:rPr>
          <w:rFonts w:cs="Arial"/>
          <w:lang w:val="it-IT"/>
        </w:rPr>
        <w:t>42 milioni di dollari per costruire sei nuovi centri ACFC tra il 2024 e il 2027,</w:t>
      </w:r>
    </w:p>
    <w:p w14:paraId="08C5572C" w14:textId="365A8EE3" w:rsidR="00D1030A" w:rsidRPr="0038135C" w:rsidRDefault="00FA7189" w:rsidP="00B67DD9">
      <w:pPr>
        <w:numPr>
          <w:ilvl w:val="0"/>
          <w:numId w:val="4"/>
        </w:numPr>
        <w:spacing w:before="120" w:after="0" w:line="240" w:lineRule="auto"/>
        <w:ind w:left="288" w:hanging="288"/>
        <w:rPr>
          <w:rFonts w:cs="Arial"/>
        </w:rPr>
      </w:pPr>
      <w:r w:rsidRPr="00030BB0">
        <w:rPr>
          <w:rFonts w:cs="Arial"/>
          <w:lang w:val="it-IT"/>
        </w:rPr>
        <w:t>22,5 milioni di dollari per ammodernare i nove centri esistenti a Ballina, Brewarrina, Gunnedah, Lightening Ridge, Minto, Mount Druitt, Nowra, Toronto e Doonside tra il 2024 e il 2027</w:t>
      </w:r>
    </w:p>
    <w:p w14:paraId="15ADFAC5" w14:textId="6E8A199A" w:rsidR="00D1030A" w:rsidRPr="0038135C" w:rsidRDefault="00FA7189" w:rsidP="00B67DD9">
      <w:pPr>
        <w:numPr>
          <w:ilvl w:val="0"/>
          <w:numId w:val="4"/>
        </w:numPr>
        <w:spacing w:before="120" w:after="0" w:line="240" w:lineRule="auto"/>
        <w:ind w:left="288" w:hanging="288"/>
        <w:rPr>
          <w:rFonts w:cs="Arial"/>
        </w:rPr>
      </w:pPr>
      <w:r w:rsidRPr="00030BB0">
        <w:rPr>
          <w:rFonts w:cs="Arial"/>
          <w:lang w:val="it-IT"/>
        </w:rPr>
        <w:t>1 milione di dollari per centro, all'anno per le spese operative (in precedenza 535.000 dollari).</w:t>
      </w:r>
    </w:p>
    <w:p w14:paraId="4E7A0B7E" w14:textId="2EEFE923" w:rsidR="00D1030A" w:rsidRPr="0038135C" w:rsidRDefault="00FA7189" w:rsidP="00FA7189">
      <w:pPr>
        <w:spacing w:before="240" w:after="240" w:line="240" w:lineRule="auto"/>
        <w:rPr>
          <w:rFonts w:cs="Arial"/>
        </w:rPr>
      </w:pPr>
      <w:r w:rsidRPr="00030BB0">
        <w:rPr>
          <w:rFonts w:cs="Arial"/>
          <w:lang w:val="it-IT"/>
        </w:rPr>
        <w:lastRenderedPageBreak/>
        <w:t>Brighter Beginnings mira a garantire che il 67% dei bambini del NSW sia sulla buona strada rispetto ai cinque domini dell'Australian Early Development Census (AEDC) entro il 2027 e aiuta il NSW a superare l'obiettivo di Closing the Gap del 55% dei bambini aborigeni e delle isole dello Stretto di Torres sulla buona strada rispetto ai cinque domini AEDC entro il 2031.</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6D279CC8" w:rsidR="00D1030A" w:rsidRPr="0038135C" w:rsidRDefault="001F051E" w:rsidP="00515A1C">
      <w:pPr>
        <w:pStyle w:val="Heading2"/>
      </w:pPr>
      <w:bookmarkStart w:id="35" w:name="_Toc153298594"/>
      <w:r w:rsidRPr="00030BB0">
        <w:rPr>
          <w:rFonts w:cs="Arial"/>
          <w:lang w:val="it-IT"/>
        </w:rPr>
        <w:lastRenderedPageBreak/>
        <w:t>Supporto comportamentale e riduzione ed eliminazione delle pratiche restrittive</w:t>
      </w:r>
      <w:bookmarkEnd w:id="35"/>
    </w:p>
    <w:p w14:paraId="7D0F08D1" w14:textId="77777777" w:rsidR="00E542AE" w:rsidRPr="00030BB0" w:rsidRDefault="00E542AE" w:rsidP="00E542AE">
      <w:pPr>
        <w:spacing w:before="240" w:after="240" w:line="240" w:lineRule="auto"/>
        <w:rPr>
          <w:rFonts w:cs="Arial"/>
          <w:b/>
          <w:lang w:val="it-IT"/>
        </w:rPr>
      </w:pPr>
      <w:r w:rsidRPr="00030BB0">
        <w:rPr>
          <w:rFonts w:cs="Arial"/>
          <w:b/>
          <w:lang w:val="it-IT"/>
        </w:rPr>
        <w:t xml:space="preserve">Giurisdizione: </w:t>
      </w:r>
      <w:r w:rsidRPr="00030BB0">
        <w:rPr>
          <w:rFonts w:cs="Arial"/>
          <w:lang w:val="it-IT"/>
        </w:rPr>
        <w:t>Commissione per la qualità e la salvaguardia dell'NDIS del governo australiano</w:t>
      </w:r>
    </w:p>
    <w:p w14:paraId="44D2375B" w14:textId="77777777" w:rsidR="00E542AE" w:rsidRPr="00030BB0" w:rsidRDefault="00E542AE" w:rsidP="00E542AE">
      <w:pPr>
        <w:spacing w:before="240" w:after="240" w:line="240" w:lineRule="auto"/>
        <w:rPr>
          <w:rFonts w:cs="Arial"/>
          <w:b/>
        </w:rPr>
      </w:pPr>
      <w:r w:rsidRPr="00030BB0">
        <w:rPr>
          <w:rFonts w:cs="Arial"/>
          <w:b/>
        </w:rPr>
        <w:t xml:space="preserve">TAP: </w:t>
      </w:r>
      <w:proofErr w:type="spellStart"/>
      <w:r w:rsidRPr="00030BB0">
        <w:rPr>
          <w:rFonts w:cs="Arial"/>
        </w:rPr>
        <w:t>Sicurezza</w:t>
      </w:r>
      <w:proofErr w:type="spellEnd"/>
    </w:p>
    <w:p w14:paraId="4FA27A72" w14:textId="77777777" w:rsidR="00E542AE" w:rsidRPr="00030BB0" w:rsidRDefault="00E542AE" w:rsidP="00E542AE">
      <w:pPr>
        <w:spacing w:before="240" w:after="240" w:line="240" w:lineRule="auto"/>
        <w:rPr>
          <w:rFonts w:cs="Arial"/>
          <w:b/>
          <w:lang w:val="it-IT"/>
        </w:rPr>
      </w:pPr>
      <w:r w:rsidRPr="00030BB0">
        <w:rPr>
          <w:rFonts w:cs="Arial"/>
          <w:b/>
          <w:lang w:val="it-IT"/>
        </w:rPr>
        <w:t xml:space="preserve">Obiettivo TAP: </w:t>
      </w:r>
      <w:r w:rsidRPr="00030BB0">
        <w:rPr>
          <w:rFonts w:cs="Arial"/>
          <w:lang w:val="it-IT"/>
        </w:rPr>
        <w:t>4. Ridurre ed eliminare l'uso di pratiche restrittive in tutti i sistemi di servizi pubblici.</w:t>
      </w:r>
    </w:p>
    <w:p w14:paraId="27403FD5" w14:textId="77777777" w:rsidR="00E542AE" w:rsidRPr="00030BB0" w:rsidRDefault="00E542AE" w:rsidP="00E542AE">
      <w:pPr>
        <w:spacing w:before="240" w:after="240" w:line="240" w:lineRule="auto"/>
        <w:rPr>
          <w:rFonts w:cs="Arial"/>
          <w:b/>
          <w:lang w:val="it-IT"/>
        </w:rPr>
      </w:pPr>
      <w:r w:rsidRPr="00030BB0">
        <w:rPr>
          <w:rFonts w:cs="Arial"/>
          <w:b/>
          <w:lang w:val="it-IT"/>
        </w:rPr>
        <w:t xml:space="preserve">Azione: </w:t>
      </w:r>
      <w:r w:rsidRPr="00030BB0">
        <w:rPr>
          <w:rFonts w:cs="Arial"/>
          <w:lang w:val="it-IT"/>
        </w:rPr>
        <w:t>4.4 Aumentare gli sforzi per continuare a educare e sviluppare capacità del settore della disabilità e del settore comunitario sul supporto comportamentale e sulla riduzione ed eliminazione delle pratiche restrittive.</w:t>
      </w:r>
    </w:p>
    <w:p w14:paraId="66DD8EBE" w14:textId="77777777" w:rsidR="00E542AE" w:rsidRPr="00030BB0" w:rsidRDefault="00E542AE" w:rsidP="00E542AE">
      <w:pPr>
        <w:spacing w:before="240" w:after="240" w:line="240" w:lineRule="auto"/>
        <w:rPr>
          <w:rFonts w:cs="Arial"/>
          <w:b/>
        </w:rPr>
      </w:pPr>
      <w:proofErr w:type="spellStart"/>
      <w:r w:rsidRPr="00030BB0">
        <w:rPr>
          <w:rFonts w:cs="Arial"/>
          <w:b/>
        </w:rPr>
        <w:t>Indicatore</w:t>
      </w:r>
      <w:proofErr w:type="spellEnd"/>
      <w:r w:rsidRPr="00030BB0">
        <w:rPr>
          <w:rFonts w:cs="Arial"/>
          <w:b/>
        </w:rPr>
        <w:t>:</w:t>
      </w:r>
      <w:r w:rsidRPr="00030BB0">
        <w:rPr>
          <w:rFonts w:cs="Arial"/>
        </w:rPr>
        <w:tab/>
      </w:r>
    </w:p>
    <w:p w14:paraId="3E0C686E" w14:textId="5CB9E9FC" w:rsidR="00E542AE" w:rsidRPr="005C27A7" w:rsidRDefault="00E542AE" w:rsidP="00E542AE">
      <w:pPr>
        <w:spacing w:before="240" w:after="240" w:line="240" w:lineRule="auto"/>
        <w:rPr>
          <w:rFonts w:cs="Arial"/>
          <w:i/>
        </w:rPr>
      </w:pPr>
      <w:proofErr w:type="spellStart"/>
      <w:r w:rsidRPr="00030BB0">
        <w:rPr>
          <w:rFonts w:cs="Arial"/>
          <w:i/>
        </w:rPr>
        <w:t>Indicatori</w:t>
      </w:r>
      <w:proofErr w:type="spellEnd"/>
      <w:r w:rsidRPr="00030BB0">
        <w:rPr>
          <w:rFonts w:cs="Arial"/>
          <w:i/>
        </w:rPr>
        <w:t xml:space="preserve"> di </w:t>
      </w:r>
      <w:proofErr w:type="spellStart"/>
      <w:r w:rsidRPr="00030BB0">
        <w:rPr>
          <w:rFonts w:cs="Arial"/>
          <w:i/>
        </w:rPr>
        <w:t>risultato</w:t>
      </w:r>
      <w:proofErr w:type="spellEnd"/>
    </w:p>
    <w:p w14:paraId="4F353B54" w14:textId="40B72661" w:rsidR="005C27A7" w:rsidRPr="005C27A7" w:rsidRDefault="00E542AE" w:rsidP="00B67DD9">
      <w:pPr>
        <w:numPr>
          <w:ilvl w:val="0"/>
          <w:numId w:val="6"/>
        </w:numPr>
        <w:spacing w:before="240" w:after="0" w:line="240" w:lineRule="auto"/>
        <w:ind w:left="360"/>
        <w:rPr>
          <w:rFonts w:cs="Arial"/>
        </w:rPr>
      </w:pPr>
      <w:r w:rsidRPr="00030BB0">
        <w:rPr>
          <w:rFonts w:cs="Arial"/>
          <w:lang w:val="it-IT"/>
        </w:rPr>
        <w:t>Riduzione del ricorso a pratiche restrittive nel corso del tempo.</w:t>
      </w:r>
      <w:r w:rsidR="005C27A7" w:rsidRPr="005C27A7">
        <w:rPr>
          <w:rFonts w:cs="Arial"/>
        </w:rPr>
        <w:t xml:space="preserve"> </w:t>
      </w:r>
    </w:p>
    <w:p w14:paraId="4831EDF7" w14:textId="7DBAE26B" w:rsidR="005C27A7" w:rsidRPr="005C27A7" w:rsidRDefault="00E542AE" w:rsidP="00F82F3F">
      <w:pPr>
        <w:spacing w:before="240" w:after="0" w:line="240" w:lineRule="auto"/>
        <w:rPr>
          <w:rFonts w:cs="Arial"/>
          <w:i/>
        </w:rPr>
      </w:pPr>
      <w:r w:rsidRPr="00030BB0">
        <w:rPr>
          <w:rFonts w:cs="Arial"/>
          <w:i/>
          <w:lang w:val="it-IT"/>
        </w:rPr>
        <w:t>Indicatori di efficacia ed efficienza</w:t>
      </w:r>
      <w:r w:rsidR="005C27A7" w:rsidRPr="005C27A7">
        <w:rPr>
          <w:rFonts w:cs="Arial"/>
          <w:i/>
        </w:rPr>
        <w:t xml:space="preserve"> </w:t>
      </w:r>
    </w:p>
    <w:p w14:paraId="3E82FE83" w14:textId="62E8B363" w:rsidR="005C27A7" w:rsidRPr="005C27A7" w:rsidRDefault="00E542AE" w:rsidP="00B67DD9">
      <w:pPr>
        <w:numPr>
          <w:ilvl w:val="0"/>
          <w:numId w:val="6"/>
        </w:numPr>
        <w:spacing w:before="240" w:after="0" w:line="240" w:lineRule="auto"/>
        <w:ind w:left="360"/>
        <w:rPr>
          <w:rFonts w:cs="Arial"/>
          <w:i/>
        </w:rPr>
      </w:pPr>
      <w:r w:rsidRPr="00030BB0">
        <w:rPr>
          <w:rFonts w:cs="Arial"/>
          <w:lang w:val="it-IT"/>
        </w:rPr>
        <w:t>Gli strumenti educativi e di rafforzamento delle capacità aumentano efficacemente la consapevolezza e la capacità del settore della disabilità, dei sistemi tradizionali e della comunità di eliminare le pratiche restrittive.</w:t>
      </w:r>
    </w:p>
    <w:p w14:paraId="329995CD" w14:textId="77777777" w:rsidR="00E542AE" w:rsidRPr="00030BB0" w:rsidRDefault="00E542AE" w:rsidP="00E542AE">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r w:rsidRPr="00030BB0">
        <w:rPr>
          <w:rFonts w:cs="Arial"/>
        </w:rPr>
        <w:t xml:space="preserve">in </w:t>
      </w:r>
      <w:proofErr w:type="spellStart"/>
      <w:r w:rsidRPr="00030BB0">
        <w:rPr>
          <w:rFonts w:cs="Arial"/>
        </w:rPr>
        <w:t>corso</w:t>
      </w:r>
      <w:proofErr w:type="spellEnd"/>
    </w:p>
    <w:p w14:paraId="4914AC1E" w14:textId="77777777" w:rsidR="00E542AE" w:rsidRPr="00030BB0" w:rsidRDefault="00E542AE" w:rsidP="00E542AE">
      <w:pPr>
        <w:spacing w:before="240" w:after="240" w:line="240" w:lineRule="auto"/>
        <w:rPr>
          <w:rFonts w:cs="Arial"/>
          <w:b/>
        </w:rPr>
      </w:pPr>
      <w:proofErr w:type="spellStart"/>
      <w:r w:rsidRPr="00030BB0">
        <w:rPr>
          <w:rFonts w:cs="Arial"/>
          <w:b/>
        </w:rPr>
        <w:t>Descrizione</w:t>
      </w:r>
      <w:proofErr w:type="spellEnd"/>
      <w:r w:rsidRPr="00030BB0">
        <w:rPr>
          <w:rFonts w:cs="Arial"/>
        </w:rPr>
        <w:t>:</w:t>
      </w:r>
      <w:r w:rsidRPr="00030BB0">
        <w:rPr>
          <w:rFonts w:cs="Arial"/>
        </w:rPr>
        <w:tab/>
      </w:r>
    </w:p>
    <w:p w14:paraId="464A7C91" w14:textId="391BE226" w:rsidR="00E542AE" w:rsidRPr="005C27A7" w:rsidRDefault="00E542AE" w:rsidP="00E542AE">
      <w:pPr>
        <w:spacing w:before="240" w:after="240" w:line="240" w:lineRule="auto"/>
        <w:rPr>
          <w:rFonts w:cs="Arial"/>
        </w:rPr>
      </w:pPr>
      <w:r w:rsidRPr="00030BB0">
        <w:rPr>
          <w:rFonts w:cs="Arial"/>
          <w:lang w:val="it-IT"/>
        </w:rPr>
        <w:t xml:space="preserve">Durante il periodo di riferimento, la Commissione NDIS ha continuato a educare il settore utilizzando una varietà di mezzi. </w:t>
      </w:r>
      <w:proofErr w:type="spellStart"/>
      <w:r w:rsidRPr="00030BB0">
        <w:rPr>
          <w:rFonts w:cs="Arial"/>
        </w:rPr>
        <w:t>Ciò</w:t>
      </w:r>
      <w:proofErr w:type="spellEnd"/>
      <w:r w:rsidRPr="00030BB0">
        <w:rPr>
          <w:rFonts w:cs="Arial"/>
        </w:rPr>
        <w:t xml:space="preserve"> ha </w:t>
      </w:r>
      <w:proofErr w:type="spellStart"/>
      <w:r w:rsidRPr="00030BB0">
        <w:rPr>
          <w:rFonts w:cs="Arial"/>
        </w:rPr>
        <w:t>incluso</w:t>
      </w:r>
      <w:proofErr w:type="spellEnd"/>
      <w:r w:rsidRPr="00030BB0">
        <w:rPr>
          <w:rFonts w:cs="Arial"/>
        </w:rPr>
        <w:t>:</w:t>
      </w:r>
    </w:p>
    <w:p w14:paraId="0EEB95A9" w14:textId="77777777" w:rsidR="005435B4" w:rsidRPr="00030BB0" w:rsidRDefault="005435B4" w:rsidP="00B67DD9">
      <w:pPr>
        <w:numPr>
          <w:ilvl w:val="0"/>
          <w:numId w:val="11"/>
        </w:numPr>
        <w:spacing w:before="120" w:after="0" w:line="240" w:lineRule="auto"/>
        <w:ind w:left="432" w:hanging="432"/>
        <w:rPr>
          <w:rFonts w:cs="Arial"/>
          <w:lang w:val="it-IT"/>
        </w:rPr>
      </w:pPr>
      <w:r w:rsidRPr="00030BB0">
        <w:rPr>
          <w:rFonts w:cs="Arial"/>
          <w:lang w:val="it-IT"/>
        </w:rPr>
        <w:t>659 attività di coinvolgimento come incontri con singoli fornitori, workshop di gruppo, comunità di pratica, riunioni di reti tra agenzie e sessioni formative condotte in collaborazione con altre agenzie come NDIA, NDS, TAFE, enti di punta ed enti di autorizzazione statali e territoriali. Il coinvolgimento ha riguardato una serie di questioni riguardanti i requisiti legislativi, la qualità dei piani di supporto comportamentale e la riduzione ed eliminazione delle pratiche restrittive.</w:t>
      </w:r>
    </w:p>
    <w:p w14:paraId="7ED93A26" w14:textId="77777777" w:rsidR="005435B4" w:rsidRPr="00030BB0" w:rsidRDefault="005435B4" w:rsidP="00B67DD9">
      <w:pPr>
        <w:numPr>
          <w:ilvl w:val="0"/>
          <w:numId w:val="11"/>
        </w:numPr>
        <w:spacing w:before="120" w:after="0" w:line="240" w:lineRule="auto"/>
        <w:ind w:left="432" w:hanging="432"/>
        <w:rPr>
          <w:rFonts w:cs="Arial"/>
          <w:lang w:val="it-IT"/>
        </w:rPr>
      </w:pPr>
      <w:r w:rsidRPr="00030BB0">
        <w:rPr>
          <w:rFonts w:cs="Arial"/>
          <w:lang w:val="it-IT"/>
        </w:rPr>
        <w:t>Collegamento con le università per sostenere i corsi di supporto al comportamento positivo presso l'Università del Queensland, la Flinders University, la Curtin University, la Monash University e l'Università di Melbourne.</w:t>
      </w:r>
    </w:p>
    <w:p w14:paraId="7ED3658C" w14:textId="6E98C820" w:rsidR="005435B4" w:rsidRPr="005C27A7" w:rsidRDefault="005435B4" w:rsidP="00B67DD9">
      <w:pPr>
        <w:numPr>
          <w:ilvl w:val="0"/>
          <w:numId w:val="11"/>
        </w:numPr>
        <w:spacing w:before="120" w:after="0" w:line="240" w:lineRule="auto"/>
        <w:ind w:left="432" w:hanging="432"/>
        <w:rPr>
          <w:rFonts w:cs="Arial"/>
        </w:rPr>
      </w:pPr>
      <w:r w:rsidRPr="00030BB0">
        <w:rPr>
          <w:rFonts w:cs="Arial"/>
          <w:lang w:val="it-IT"/>
        </w:rPr>
        <w:t>Sviluppo di risorse pratiche relative al supporto comportamentale, alle pratiche restrittive e agli obblighi previsti dalla legge NDIS, tra cui:</w:t>
      </w:r>
    </w:p>
    <w:p w14:paraId="1837BA82" w14:textId="77777777" w:rsidR="005435B4" w:rsidRPr="00030BB0" w:rsidRDefault="005435B4" w:rsidP="00B67DD9">
      <w:pPr>
        <w:numPr>
          <w:ilvl w:val="0"/>
          <w:numId w:val="12"/>
        </w:numPr>
        <w:spacing w:before="120" w:after="0" w:line="240" w:lineRule="auto"/>
        <w:ind w:left="864" w:hanging="432"/>
        <w:rPr>
          <w:rFonts w:cs="Arial"/>
          <w:lang w:val="it-IT"/>
        </w:rPr>
      </w:pPr>
      <w:r w:rsidRPr="00030BB0">
        <w:rPr>
          <w:rFonts w:cs="Arial"/>
          <w:lang w:val="it-IT"/>
        </w:rPr>
        <w:t>Guide pratiche in relazione all'identificazione e alla risoluzione di problemi pratici relativi a pratiche restrittive (ad esempio, Guida pratica alla tecnologia di sorveglianza, Versione riveduta della Guida  al trasporto sicuro).</w:t>
      </w:r>
    </w:p>
    <w:p w14:paraId="2CFAC38D" w14:textId="77777777" w:rsidR="005435B4" w:rsidRPr="00030BB0" w:rsidRDefault="005435B4" w:rsidP="00B67DD9">
      <w:pPr>
        <w:numPr>
          <w:ilvl w:val="0"/>
          <w:numId w:val="12"/>
        </w:numPr>
        <w:spacing w:before="120" w:after="0" w:line="240" w:lineRule="auto"/>
        <w:ind w:left="864" w:hanging="432"/>
        <w:rPr>
          <w:rFonts w:cs="Arial"/>
          <w:lang w:val="it-IT"/>
        </w:rPr>
      </w:pPr>
      <w:r w:rsidRPr="00030BB0">
        <w:rPr>
          <w:rFonts w:cs="Arial"/>
          <w:lang w:val="it-IT"/>
        </w:rPr>
        <w:t>Schede informative di cinque partecipanti co-progettate sul supporto comportamentale, disponibili qui:</w:t>
      </w:r>
      <w:r w:rsidRPr="00030BB0">
        <w:rPr>
          <w:rFonts w:cs="Arial"/>
          <w:u w:val="single"/>
          <w:lang w:val="it-IT"/>
        </w:rPr>
        <w:t xml:space="preserve"> </w:t>
      </w:r>
      <w:hyperlink r:id="rId23" w:history="1">
        <w:r w:rsidRPr="00030BB0">
          <w:rPr>
            <w:rFonts w:cs="Arial"/>
            <w:color w:val="0000FF"/>
            <w:u w:val="single"/>
            <w:lang w:val="it-IT"/>
          </w:rPr>
          <w:t xml:space="preserve">Schede informative dei partecipanti per il supporto </w:t>
        </w:r>
        <w:r w:rsidRPr="00030BB0">
          <w:rPr>
            <w:rFonts w:cs="Arial"/>
            <w:color w:val="0000FF"/>
            <w:u w:val="single"/>
            <w:lang w:val="it-IT"/>
          </w:rPr>
          <w:lastRenderedPageBreak/>
          <w:t>comportamentale | Commissione per la qualità e la salvaguardia dell'NDIS (ndiscommission.gov.au)</w:t>
        </w:r>
      </w:hyperlink>
      <w:r w:rsidRPr="00030BB0">
        <w:rPr>
          <w:rFonts w:cs="Arial"/>
          <w:lang w:val="it-IT"/>
        </w:rPr>
        <w:t>.</w:t>
      </w:r>
    </w:p>
    <w:p w14:paraId="6F512CFC" w14:textId="2B2CC626" w:rsidR="005435B4" w:rsidRPr="005C27A7" w:rsidRDefault="005435B4" w:rsidP="00B67DD9">
      <w:pPr>
        <w:numPr>
          <w:ilvl w:val="0"/>
          <w:numId w:val="12"/>
        </w:numPr>
        <w:spacing w:before="120" w:after="0" w:line="240" w:lineRule="auto"/>
        <w:ind w:left="864" w:hanging="432"/>
        <w:rPr>
          <w:rFonts w:cs="Arial"/>
          <w:u w:val="single"/>
        </w:rPr>
      </w:pPr>
      <w:r w:rsidRPr="00030BB0">
        <w:rPr>
          <w:rFonts w:cs="Arial"/>
          <w:lang w:val="it-IT"/>
        </w:rPr>
        <w:t>"Elenchi di controllo del piano di supporto comportamentale" che delineano le buone pratiche e le condizioni di registrazione che si applicano ai fornitori specializzati di supporto comportamentale durante lo sviluppo di piani di supporto comportamentale.</w:t>
      </w:r>
    </w:p>
    <w:p w14:paraId="5059DD5F" w14:textId="3E0A180B" w:rsidR="005C27A7" w:rsidRPr="005C27A7" w:rsidRDefault="005435B4" w:rsidP="00B67DD9">
      <w:pPr>
        <w:numPr>
          <w:ilvl w:val="0"/>
          <w:numId w:val="11"/>
        </w:numPr>
        <w:spacing w:before="120" w:after="0" w:line="240" w:lineRule="auto"/>
        <w:ind w:left="426" w:hanging="426"/>
        <w:rPr>
          <w:rFonts w:cs="Arial"/>
        </w:rPr>
      </w:pPr>
      <w:r w:rsidRPr="00030BB0">
        <w:rPr>
          <w:rFonts w:cs="Arial"/>
          <w:lang w:val="it-IT"/>
        </w:rPr>
        <w:t>Pubblicazione di risorse tra cui:</w:t>
      </w:r>
    </w:p>
    <w:p w14:paraId="192C46BB" w14:textId="77777777" w:rsidR="00162EC2" w:rsidRDefault="008E3222" w:rsidP="00B67DD9">
      <w:pPr>
        <w:numPr>
          <w:ilvl w:val="1"/>
          <w:numId w:val="11"/>
        </w:numPr>
        <w:spacing w:before="120" w:after="0" w:line="240" w:lineRule="auto"/>
        <w:ind w:left="864" w:hanging="432"/>
        <w:rPr>
          <w:rFonts w:cs="Arial"/>
        </w:rPr>
      </w:pPr>
      <w:hyperlink r:id="rId24" w:history="1">
        <w:r w:rsidR="00162EC2" w:rsidRPr="00162EC2">
          <w:rPr>
            <w:rFonts w:cs="Arial"/>
            <w:color w:val="0000FF"/>
            <w:u w:val="single"/>
            <w:lang w:val="it-IT"/>
          </w:rPr>
          <w:t xml:space="preserve">Le prove contano | Commissione per la qualità e la salvaguardia dell'NDIS </w:t>
        </w:r>
      </w:hyperlink>
      <w:r w:rsidR="00162EC2" w:rsidRPr="00162EC2">
        <w:rPr>
          <w:rFonts w:cs="Arial"/>
          <w:lang w:val="it-IT"/>
        </w:rPr>
        <w:t>, una raccolta di risorse basate sull'evidenza per fornitori, partecipanti e loro sostenitori per migliorare le pratiche di supporto comportamentale e ridurre le pratiche restrittive</w:t>
      </w:r>
    </w:p>
    <w:p w14:paraId="134C324B" w14:textId="52A24288" w:rsidR="00162EC2" w:rsidRPr="00162EC2" w:rsidRDefault="008E3222" w:rsidP="00B67DD9">
      <w:pPr>
        <w:numPr>
          <w:ilvl w:val="1"/>
          <w:numId w:val="11"/>
        </w:numPr>
        <w:spacing w:before="120" w:after="0" w:line="240" w:lineRule="auto"/>
        <w:ind w:left="864" w:hanging="432"/>
        <w:rPr>
          <w:rFonts w:cs="Arial"/>
        </w:rPr>
      </w:pPr>
      <w:hyperlink r:id="rId25" w:history="1">
        <w:r w:rsidR="00162EC2" w:rsidRPr="00162EC2">
          <w:rPr>
            <w:rFonts w:cs="Arial"/>
            <w:color w:val="0000FF"/>
            <w:u w:val="single"/>
            <w:lang w:val="it-IT"/>
          </w:rPr>
          <w:t xml:space="preserve">Farmaci per la salute, non per il controllo | Commissione per la qualità e la salvaguardia dell'NDIS </w:t>
        </w:r>
      </w:hyperlink>
      <w:r w:rsidR="00162EC2" w:rsidRPr="00162EC2">
        <w:rPr>
          <w:rFonts w:cs="Arial"/>
          <w:lang w:val="it-IT"/>
        </w:rPr>
        <w:t>, una raccolta centralizzata di risorse e strumenti pratici per fornitori, partecipanti e loro sostenitori per ridurre ed eliminare l'uso di pratiche restrittive.</w:t>
      </w:r>
    </w:p>
    <w:p w14:paraId="5CBC7AF9" w14:textId="77777777" w:rsidR="00162EC2" w:rsidRPr="00030BB0" w:rsidRDefault="00162EC2" w:rsidP="00162EC2">
      <w:pPr>
        <w:spacing w:before="240" w:after="240" w:line="240" w:lineRule="auto"/>
        <w:rPr>
          <w:rFonts w:cs="Arial"/>
          <w:lang w:val="it-IT"/>
        </w:rPr>
      </w:pPr>
      <w:r w:rsidRPr="00030BB0">
        <w:rPr>
          <w:rFonts w:cs="Arial"/>
          <w:lang w:val="it-IT"/>
        </w:rPr>
        <w:t xml:space="preserve">La Commissione NDIS ha pubblicato 15 avvisi pratici che forniscono indicazioni sulle migliori pratiche agli operatori dei servizi di disabilità sull'identificazione e la risposta ai rischi, disponibili all'indirizzo: </w:t>
      </w:r>
      <w:r w:rsidRPr="00030BB0">
        <w:fldChar w:fldCharType="begin"/>
      </w:r>
      <w:r w:rsidRPr="00030BB0">
        <w:rPr>
          <w:lang w:val="it-IT"/>
        </w:rPr>
        <w:instrText>HYPERLINK "https://www.ndiscommission.gov.au/workerresources"</w:instrText>
      </w:r>
      <w:r w:rsidRPr="00030BB0">
        <w:fldChar w:fldCharType="separate"/>
      </w:r>
      <w:r w:rsidRPr="00030BB0">
        <w:rPr>
          <w:rFonts w:cs="Arial"/>
          <w:color w:val="0000FF"/>
          <w:u w:val="single"/>
          <w:lang w:val="it-IT"/>
        </w:rPr>
        <w:t>Avvisi pratici | Commissione per la qualità e la salvaguardia dell'NDIS (ndiscommission.gov.au)</w:t>
      </w:r>
      <w:r w:rsidRPr="00030BB0">
        <w:rPr>
          <w:rFonts w:cs="Arial"/>
          <w:color w:val="0000FF"/>
          <w:u w:val="single"/>
        </w:rPr>
        <w:fldChar w:fldCharType="end"/>
      </w:r>
    </w:p>
    <w:p w14:paraId="45C67C86" w14:textId="77777777" w:rsidR="00162EC2" w:rsidRPr="00030BB0" w:rsidRDefault="00162EC2" w:rsidP="00162EC2">
      <w:pPr>
        <w:spacing w:before="240" w:after="240" w:line="240" w:lineRule="auto"/>
        <w:rPr>
          <w:rFonts w:cs="Arial"/>
          <w:lang w:val="it-IT"/>
        </w:rPr>
      </w:pPr>
      <w:r w:rsidRPr="00030BB0">
        <w:rPr>
          <w:rFonts w:cs="Arial"/>
          <w:lang w:val="it-IT"/>
        </w:rPr>
        <w:t>La divisione Qualità della pratica e consulenza clinica ha gestito quattro sovvenzioni amministrate, relative all'aumento della qualità dei servizi di supporto comportamentale nel settore.</w:t>
      </w:r>
    </w:p>
    <w:p w14:paraId="026AF819" w14:textId="6AA3F7E5" w:rsidR="00162EC2" w:rsidRPr="005C27A7" w:rsidRDefault="00162EC2" w:rsidP="00162EC2">
      <w:pPr>
        <w:spacing w:before="240" w:after="240" w:line="240" w:lineRule="auto"/>
        <w:rPr>
          <w:rFonts w:cs="Arial"/>
        </w:rPr>
      </w:pPr>
      <w:r w:rsidRPr="00030BB0">
        <w:rPr>
          <w:rFonts w:cs="Arial"/>
          <w:lang w:val="it-IT"/>
        </w:rPr>
        <w:t>Inoltre, si sono svolte tre masterclass on-line rivolte ai fornitori di servizi per la disabilità. Queste masterclass riguardavano temi di medicina per la salute, non di controllo, rischio dello stile di vita, valutazione completa della salute e gestione dell’epilessia.</w:t>
      </w:r>
    </w:p>
    <w:p w14:paraId="64D9602E" w14:textId="77777777" w:rsidR="001F7ED0" w:rsidRDefault="001F7ED0" w:rsidP="00911917">
      <w:pPr>
        <w:pStyle w:val="NoSpacing"/>
      </w:pPr>
      <w:r>
        <w:br w:type="page"/>
      </w:r>
    </w:p>
    <w:p w14:paraId="024BBC3A" w14:textId="6249F7AA" w:rsidR="001F7ED0" w:rsidRDefault="000E3914" w:rsidP="00515A1C">
      <w:pPr>
        <w:pStyle w:val="Heading2"/>
      </w:pPr>
      <w:bookmarkStart w:id="36" w:name="_Toc153298595"/>
      <w:r w:rsidRPr="00030BB0">
        <w:rPr>
          <w:rFonts w:cs="Arial"/>
          <w:lang w:val="it-IT"/>
        </w:rPr>
        <w:lastRenderedPageBreak/>
        <w:t>Le riunioni sulla gestione delle emergenze devono includere i fornitori di servizi per i disabili</w:t>
      </w:r>
      <w:bookmarkEnd w:id="36"/>
    </w:p>
    <w:p w14:paraId="336BCDA2" w14:textId="77777777" w:rsidR="005E3452" w:rsidRPr="00030BB0" w:rsidRDefault="005E3452" w:rsidP="005E3452">
      <w:pPr>
        <w:spacing w:before="240" w:after="240" w:line="240" w:lineRule="auto"/>
        <w:rPr>
          <w:rFonts w:cs="Arial"/>
          <w:b/>
          <w:lang w:val="it-IT"/>
        </w:rPr>
      </w:pPr>
      <w:r w:rsidRPr="00030BB0">
        <w:rPr>
          <w:rFonts w:cs="Arial"/>
          <w:b/>
          <w:lang w:val="it-IT"/>
        </w:rPr>
        <w:t xml:space="preserve">Giurisdizione: </w:t>
      </w:r>
      <w:r w:rsidRPr="00030BB0">
        <w:rPr>
          <w:rFonts w:cs="Arial"/>
          <w:lang w:val="it-IT"/>
        </w:rPr>
        <w:t>Territori del Nord: polizia, vigili del fuoco e servizi di emergenza</w:t>
      </w:r>
    </w:p>
    <w:p w14:paraId="49BC8E73" w14:textId="77777777" w:rsidR="005E3452" w:rsidRPr="00030BB0" w:rsidRDefault="005E3452" w:rsidP="005E3452">
      <w:pPr>
        <w:spacing w:before="240" w:after="240" w:line="240" w:lineRule="auto"/>
        <w:rPr>
          <w:rFonts w:cs="Arial"/>
          <w:b/>
        </w:rPr>
      </w:pPr>
      <w:r w:rsidRPr="00030BB0">
        <w:rPr>
          <w:rFonts w:cs="Arial"/>
          <w:b/>
        </w:rPr>
        <w:t xml:space="preserve">TAP: </w:t>
      </w:r>
      <w:proofErr w:type="spellStart"/>
      <w:r w:rsidRPr="00030BB0">
        <w:rPr>
          <w:rFonts w:cs="Arial"/>
        </w:rPr>
        <w:t>Gestione</w:t>
      </w:r>
      <w:proofErr w:type="spellEnd"/>
      <w:r w:rsidRPr="00030BB0">
        <w:rPr>
          <w:rFonts w:cs="Arial"/>
        </w:rPr>
        <w:t xml:space="preserve"> </w:t>
      </w:r>
      <w:proofErr w:type="spellStart"/>
      <w:r w:rsidRPr="00030BB0">
        <w:rPr>
          <w:rFonts w:cs="Arial"/>
        </w:rPr>
        <w:t>delle</w:t>
      </w:r>
      <w:proofErr w:type="spellEnd"/>
      <w:r w:rsidRPr="00030BB0">
        <w:rPr>
          <w:rFonts w:cs="Arial"/>
        </w:rPr>
        <w:t xml:space="preserve"> </w:t>
      </w:r>
      <w:proofErr w:type="spellStart"/>
      <w:r w:rsidRPr="00030BB0">
        <w:rPr>
          <w:rFonts w:cs="Arial"/>
        </w:rPr>
        <w:t>emergenze</w:t>
      </w:r>
      <w:proofErr w:type="spellEnd"/>
    </w:p>
    <w:p w14:paraId="61B1C05F" w14:textId="77777777" w:rsidR="005E3452" w:rsidRPr="00030BB0" w:rsidRDefault="005E3452" w:rsidP="005E3452">
      <w:pPr>
        <w:spacing w:before="240" w:after="240" w:line="240" w:lineRule="auto"/>
        <w:rPr>
          <w:rFonts w:cs="Arial"/>
          <w:b/>
          <w:lang w:val="it-IT"/>
        </w:rPr>
      </w:pPr>
      <w:r w:rsidRPr="00030BB0">
        <w:rPr>
          <w:rFonts w:cs="Arial"/>
          <w:b/>
          <w:lang w:val="it-IT"/>
        </w:rPr>
        <w:t xml:space="preserve">Obiettivo TAP: </w:t>
      </w:r>
      <w:r w:rsidRPr="00030BB0">
        <w:rPr>
          <w:rFonts w:cs="Arial"/>
          <w:lang w:val="it-IT"/>
        </w:rPr>
        <w:t>1. Garantire che i processi di pianificazione delle emergenze/disastri per condurre valutazioni del rischio di catastrofi, e il successivo sviluppo e mantenimento dei piani di gestione delle emergenze/disastri, includano le persone con disabilità.</w:t>
      </w:r>
    </w:p>
    <w:p w14:paraId="7B2DDA3E" w14:textId="77777777" w:rsidR="005E3452" w:rsidRPr="00030BB0" w:rsidRDefault="005E3452" w:rsidP="005E3452">
      <w:pPr>
        <w:spacing w:before="240" w:after="240" w:line="240" w:lineRule="auto"/>
        <w:rPr>
          <w:rFonts w:cs="Arial"/>
          <w:b/>
          <w:lang w:val="it-IT"/>
        </w:rPr>
      </w:pPr>
      <w:r w:rsidRPr="00030BB0">
        <w:rPr>
          <w:rFonts w:cs="Arial"/>
          <w:b/>
          <w:lang w:val="it-IT"/>
        </w:rPr>
        <w:t xml:space="preserve">Azione: </w:t>
      </w:r>
      <w:r w:rsidRPr="00030BB0">
        <w:rPr>
          <w:rFonts w:cs="Arial"/>
          <w:lang w:val="it-IT"/>
        </w:rPr>
        <w:t>1.2 Riunioni interagenzia/settoriali sulla gestione delle emergenze che coinvolgano i fornitori di servizi per i disabili.</w:t>
      </w:r>
    </w:p>
    <w:p w14:paraId="291A85A5" w14:textId="77777777" w:rsidR="005E3452" w:rsidRPr="00030BB0" w:rsidRDefault="005E3452" w:rsidP="005E3452">
      <w:pPr>
        <w:spacing w:before="240" w:after="240" w:line="240" w:lineRule="auto"/>
        <w:rPr>
          <w:rFonts w:cs="Arial"/>
          <w:lang w:val="it-IT"/>
        </w:rPr>
      </w:pPr>
      <w:r w:rsidRPr="00030BB0">
        <w:rPr>
          <w:rFonts w:cs="Arial"/>
          <w:lang w:val="it-IT"/>
        </w:rPr>
        <w:t>Il team per lo sviluppo della disabilità all'interno del Dipartimento per le famiglie, gli alloggi e le comunità dei Territori sostiene la Divisione di giustizia giovanile; parenti, affidatari e famiglie dei Territori, clienti con diagnosi o sospetta disabilità o ritardo dello sviluppo.</w:t>
      </w:r>
    </w:p>
    <w:p w14:paraId="4008FA01" w14:textId="7985CDD9" w:rsidR="005E3452" w:rsidRDefault="005E3452" w:rsidP="005E3452">
      <w:pPr>
        <w:spacing w:before="240" w:after="240" w:line="240" w:lineRule="auto"/>
        <w:rPr>
          <w:rFonts w:cs="Arial"/>
          <w:b/>
        </w:rPr>
      </w:pPr>
      <w:proofErr w:type="spellStart"/>
      <w:r w:rsidRPr="00030BB0">
        <w:rPr>
          <w:rFonts w:cs="Arial"/>
          <w:b/>
        </w:rPr>
        <w:t>Indicatore</w:t>
      </w:r>
      <w:proofErr w:type="spellEnd"/>
      <w:r w:rsidRPr="00030BB0">
        <w:rPr>
          <w:rFonts w:cs="Arial"/>
          <w:b/>
        </w:rPr>
        <w:t>:</w:t>
      </w:r>
    </w:p>
    <w:p w14:paraId="4AB38144" w14:textId="76C89803" w:rsidR="001F7ED0" w:rsidRPr="008F4643" w:rsidRDefault="005E3452" w:rsidP="00B67DD9">
      <w:pPr>
        <w:pStyle w:val="ListParagraph"/>
        <w:numPr>
          <w:ilvl w:val="0"/>
          <w:numId w:val="8"/>
        </w:numPr>
        <w:spacing w:before="120" w:after="0" w:line="240" w:lineRule="auto"/>
        <w:ind w:left="432" w:hanging="432"/>
        <w:contextualSpacing w:val="0"/>
        <w:rPr>
          <w:rFonts w:cs="Arial"/>
        </w:rPr>
      </w:pPr>
      <w:r w:rsidRPr="00030BB0">
        <w:rPr>
          <w:rFonts w:cs="Arial"/>
          <w:lang w:val="it-IT"/>
        </w:rPr>
        <w:t>Le reti interagenzia hanno aumentato la rappresentanza del settore della disabilità e delle persone con esperienze vissute di disabilità attraverso la partecipazione a riunioni di gestione degli incidenti, riunioni di gruppi di welfare e briefing di settore di gruppi di welfare.</w:t>
      </w:r>
    </w:p>
    <w:p w14:paraId="6372F387" w14:textId="7B915A3D" w:rsidR="001F7ED0" w:rsidRPr="008F4643" w:rsidRDefault="005E3452" w:rsidP="00B67DD9">
      <w:pPr>
        <w:pStyle w:val="ListParagraph"/>
        <w:numPr>
          <w:ilvl w:val="0"/>
          <w:numId w:val="8"/>
        </w:numPr>
        <w:spacing w:before="120" w:after="0" w:line="240" w:lineRule="auto"/>
        <w:ind w:left="432" w:hanging="432"/>
        <w:contextualSpacing w:val="0"/>
        <w:rPr>
          <w:rFonts w:cs="Arial"/>
        </w:rPr>
      </w:pPr>
      <w:r w:rsidRPr="00030BB0">
        <w:rPr>
          <w:rFonts w:cs="Arial"/>
          <w:lang w:val="it-IT"/>
        </w:rPr>
        <w:t>Le persone con esperienza vissuta di disabilità, gli accompagnatori e i tutori vengono informati e accedono alle informazioni in tempo reale durante le fasi di pianificazione e preparazione della pianificazione della gestione del disastro/emergenza.</w:t>
      </w:r>
    </w:p>
    <w:p w14:paraId="320F83A0" w14:textId="77777777" w:rsidR="005E3452" w:rsidRPr="00030BB0" w:rsidRDefault="005E3452" w:rsidP="005E3452">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r w:rsidRPr="00030BB0">
        <w:rPr>
          <w:rFonts w:cs="Arial"/>
        </w:rPr>
        <w:t xml:space="preserve">in </w:t>
      </w:r>
      <w:proofErr w:type="spellStart"/>
      <w:r w:rsidRPr="00030BB0">
        <w:rPr>
          <w:rFonts w:cs="Arial"/>
        </w:rPr>
        <w:t>corso</w:t>
      </w:r>
      <w:proofErr w:type="spellEnd"/>
    </w:p>
    <w:p w14:paraId="183953BD" w14:textId="77777777" w:rsidR="005E3452" w:rsidRPr="00030BB0" w:rsidRDefault="005E3452" w:rsidP="005E3452">
      <w:pPr>
        <w:spacing w:before="240" w:after="240" w:line="240" w:lineRule="auto"/>
        <w:rPr>
          <w:rFonts w:cs="Arial"/>
          <w:b/>
        </w:rPr>
      </w:pPr>
      <w:proofErr w:type="spellStart"/>
      <w:r w:rsidRPr="00030BB0">
        <w:rPr>
          <w:rFonts w:cs="Arial"/>
          <w:b/>
        </w:rPr>
        <w:t>Descrizione</w:t>
      </w:r>
      <w:proofErr w:type="spellEnd"/>
      <w:r w:rsidRPr="00030BB0">
        <w:rPr>
          <w:rFonts w:cs="Arial"/>
          <w:b/>
        </w:rPr>
        <w:t>:</w:t>
      </w:r>
    </w:p>
    <w:p w14:paraId="6A4E3F7E" w14:textId="77777777" w:rsidR="005E3452" w:rsidRPr="00030BB0" w:rsidRDefault="005E3452" w:rsidP="005E3452">
      <w:pPr>
        <w:spacing w:before="240" w:after="240" w:line="240" w:lineRule="auto"/>
        <w:rPr>
          <w:rFonts w:cs="Arial"/>
          <w:lang w:val="it-IT"/>
        </w:rPr>
      </w:pPr>
      <w:r w:rsidRPr="00030BB0">
        <w:rPr>
          <w:rFonts w:cs="Arial"/>
          <w:lang w:val="it-IT"/>
        </w:rPr>
        <w:t>Le principali agenzie di risposta ai pericoli identificati (emergenze) sono dettagliate nel Piano di emergenza dei Territori, guidato dal Dipartimento del Primo Ministro e del Gabinetto (DCMC). L'Hazard Management Authority (HMA) è l'agenzia NTG responsabile del coordinamento e della preparazione di piani e capacità in risposta a un pericolo specifico. Rispondere ai bisogni delle persone ad alto rischio in caso di emergenza è una responsabilità condivisa tra la comunità, i fornitori di servizi e i settori governativi.</w:t>
      </w:r>
    </w:p>
    <w:p w14:paraId="56E6A9B3" w14:textId="77777777" w:rsidR="005E3452" w:rsidRPr="00030BB0" w:rsidRDefault="005E3452" w:rsidP="005E3452">
      <w:pPr>
        <w:spacing w:before="240" w:after="240" w:line="240" w:lineRule="auto"/>
        <w:rPr>
          <w:rFonts w:cs="Arial"/>
          <w:lang w:val="it-IT"/>
        </w:rPr>
      </w:pPr>
      <w:r w:rsidRPr="00030BB0">
        <w:rPr>
          <w:rFonts w:cs="Arial"/>
          <w:lang w:val="it-IT"/>
        </w:rPr>
        <w:t>I servizi di emergenza di NT forniscono briefing pubblici gratuiti su come prepararsi, rispondere e riprendersi dai pericoli identificati e gestiti attraverso la nostra unità di coinvolgimento della comunità per fornire consigli su come una pianificazione e una preparazione approfondite e ponderate possano ridurre il rischio di una persona durante un evento.</w:t>
      </w:r>
    </w:p>
    <w:p w14:paraId="6A092B91" w14:textId="77777777" w:rsidR="005E3452" w:rsidRPr="00030BB0" w:rsidRDefault="005E3452" w:rsidP="005E3452">
      <w:pPr>
        <w:spacing w:before="240" w:after="240" w:line="240" w:lineRule="auto"/>
        <w:rPr>
          <w:rFonts w:cs="Arial"/>
          <w:lang w:val="it-IT"/>
        </w:rPr>
      </w:pPr>
      <w:r w:rsidRPr="00030BB0">
        <w:rPr>
          <w:rFonts w:cs="Arial"/>
          <w:lang w:val="it-IT"/>
        </w:rPr>
        <w:t>Il Public Information Group (PIG), guidato da DCMC, garantisce il rilascio tempestivo, accurato e coordinato di informazioni pubbliche in caso di minaccia o emergenza in collaborazione con le società di proprietà del governo e qualsiasi organizzazione partner o stakeholder chiave.</w:t>
      </w:r>
    </w:p>
    <w:p w14:paraId="1AD9D6BB" w14:textId="58C30515" w:rsidR="00B6664A" w:rsidRDefault="005E3452" w:rsidP="005E3452">
      <w:pPr>
        <w:spacing w:before="240" w:after="240" w:line="240" w:lineRule="auto"/>
        <w:rPr>
          <w:rFonts w:cs="Arial"/>
          <w:lang w:val="it-IT"/>
        </w:rPr>
      </w:pPr>
      <w:r w:rsidRPr="00030BB0">
        <w:rPr>
          <w:rFonts w:cs="Arial"/>
          <w:lang w:val="it-IT"/>
        </w:rPr>
        <w:lastRenderedPageBreak/>
        <w:t>Una responsabilità chiave del PIG è guidare lo sviluppo e il rilascio di tutti i messaggi pubblici della NTG durante la risposta e il ripristino; ciò può includere il coordinamento degli interpreti della lingua dei segni australiana (AUSLAN) per i messaggi pubblici televisivi e i materiali tradotti. Il PIG sta attualmente aggiornando la cache dei messaggi in lingua per allinearsi al nuovo sistema di allarme australiano.</w:t>
      </w:r>
    </w:p>
    <w:p w14:paraId="4CA6C8FA" w14:textId="77777777" w:rsidR="00B6664A" w:rsidRDefault="00B6664A">
      <w:pPr>
        <w:rPr>
          <w:rFonts w:cs="Arial"/>
          <w:lang w:val="it-IT"/>
        </w:rPr>
      </w:pPr>
      <w:r>
        <w:rPr>
          <w:rFonts w:cs="Arial"/>
          <w:lang w:val="it-IT"/>
        </w:rPr>
        <w:br w:type="page"/>
      </w:r>
    </w:p>
    <w:p w14:paraId="5BA2EE5D" w14:textId="7999A394" w:rsidR="00D1030A" w:rsidRPr="0038135C" w:rsidRDefault="005E3452" w:rsidP="00515A1C">
      <w:pPr>
        <w:pStyle w:val="Heading2"/>
      </w:pPr>
      <w:bookmarkStart w:id="37" w:name="_Toc153298596"/>
      <w:r w:rsidRPr="00030BB0">
        <w:rPr>
          <w:rFonts w:cs="Arial"/>
          <w:lang w:val="it-IT"/>
        </w:rPr>
        <w:lastRenderedPageBreak/>
        <w:t>Iniziativa di risposta alle crisi per la violenza familiare con disabilità</w:t>
      </w:r>
      <w:bookmarkEnd w:id="37"/>
    </w:p>
    <w:p w14:paraId="34634FE0" w14:textId="77777777" w:rsidR="00B6664A" w:rsidRPr="00030BB0" w:rsidRDefault="00B6664A" w:rsidP="002054BA">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Victoria</w:t>
      </w:r>
    </w:p>
    <w:p w14:paraId="60FC1885" w14:textId="77777777" w:rsidR="00B6664A" w:rsidRPr="00030BB0" w:rsidRDefault="00B6664A" w:rsidP="002054BA">
      <w:pPr>
        <w:spacing w:before="240" w:after="240" w:line="240" w:lineRule="auto"/>
        <w:rPr>
          <w:rFonts w:cs="Arial"/>
          <w:b/>
        </w:rPr>
      </w:pPr>
      <w:r w:rsidRPr="00030BB0">
        <w:rPr>
          <w:rFonts w:cs="Arial"/>
          <w:b/>
        </w:rPr>
        <w:t xml:space="preserve">TAP: </w:t>
      </w:r>
      <w:r w:rsidRPr="00030BB0">
        <w:rPr>
          <w:rFonts w:cs="Arial"/>
        </w:rPr>
        <w:tab/>
      </w:r>
      <w:proofErr w:type="spellStart"/>
      <w:r w:rsidRPr="00030BB0">
        <w:rPr>
          <w:rFonts w:cs="Arial"/>
        </w:rPr>
        <w:t>Sicurezza</w:t>
      </w:r>
      <w:proofErr w:type="spellEnd"/>
    </w:p>
    <w:p w14:paraId="42457F7B" w14:textId="77777777" w:rsidR="00B6664A" w:rsidRPr="00030BB0" w:rsidRDefault="00B6664A" w:rsidP="002054BA">
      <w:pPr>
        <w:spacing w:before="240" w:after="240" w:line="240" w:lineRule="auto"/>
        <w:rPr>
          <w:rFonts w:cs="Arial"/>
          <w:b/>
          <w:lang w:val="it-IT"/>
        </w:rPr>
      </w:pPr>
      <w:r w:rsidRPr="00030BB0">
        <w:rPr>
          <w:rFonts w:cs="Arial"/>
          <w:b/>
          <w:lang w:val="it-IT"/>
        </w:rPr>
        <w:t xml:space="preserve">Obiettivo TAP: </w:t>
      </w:r>
      <w:r w:rsidRPr="00030BB0">
        <w:rPr>
          <w:rFonts w:cs="Arial"/>
          <w:lang w:val="it-IT"/>
        </w:rPr>
        <w:t>3. Rafforzare la progettazione di tutti i sistemi di servizi pubblici e il supporto che forniscono alle persone con disabilità a rischio di subire danni.</w:t>
      </w:r>
    </w:p>
    <w:p w14:paraId="7F38715D" w14:textId="77777777" w:rsidR="00B6664A" w:rsidRPr="00030BB0" w:rsidRDefault="00B6664A" w:rsidP="002054BA">
      <w:pPr>
        <w:spacing w:before="240" w:after="240" w:line="240" w:lineRule="auto"/>
        <w:rPr>
          <w:rFonts w:cs="Arial"/>
          <w:b/>
          <w:lang w:val="it-IT"/>
        </w:rPr>
      </w:pPr>
      <w:r w:rsidRPr="00030BB0">
        <w:rPr>
          <w:rFonts w:cs="Arial"/>
          <w:b/>
          <w:lang w:val="it-IT"/>
        </w:rPr>
        <w:t xml:space="preserve">Azione: </w:t>
      </w:r>
      <w:r w:rsidRPr="00030BB0">
        <w:rPr>
          <w:rFonts w:cs="Arial"/>
          <w:lang w:val="it-IT"/>
        </w:rPr>
        <w:t>3.3 Iniziativa di risposta alle crisi per la violenza familiare con disabilità - Questa iniziativa fornisce finanziamenti di intermediazione per le persone con disabilità che fuggono dalla violenza familiare e sovvenziona la posizione di coordinatore della risposta alle crisi per violenza familiare con disabilità.</w:t>
      </w:r>
    </w:p>
    <w:p w14:paraId="3361FB44" w14:textId="77777777" w:rsidR="00B6664A" w:rsidRPr="00030BB0" w:rsidRDefault="00B6664A" w:rsidP="002054BA">
      <w:pPr>
        <w:spacing w:before="240" w:after="240" w:line="240" w:lineRule="auto"/>
        <w:rPr>
          <w:rFonts w:cs="Arial"/>
          <w:b/>
          <w:lang w:val="it-IT"/>
        </w:rPr>
      </w:pPr>
      <w:r w:rsidRPr="00030BB0">
        <w:rPr>
          <w:rFonts w:cs="Arial"/>
          <w:b/>
          <w:lang w:val="it-IT"/>
        </w:rPr>
        <w:t xml:space="preserve">Indicatore: </w:t>
      </w:r>
      <w:r w:rsidRPr="00030BB0">
        <w:rPr>
          <w:rFonts w:cs="Arial"/>
          <w:lang w:val="it-IT"/>
        </w:rPr>
        <w:t>numero di clienti supportati e finanziamenti di intermediazione assolti.</w:t>
      </w:r>
    </w:p>
    <w:p w14:paraId="50F12A8E" w14:textId="77777777" w:rsidR="00B6664A" w:rsidRPr="00030BB0" w:rsidRDefault="00B6664A" w:rsidP="002054BA">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proofErr w:type="spellStart"/>
      <w:r w:rsidRPr="00030BB0">
        <w:rPr>
          <w:rFonts w:cs="Arial"/>
        </w:rPr>
        <w:t>completato</w:t>
      </w:r>
      <w:proofErr w:type="spellEnd"/>
    </w:p>
    <w:p w14:paraId="4EFA7508" w14:textId="77777777" w:rsidR="00B6664A" w:rsidRPr="00030BB0" w:rsidRDefault="00B6664A" w:rsidP="002054BA">
      <w:pPr>
        <w:spacing w:before="240" w:after="240" w:line="240" w:lineRule="auto"/>
        <w:rPr>
          <w:rFonts w:cs="Arial"/>
          <w:b/>
        </w:rPr>
      </w:pPr>
      <w:proofErr w:type="spellStart"/>
      <w:r w:rsidRPr="00030BB0">
        <w:rPr>
          <w:rFonts w:cs="Arial"/>
          <w:b/>
        </w:rPr>
        <w:t>Descrizione</w:t>
      </w:r>
      <w:proofErr w:type="spellEnd"/>
      <w:r w:rsidRPr="00030BB0">
        <w:rPr>
          <w:rFonts w:cs="Arial"/>
          <w:b/>
        </w:rPr>
        <w:t>:</w:t>
      </w:r>
      <w:r w:rsidRPr="00030BB0">
        <w:rPr>
          <w:rFonts w:cs="Arial"/>
        </w:rPr>
        <w:t xml:space="preserve"> </w:t>
      </w:r>
    </w:p>
    <w:p w14:paraId="79689FE0" w14:textId="77777777" w:rsidR="00B6664A" w:rsidRPr="00030BB0" w:rsidRDefault="00B6664A" w:rsidP="002054BA">
      <w:pPr>
        <w:spacing w:before="240" w:after="240" w:line="240" w:lineRule="auto"/>
        <w:rPr>
          <w:rFonts w:cs="Arial"/>
          <w:lang w:val="it-IT"/>
        </w:rPr>
      </w:pPr>
      <w:r w:rsidRPr="00030BB0">
        <w:rPr>
          <w:rFonts w:cs="Arial"/>
          <w:lang w:val="it-IT"/>
        </w:rPr>
        <w:t>La Disability Family Violence Crisis Response Initiative ha fornito assistenza pratica immediata a oltre 250 vittime con disabilità sopravvissute alle crisi. Le vittime sopravvissute hanno avuto accesso a oltre 100.000 dollari di aiuti legati alla disabilità per rimanere al sicuro e/o sfuggire alla violenza familiare. Ciò ha incluso finanziamenti per operatori di supporto personale e accompagnatori, aiuti per la disabilità, tecnologie assistive e opzioni di trasporto accessibili.</w:t>
      </w:r>
    </w:p>
    <w:p w14:paraId="3DCA4AC3" w14:textId="77777777" w:rsidR="00B6664A" w:rsidRPr="00030BB0" w:rsidRDefault="00B6664A" w:rsidP="002054BA">
      <w:pPr>
        <w:spacing w:before="240" w:after="240" w:line="240" w:lineRule="auto"/>
        <w:rPr>
          <w:rFonts w:cs="Arial"/>
          <w:lang w:val="it-IT"/>
        </w:rPr>
      </w:pPr>
      <w:r w:rsidRPr="00030BB0">
        <w:rPr>
          <w:rFonts w:cs="Arial"/>
          <w:lang w:val="it-IT"/>
        </w:rPr>
        <w:t>Questa iniziativa ha anche aiutato gli operatori della violenza familiare e altri professionisti tradizionali a fornire un supporto più personalizzato ed efficace alle vittime con disabilità sopravvissute, attraverso un servizio di consulenza secondaria. Questo servizio fornisce consulenza sulla pianificazione della sicurezza, sulle esigenze specifiche della disabilità e sul rinvio ad altri servizi specialistici di supporto alla disabilità.</w:t>
      </w:r>
    </w:p>
    <w:p w14:paraId="14A2F462" w14:textId="77777777" w:rsidR="00B6664A" w:rsidRPr="00030BB0" w:rsidRDefault="00B6664A" w:rsidP="002054BA">
      <w:pPr>
        <w:spacing w:before="240" w:after="240" w:line="240" w:lineRule="auto"/>
        <w:rPr>
          <w:rFonts w:cs="Arial"/>
          <w:lang w:val="it-IT"/>
        </w:rPr>
      </w:pPr>
      <w:r w:rsidRPr="00030BB0">
        <w:rPr>
          <w:rFonts w:cs="Arial"/>
          <w:lang w:val="it-IT"/>
        </w:rPr>
        <w:t>Inoltre, sono stati forniti finanziamenti per un coordinatore della risposta alla disabilità, per contribuire allo sviluppo delle capacità del settore e alla sensibilizzazione attraverso l'organizzazione di sessioni informative e presentazioni sulla disabilità e sulla violenza familiare basata sulla disabilità a varie organizzazioni che hanno contatti o supportano le vittime sopravvissute che vivono con disabilità.</w:t>
      </w:r>
    </w:p>
    <w:p w14:paraId="71CBD97C" w14:textId="4A860966" w:rsidR="00B6664A" w:rsidRPr="0038135C" w:rsidRDefault="00B6664A" w:rsidP="002054BA">
      <w:pPr>
        <w:spacing w:before="240" w:after="240" w:line="240" w:lineRule="auto"/>
        <w:rPr>
          <w:rFonts w:cs="Arial"/>
        </w:rPr>
      </w:pPr>
      <w:r w:rsidRPr="00030BB0">
        <w:rPr>
          <w:rFonts w:cs="Arial"/>
          <w:lang w:val="it-IT"/>
        </w:rPr>
        <w:t>Il programma DLO sostiene inoltre la realizzazione del Piano del Victoria per l'autismo e del Piano decennale per la salute mentale.</w:t>
      </w:r>
    </w:p>
    <w:p w14:paraId="717494A3" w14:textId="1932A64F" w:rsidR="00D1030A" w:rsidRDefault="00D1030A" w:rsidP="00AB6088">
      <w:pPr>
        <w:spacing w:before="240" w:after="240"/>
      </w:pPr>
      <w:r>
        <w:br w:type="page"/>
      </w:r>
    </w:p>
    <w:p w14:paraId="1182E798" w14:textId="0EBF0F02" w:rsidR="00D1030A" w:rsidRPr="0038135C" w:rsidRDefault="00D13460" w:rsidP="00515A1C">
      <w:pPr>
        <w:pStyle w:val="Heading2"/>
      </w:pPr>
      <w:bookmarkStart w:id="38" w:name="_Toc153298597"/>
      <w:r w:rsidRPr="00030BB0">
        <w:rPr>
          <w:rFonts w:cs="Arial"/>
          <w:lang w:val="it-IT"/>
        </w:rPr>
        <w:lastRenderedPageBreak/>
        <w:t>Sistemazione di accoglienza e supporto accessibili</w:t>
      </w:r>
      <w:bookmarkEnd w:id="38"/>
    </w:p>
    <w:p w14:paraId="6502188A" w14:textId="77777777" w:rsidR="00D13460" w:rsidRPr="00030BB0" w:rsidRDefault="00D13460" w:rsidP="00D13460">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Western Australia</w:t>
      </w:r>
    </w:p>
    <w:p w14:paraId="1C745794" w14:textId="77777777" w:rsidR="00D13460" w:rsidRPr="00030BB0" w:rsidRDefault="00D13460" w:rsidP="00D13460">
      <w:pPr>
        <w:spacing w:before="240" w:after="240" w:line="240" w:lineRule="auto"/>
        <w:rPr>
          <w:rFonts w:cs="Arial"/>
          <w:b/>
        </w:rPr>
      </w:pPr>
      <w:r w:rsidRPr="00030BB0">
        <w:rPr>
          <w:rFonts w:cs="Arial"/>
          <w:b/>
        </w:rPr>
        <w:t xml:space="preserve">TAP: </w:t>
      </w:r>
      <w:r w:rsidRPr="00030BB0">
        <w:rPr>
          <w:rFonts w:cs="Arial"/>
        </w:rPr>
        <w:tab/>
        <w:t xml:space="preserve">TAP </w:t>
      </w:r>
      <w:proofErr w:type="spellStart"/>
      <w:proofErr w:type="gramStart"/>
      <w:r w:rsidRPr="00030BB0">
        <w:rPr>
          <w:rFonts w:cs="Arial"/>
        </w:rPr>
        <w:t>sulla</w:t>
      </w:r>
      <w:proofErr w:type="spellEnd"/>
      <w:proofErr w:type="gramEnd"/>
      <w:r w:rsidRPr="00030BB0">
        <w:rPr>
          <w:rFonts w:cs="Arial"/>
        </w:rPr>
        <w:t xml:space="preserve"> </w:t>
      </w:r>
      <w:proofErr w:type="spellStart"/>
      <w:r w:rsidRPr="00030BB0">
        <w:rPr>
          <w:rFonts w:cs="Arial"/>
        </w:rPr>
        <w:t>sicurezza</w:t>
      </w:r>
      <w:proofErr w:type="spellEnd"/>
    </w:p>
    <w:p w14:paraId="36507C64" w14:textId="77777777" w:rsidR="00D13460" w:rsidRPr="00030BB0" w:rsidRDefault="00D13460" w:rsidP="00D13460">
      <w:pPr>
        <w:spacing w:before="240" w:after="240" w:line="240" w:lineRule="auto"/>
        <w:rPr>
          <w:rFonts w:cs="Arial"/>
          <w:b/>
          <w:lang w:val="it-IT"/>
        </w:rPr>
      </w:pPr>
      <w:r w:rsidRPr="00030BB0">
        <w:rPr>
          <w:rFonts w:cs="Arial"/>
          <w:b/>
          <w:lang w:val="it-IT"/>
        </w:rPr>
        <w:t xml:space="preserve">Obiettivo TAP: </w:t>
      </w:r>
      <w:r w:rsidRPr="00030BB0">
        <w:rPr>
          <w:rFonts w:cs="Arial"/>
          <w:lang w:val="it-IT"/>
        </w:rPr>
        <w:t>3. Rafforzare la progettazione di tutti i sistemi di servizi pubblici e il supporto che forniscono alle persone con disabilità a rischio di danni.</w:t>
      </w:r>
    </w:p>
    <w:p w14:paraId="48C0E7F0" w14:textId="77777777" w:rsidR="00D13460" w:rsidRPr="00030BB0" w:rsidRDefault="00D13460" w:rsidP="00D13460">
      <w:pPr>
        <w:spacing w:before="240" w:after="240" w:line="240" w:lineRule="auto"/>
        <w:rPr>
          <w:rFonts w:cs="Arial"/>
          <w:b/>
          <w:lang w:val="it-IT"/>
        </w:rPr>
      </w:pPr>
      <w:r w:rsidRPr="00030BB0">
        <w:rPr>
          <w:rFonts w:cs="Arial"/>
          <w:b/>
          <w:lang w:val="it-IT"/>
        </w:rPr>
        <w:t xml:space="preserve">Azione: </w:t>
      </w:r>
      <w:r w:rsidRPr="00030BB0">
        <w:rPr>
          <w:rFonts w:cs="Arial"/>
          <w:lang w:val="it-IT"/>
        </w:rPr>
        <w:t xml:space="preserve">3.1 Sistemazione di accoglienza e sostegno accessibili </w:t>
      </w:r>
    </w:p>
    <w:p w14:paraId="2B8EB356" w14:textId="77777777" w:rsidR="00D13460" w:rsidRPr="00030BB0" w:rsidRDefault="00D13460" w:rsidP="00D13460">
      <w:pPr>
        <w:spacing w:before="240" w:after="240" w:line="240" w:lineRule="auto"/>
        <w:rPr>
          <w:rFonts w:cs="Arial"/>
          <w:b/>
        </w:rPr>
      </w:pPr>
      <w:proofErr w:type="spellStart"/>
      <w:r w:rsidRPr="00030BB0">
        <w:rPr>
          <w:rFonts w:cs="Arial"/>
          <w:b/>
        </w:rPr>
        <w:t>Indicatore</w:t>
      </w:r>
      <w:proofErr w:type="spellEnd"/>
      <w:r w:rsidRPr="00030BB0">
        <w:rPr>
          <w:rFonts w:cs="Arial"/>
          <w:b/>
        </w:rPr>
        <w:t xml:space="preserve">: </w:t>
      </w:r>
      <w:proofErr w:type="spellStart"/>
      <w:r w:rsidRPr="00030BB0">
        <w:rPr>
          <w:rFonts w:cs="Arial"/>
        </w:rPr>
        <w:t>Attuazione</w:t>
      </w:r>
      <w:proofErr w:type="spellEnd"/>
      <w:r w:rsidRPr="00030BB0">
        <w:rPr>
          <w:rFonts w:cs="Arial"/>
        </w:rPr>
        <w:t xml:space="preserve"> </w:t>
      </w:r>
      <w:proofErr w:type="gramStart"/>
      <w:r w:rsidRPr="00030BB0">
        <w:rPr>
          <w:rFonts w:cs="Arial"/>
        </w:rPr>
        <w:t>del</w:t>
      </w:r>
      <w:proofErr w:type="gramEnd"/>
      <w:r w:rsidRPr="00030BB0">
        <w:rPr>
          <w:rFonts w:cs="Arial"/>
        </w:rPr>
        <w:t xml:space="preserve"> </w:t>
      </w:r>
      <w:proofErr w:type="spellStart"/>
      <w:r w:rsidRPr="00030BB0">
        <w:rPr>
          <w:rFonts w:cs="Arial"/>
        </w:rPr>
        <w:t>programma</w:t>
      </w:r>
      <w:proofErr w:type="spellEnd"/>
    </w:p>
    <w:p w14:paraId="1C82B938" w14:textId="77777777" w:rsidR="00D13460" w:rsidRPr="00030BB0" w:rsidRDefault="00D13460" w:rsidP="00D13460">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proofErr w:type="spellStart"/>
      <w:r w:rsidRPr="00030BB0">
        <w:rPr>
          <w:rFonts w:cs="Arial"/>
        </w:rPr>
        <w:t>completato</w:t>
      </w:r>
      <w:proofErr w:type="spellEnd"/>
    </w:p>
    <w:p w14:paraId="5E085E0D" w14:textId="77777777" w:rsidR="00D13460" w:rsidRPr="00030BB0" w:rsidRDefault="00D13460" w:rsidP="00D13460">
      <w:pPr>
        <w:spacing w:before="240" w:after="240" w:line="240" w:lineRule="auto"/>
        <w:rPr>
          <w:rFonts w:cs="Arial"/>
          <w:b/>
        </w:rPr>
      </w:pPr>
      <w:proofErr w:type="spellStart"/>
      <w:r w:rsidRPr="00030BB0">
        <w:rPr>
          <w:rFonts w:cs="Arial"/>
          <w:b/>
        </w:rPr>
        <w:t>Descrizione</w:t>
      </w:r>
      <w:proofErr w:type="spellEnd"/>
      <w:r w:rsidRPr="00030BB0">
        <w:rPr>
          <w:rFonts w:cs="Arial"/>
          <w:b/>
        </w:rPr>
        <w:t>:</w:t>
      </w:r>
    </w:p>
    <w:p w14:paraId="020D0838" w14:textId="77777777" w:rsidR="00D13460" w:rsidRPr="00030BB0" w:rsidRDefault="00D13460" w:rsidP="00D13460">
      <w:pPr>
        <w:spacing w:before="240" w:after="240" w:line="240" w:lineRule="auto"/>
        <w:rPr>
          <w:rFonts w:cs="Arial"/>
          <w:lang w:val="it-IT"/>
        </w:rPr>
      </w:pPr>
      <w:r w:rsidRPr="00030BB0">
        <w:rPr>
          <w:rFonts w:cs="Arial"/>
          <w:lang w:val="it-IT"/>
        </w:rPr>
        <w:t>Le due nuove case di accoglienza   per la violenza familiare e domestica sono stati aperti a Kwinana e nella regione di Peel nel dicembre 2020. Il rifugio della regione di Peel, Warlang Bidi, è la prima casa rifugio per donne dello stato focalizzato sul piano terapeutico e si basa su un intenso processo di co-progettazione che coinvolge donne con esperienza vissuta. Fornisce risposte specialistiche e incentrate sulla persona per le donne che hanno anche disabilità, problemi di salute mentale e/o danni derivanti dall’alcol e da altre droghe.</w:t>
      </w:r>
    </w:p>
    <w:p w14:paraId="49010A9C" w14:textId="77777777" w:rsidR="00D13460" w:rsidRPr="00030BB0" w:rsidRDefault="00D13460" w:rsidP="00D13460">
      <w:pPr>
        <w:spacing w:before="240" w:after="240" w:line="240" w:lineRule="auto"/>
        <w:rPr>
          <w:rFonts w:cs="Arial"/>
          <w:lang w:val="it-IT"/>
        </w:rPr>
      </w:pPr>
      <w:r w:rsidRPr="00030BB0">
        <w:rPr>
          <w:rFonts w:cs="Arial"/>
          <w:lang w:val="it-IT"/>
        </w:rPr>
        <w:t>Il rifugio per donne Andrea Mia a Kwinana offre un servizio cruciale di alloggio e supporto in caso di crisi ed è progettato per essere accessibile a tutte le donne, comprese le donne con disabilità.</w:t>
      </w:r>
    </w:p>
    <w:p w14:paraId="609F941D" w14:textId="4800DA57" w:rsidR="00D13460" w:rsidRPr="0038135C" w:rsidRDefault="00D13460" w:rsidP="00D13460">
      <w:pPr>
        <w:spacing w:before="240" w:after="240" w:line="240" w:lineRule="auto"/>
        <w:rPr>
          <w:rFonts w:cs="Arial"/>
        </w:rPr>
      </w:pPr>
      <w:r w:rsidRPr="00030BB0">
        <w:rPr>
          <w:rFonts w:cs="Arial"/>
          <w:lang w:val="it-IT"/>
        </w:rPr>
        <w:t>Da dicembre 2021 ad oggi, Warlang Bidi ha supportato 5 donne con disabilità e Andrea Mia ha supportato 3 donne con disabilità, tra cui un bambino. Nessuna delle donne è stata supportata da un assistente per accedere ai rifugi.</w:t>
      </w:r>
    </w:p>
    <w:p w14:paraId="523DE4BF" w14:textId="220502E8" w:rsidR="00D1030A" w:rsidRDefault="00D1030A" w:rsidP="00D13460">
      <w:pPr>
        <w:spacing w:before="240" w:after="240" w:line="240" w:lineRule="auto"/>
      </w:pPr>
      <w:r>
        <w:br w:type="page"/>
      </w:r>
    </w:p>
    <w:p w14:paraId="0A2E6B52" w14:textId="2A863EB1" w:rsidR="00D1030A" w:rsidRPr="0038135C" w:rsidRDefault="00A93874" w:rsidP="00515A1C">
      <w:pPr>
        <w:pStyle w:val="Heading2"/>
      </w:pPr>
      <w:bookmarkStart w:id="39" w:name="_Toc153298598"/>
      <w:proofErr w:type="spellStart"/>
      <w:r w:rsidRPr="00030BB0">
        <w:rPr>
          <w:rFonts w:cs="Arial"/>
        </w:rPr>
        <w:lastRenderedPageBreak/>
        <w:t>Programma</w:t>
      </w:r>
      <w:proofErr w:type="spellEnd"/>
      <w:r w:rsidRPr="00030BB0">
        <w:rPr>
          <w:rFonts w:cs="Arial"/>
        </w:rPr>
        <w:t xml:space="preserve"> </w:t>
      </w:r>
      <w:proofErr w:type="spellStart"/>
      <w:r w:rsidRPr="00030BB0">
        <w:rPr>
          <w:rFonts w:cs="Arial"/>
        </w:rPr>
        <w:t>intermediario</w:t>
      </w:r>
      <w:proofErr w:type="spellEnd"/>
      <w:r w:rsidRPr="00030BB0">
        <w:rPr>
          <w:rFonts w:cs="Arial"/>
        </w:rPr>
        <w:t xml:space="preserve"> ACT</w:t>
      </w:r>
      <w:bookmarkEnd w:id="39"/>
    </w:p>
    <w:p w14:paraId="7B85BAA9" w14:textId="77777777" w:rsidR="00A93874" w:rsidRPr="00030BB0" w:rsidRDefault="00A93874" w:rsidP="00A93874">
      <w:pPr>
        <w:spacing w:before="240" w:after="240" w:line="240" w:lineRule="auto"/>
        <w:rPr>
          <w:rFonts w:cs="Arial"/>
          <w:b/>
        </w:rPr>
      </w:pPr>
      <w:proofErr w:type="spellStart"/>
      <w:r w:rsidRPr="00030BB0">
        <w:rPr>
          <w:rFonts w:cs="Arial"/>
          <w:b/>
        </w:rPr>
        <w:t>Giurisdizione</w:t>
      </w:r>
      <w:proofErr w:type="spellEnd"/>
      <w:r w:rsidRPr="00030BB0">
        <w:rPr>
          <w:rFonts w:cs="Arial"/>
          <w:b/>
        </w:rPr>
        <w:t xml:space="preserve">: </w:t>
      </w:r>
      <w:r w:rsidRPr="00030BB0">
        <w:rPr>
          <w:rFonts w:cs="Arial"/>
        </w:rPr>
        <w:t>Australian Capital Territory</w:t>
      </w:r>
    </w:p>
    <w:p w14:paraId="5456CFA4" w14:textId="77777777" w:rsidR="00A93874" w:rsidRPr="00030BB0" w:rsidRDefault="00A93874" w:rsidP="00A93874">
      <w:pPr>
        <w:spacing w:before="240" w:after="240" w:line="240" w:lineRule="auto"/>
        <w:rPr>
          <w:rFonts w:cs="Arial"/>
          <w:b/>
        </w:rPr>
      </w:pPr>
      <w:r w:rsidRPr="00030BB0">
        <w:rPr>
          <w:rFonts w:cs="Arial"/>
          <w:b/>
        </w:rPr>
        <w:t xml:space="preserve">TAP: </w:t>
      </w:r>
      <w:r w:rsidRPr="00030BB0">
        <w:rPr>
          <w:rFonts w:cs="Arial"/>
        </w:rPr>
        <w:tab/>
      </w:r>
      <w:proofErr w:type="spellStart"/>
      <w:r w:rsidRPr="00030BB0">
        <w:rPr>
          <w:rFonts w:cs="Arial"/>
        </w:rPr>
        <w:t>Sicurezza</w:t>
      </w:r>
      <w:proofErr w:type="spellEnd"/>
    </w:p>
    <w:p w14:paraId="2168B626" w14:textId="77777777" w:rsidR="00A93874" w:rsidRPr="00030BB0" w:rsidRDefault="00A93874" w:rsidP="00A93874">
      <w:pPr>
        <w:spacing w:before="240" w:after="240" w:line="240" w:lineRule="auto"/>
        <w:rPr>
          <w:rFonts w:cs="Arial"/>
          <w:b/>
          <w:lang w:val="it-IT"/>
        </w:rPr>
      </w:pPr>
      <w:r w:rsidRPr="00030BB0">
        <w:rPr>
          <w:rFonts w:cs="Arial"/>
          <w:b/>
          <w:lang w:val="it-IT"/>
        </w:rPr>
        <w:t>Obiettivo TAP</w:t>
      </w:r>
      <w:r w:rsidRPr="00030BB0">
        <w:rPr>
          <w:rFonts w:cs="Arial"/>
          <w:lang w:val="it-IT"/>
        </w:rPr>
        <w:t>: 3. Rafforzare la progettazione di tutti i sistemi di servizi pubblici e il supporto che forniscono alle persone con disabilità a rischio di danni.</w:t>
      </w:r>
    </w:p>
    <w:p w14:paraId="4920950A" w14:textId="77777777" w:rsidR="00A93874" w:rsidRPr="00030BB0" w:rsidRDefault="00A93874" w:rsidP="00A93874">
      <w:pPr>
        <w:spacing w:before="240" w:after="240" w:line="240" w:lineRule="auto"/>
        <w:rPr>
          <w:rFonts w:cs="Arial"/>
          <w:b/>
        </w:rPr>
      </w:pPr>
      <w:proofErr w:type="spellStart"/>
      <w:r w:rsidRPr="00030BB0">
        <w:rPr>
          <w:rFonts w:cs="Arial"/>
          <w:b/>
        </w:rPr>
        <w:t>Azione</w:t>
      </w:r>
      <w:proofErr w:type="spellEnd"/>
      <w:r w:rsidRPr="00030BB0">
        <w:rPr>
          <w:rFonts w:cs="Arial"/>
          <w:b/>
        </w:rPr>
        <w:t xml:space="preserve">: </w:t>
      </w:r>
      <w:r w:rsidRPr="00030BB0">
        <w:rPr>
          <w:rFonts w:cs="Arial"/>
        </w:rPr>
        <w:t xml:space="preserve">3.6 </w:t>
      </w:r>
      <w:proofErr w:type="spellStart"/>
      <w:proofErr w:type="gramStart"/>
      <w:r w:rsidRPr="00030BB0">
        <w:rPr>
          <w:rFonts w:cs="Arial"/>
        </w:rPr>
        <w:t>Programma</w:t>
      </w:r>
      <w:proofErr w:type="spellEnd"/>
      <w:proofErr w:type="gramEnd"/>
      <w:r w:rsidRPr="00030BB0">
        <w:rPr>
          <w:rFonts w:cs="Arial"/>
        </w:rPr>
        <w:t xml:space="preserve"> </w:t>
      </w:r>
      <w:proofErr w:type="spellStart"/>
      <w:r w:rsidRPr="00030BB0">
        <w:rPr>
          <w:rFonts w:cs="Arial"/>
        </w:rPr>
        <w:t>intermediario</w:t>
      </w:r>
      <w:proofErr w:type="spellEnd"/>
    </w:p>
    <w:p w14:paraId="0202742F" w14:textId="77777777" w:rsidR="00A93874" w:rsidRPr="00030BB0" w:rsidRDefault="00A93874" w:rsidP="00A93874">
      <w:pPr>
        <w:spacing w:before="240" w:after="240" w:line="240" w:lineRule="auto"/>
        <w:rPr>
          <w:rFonts w:cs="Arial"/>
          <w:b/>
          <w:lang w:val="it-IT"/>
        </w:rPr>
      </w:pPr>
      <w:r w:rsidRPr="00030BB0">
        <w:rPr>
          <w:rFonts w:cs="Arial"/>
          <w:b/>
          <w:lang w:val="it-IT"/>
        </w:rPr>
        <w:t>Indicatore</w:t>
      </w:r>
      <w:r w:rsidRPr="00030BB0">
        <w:rPr>
          <w:rFonts w:cs="Arial"/>
          <w:lang w:val="it-IT"/>
        </w:rPr>
        <w:t>: il Programma Intermediario continua a funzionare.</w:t>
      </w:r>
    </w:p>
    <w:p w14:paraId="332FD07E" w14:textId="77777777" w:rsidR="00A93874" w:rsidRPr="00030BB0" w:rsidRDefault="00A93874" w:rsidP="00A93874">
      <w:pPr>
        <w:spacing w:before="240" w:after="240" w:line="240" w:lineRule="auto"/>
        <w:rPr>
          <w:rFonts w:cs="Arial"/>
          <w:b/>
        </w:rPr>
      </w:pPr>
      <w:proofErr w:type="spellStart"/>
      <w:r w:rsidRPr="00030BB0">
        <w:rPr>
          <w:rFonts w:cs="Arial"/>
          <w:b/>
        </w:rPr>
        <w:t>Stato</w:t>
      </w:r>
      <w:proofErr w:type="spellEnd"/>
      <w:r w:rsidRPr="00030BB0">
        <w:rPr>
          <w:rFonts w:cs="Arial"/>
        </w:rPr>
        <w:t xml:space="preserve">: </w:t>
      </w:r>
      <w:proofErr w:type="spellStart"/>
      <w:r w:rsidRPr="00030BB0">
        <w:rPr>
          <w:rFonts w:cs="Arial"/>
        </w:rPr>
        <w:t>completato</w:t>
      </w:r>
      <w:proofErr w:type="spellEnd"/>
    </w:p>
    <w:p w14:paraId="4C5E4C10" w14:textId="77777777" w:rsidR="00A93874" w:rsidRPr="00030BB0" w:rsidRDefault="00A93874" w:rsidP="00A93874">
      <w:pPr>
        <w:spacing w:before="240" w:after="240" w:line="240" w:lineRule="auto"/>
        <w:rPr>
          <w:rFonts w:cs="Arial"/>
          <w:b/>
        </w:rPr>
      </w:pPr>
      <w:proofErr w:type="spellStart"/>
      <w:r w:rsidRPr="00030BB0">
        <w:rPr>
          <w:rFonts w:cs="Arial"/>
          <w:b/>
        </w:rPr>
        <w:t>Descrizione</w:t>
      </w:r>
      <w:proofErr w:type="spellEnd"/>
      <w:r w:rsidRPr="00030BB0">
        <w:rPr>
          <w:rFonts w:cs="Arial"/>
        </w:rPr>
        <w:t>:</w:t>
      </w:r>
      <w:r w:rsidRPr="00030BB0">
        <w:rPr>
          <w:rFonts w:cs="Arial"/>
        </w:rPr>
        <w:tab/>
      </w:r>
    </w:p>
    <w:p w14:paraId="5898EDEF" w14:textId="77777777" w:rsidR="00A93874" w:rsidRPr="00030BB0" w:rsidRDefault="00A93874" w:rsidP="00A93874">
      <w:pPr>
        <w:spacing w:before="240" w:after="240" w:line="240" w:lineRule="auto"/>
        <w:rPr>
          <w:rFonts w:cs="Arial"/>
          <w:lang w:val="it-IT"/>
        </w:rPr>
      </w:pPr>
      <w:r w:rsidRPr="00030BB0">
        <w:rPr>
          <w:rFonts w:cs="Arial"/>
          <w:lang w:val="it-IT"/>
        </w:rPr>
        <w:t>Il programma intermediario ACT continua a fornire intermediari durante i colloqui di polizia, le questioni giudiziarie e gli impegni con professionisti legali in tutto l'ACT. Al 14 giugno 2023, il Programma intermediario ACT ha ricevuto 787 deferimenti da parte della polizia ACT, 129 richieste da tribunali ACT (corte suprema e pretura) e 14 richieste da parte di professionisti legali, principalmente assistenza legale.</w:t>
      </w:r>
    </w:p>
    <w:p w14:paraId="7DECC7C8" w14:textId="77777777" w:rsidR="00A93874" w:rsidRPr="00030BB0" w:rsidRDefault="00A93874" w:rsidP="00A93874">
      <w:pPr>
        <w:spacing w:before="240" w:after="240" w:line="240" w:lineRule="auto"/>
        <w:rPr>
          <w:rFonts w:cs="Arial"/>
          <w:lang w:val="it-IT"/>
        </w:rPr>
      </w:pPr>
      <w:r w:rsidRPr="00030BB0">
        <w:rPr>
          <w:rFonts w:cs="Arial"/>
          <w:lang w:val="it-IT"/>
        </w:rPr>
        <w:t>Circa il 57% di tutte le segnalazioni ricevute dal Programma hanno coinvolto un testimone con ulteriori difficoltà di comunicazione oltre all'età. Queste includono problemi come difficoltà di apprendimento, disturbi dello spettro autistico, disturbi cognitivi, ritardi nel linguaggio, disabilità fisiche, problemi di salute mentale e traumi.</w:t>
      </w:r>
    </w:p>
    <w:p w14:paraId="7FB93B50" w14:textId="77777777" w:rsidR="00A93874" w:rsidRPr="00030BB0" w:rsidRDefault="00A93874" w:rsidP="00A93874">
      <w:pPr>
        <w:spacing w:before="240" w:after="240" w:line="240" w:lineRule="auto"/>
        <w:rPr>
          <w:rFonts w:cs="Arial"/>
          <w:lang w:val="it-IT"/>
        </w:rPr>
      </w:pPr>
      <w:r w:rsidRPr="00030BB0">
        <w:rPr>
          <w:rFonts w:cs="Arial"/>
          <w:lang w:val="it-IT"/>
        </w:rPr>
        <w:t>Effettuando una valutazione della comunicazione, gli intermediari con competenze pertinenti forniscono raccomandazioni personalizzate alla polizia, ai tribunali e ai professionisti legali sulle migliori strategie di coinvolgimento e sulla successiva fornitura delle migliori prove.</w:t>
      </w:r>
    </w:p>
    <w:p w14:paraId="6A13252A" w14:textId="00256F6B" w:rsidR="00A93874" w:rsidRPr="0038135C" w:rsidRDefault="00A93874" w:rsidP="00A93874">
      <w:pPr>
        <w:spacing w:before="240" w:after="240" w:line="240" w:lineRule="auto"/>
        <w:rPr>
          <w:rFonts w:cs="Arial"/>
        </w:rPr>
      </w:pPr>
      <w:r w:rsidRPr="00030BB0">
        <w:rPr>
          <w:rFonts w:cs="Arial"/>
          <w:lang w:val="it-IT"/>
        </w:rPr>
        <w:t>Il Programma ha continuato a far corrispondere tutte le segnalazioni ricevute (100%) a un intermediario adeguatamente qualificato.</w:t>
      </w:r>
    </w:p>
    <w:p w14:paraId="0DC759C2" w14:textId="6E6386AC" w:rsidR="00D1030A" w:rsidRDefault="00D1030A" w:rsidP="00A93874">
      <w:pPr>
        <w:spacing w:before="240" w:after="240" w:line="240" w:lineRule="auto"/>
        <w:rPr>
          <w:rFonts w:asciiTheme="minorHAnsi" w:hAnsiTheme="minorHAnsi" w:cstheme="minorHAnsi"/>
        </w:rPr>
      </w:pPr>
      <w:r>
        <w:rPr>
          <w:rFonts w:asciiTheme="minorHAnsi" w:hAnsiTheme="minorHAnsi" w:cstheme="minorHAnsi"/>
        </w:rPr>
        <w:br w:type="page"/>
      </w:r>
    </w:p>
    <w:p w14:paraId="5F4AC7CF" w14:textId="1B650447" w:rsidR="00D1030A" w:rsidRPr="0038135C" w:rsidRDefault="00B67DD9" w:rsidP="00515A1C">
      <w:pPr>
        <w:pStyle w:val="Heading2"/>
      </w:pPr>
      <w:bookmarkStart w:id="40" w:name="_Toc153298599"/>
      <w:r w:rsidRPr="00030BB0">
        <w:rPr>
          <w:rFonts w:cs="Arial"/>
          <w:lang w:val="it-IT"/>
        </w:rPr>
        <w:lastRenderedPageBreak/>
        <w:t>Programma di riduzione del rischio di catastrofi inclusivo per la disabilità</w:t>
      </w:r>
      <w:bookmarkEnd w:id="40"/>
    </w:p>
    <w:p w14:paraId="0D62BCB4" w14:textId="77777777" w:rsidR="00B67DD9" w:rsidRPr="00030BB0" w:rsidRDefault="00B67DD9" w:rsidP="00B67DD9">
      <w:pPr>
        <w:spacing w:before="240" w:after="240" w:line="240" w:lineRule="auto"/>
        <w:rPr>
          <w:rFonts w:cs="Arial"/>
          <w:b/>
          <w:lang w:val="it-IT"/>
        </w:rPr>
      </w:pPr>
      <w:r w:rsidRPr="00030BB0">
        <w:rPr>
          <w:rFonts w:cs="Arial"/>
          <w:b/>
          <w:lang w:val="it-IT"/>
        </w:rPr>
        <w:t xml:space="preserve">Giurisdizione: </w:t>
      </w:r>
      <w:r w:rsidRPr="00030BB0">
        <w:rPr>
          <w:rFonts w:cs="Arial"/>
          <w:lang w:val="it-IT"/>
        </w:rPr>
        <w:t>Agenzia nazionale per la gestione delle emergenze del governo australiano</w:t>
      </w:r>
    </w:p>
    <w:p w14:paraId="1FEDEBD5" w14:textId="77777777" w:rsidR="00B67DD9" w:rsidRPr="00030BB0" w:rsidRDefault="00B67DD9" w:rsidP="00B67DD9">
      <w:pPr>
        <w:spacing w:before="240" w:after="240" w:line="240" w:lineRule="auto"/>
        <w:rPr>
          <w:rFonts w:cs="Arial"/>
          <w:b/>
        </w:rPr>
      </w:pPr>
      <w:r w:rsidRPr="00030BB0">
        <w:rPr>
          <w:rFonts w:cs="Arial"/>
          <w:b/>
        </w:rPr>
        <w:t xml:space="preserve">TAP: </w:t>
      </w:r>
      <w:proofErr w:type="spellStart"/>
      <w:r w:rsidRPr="00030BB0">
        <w:rPr>
          <w:rFonts w:cs="Arial"/>
        </w:rPr>
        <w:t>Gestione</w:t>
      </w:r>
      <w:proofErr w:type="spellEnd"/>
      <w:r w:rsidRPr="00030BB0">
        <w:rPr>
          <w:rFonts w:cs="Arial"/>
        </w:rPr>
        <w:t xml:space="preserve"> </w:t>
      </w:r>
      <w:proofErr w:type="spellStart"/>
      <w:r w:rsidRPr="00030BB0">
        <w:rPr>
          <w:rFonts w:cs="Arial"/>
        </w:rPr>
        <w:t>delle</w:t>
      </w:r>
      <w:proofErr w:type="spellEnd"/>
      <w:r w:rsidRPr="00030BB0">
        <w:rPr>
          <w:rFonts w:cs="Arial"/>
        </w:rPr>
        <w:t xml:space="preserve"> </w:t>
      </w:r>
      <w:proofErr w:type="spellStart"/>
      <w:r w:rsidRPr="00030BB0">
        <w:rPr>
          <w:rFonts w:cs="Arial"/>
        </w:rPr>
        <w:t>emergenze</w:t>
      </w:r>
      <w:proofErr w:type="spellEnd"/>
    </w:p>
    <w:p w14:paraId="057D04D4" w14:textId="77777777" w:rsidR="00B67DD9" w:rsidRPr="00030BB0" w:rsidRDefault="00B67DD9" w:rsidP="00B67DD9">
      <w:pPr>
        <w:spacing w:before="240" w:after="240" w:line="240" w:lineRule="auto"/>
        <w:rPr>
          <w:rFonts w:cs="Arial"/>
          <w:b/>
          <w:lang w:val="it-IT"/>
        </w:rPr>
      </w:pPr>
      <w:r w:rsidRPr="00030BB0">
        <w:rPr>
          <w:rFonts w:cs="Arial"/>
          <w:b/>
          <w:lang w:val="it-IT"/>
        </w:rPr>
        <w:t xml:space="preserve">Obiettivo TAP: </w:t>
      </w:r>
      <w:r w:rsidRPr="00030BB0">
        <w:rPr>
          <w:rFonts w:cs="Arial"/>
          <w:lang w:val="it-IT"/>
        </w:rPr>
        <w:t>2. Garantire che i processi inclusivi di gestione delle emergenze/disastri e di preparazione e pianificazione del ripristino sostengano la salute e il benessere delle persone con disabilità prima, durante e dopo le emergenze.</w:t>
      </w:r>
    </w:p>
    <w:p w14:paraId="282EE034" w14:textId="77777777" w:rsidR="00B67DD9" w:rsidRPr="00030BB0" w:rsidRDefault="00B67DD9" w:rsidP="00B67DD9">
      <w:pPr>
        <w:spacing w:before="240" w:after="240" w:line="240" w:lineRule="auto"/>
        <w:rPr>
          <w:rFonts w:cs="Arial"/>
          <w:b/>
          <w:lang w:val="it-IT"/>
        </w:rPr>
      </w:pPr>
      <w:r w:rsidRPr="00030BB0">
        <w:rPr>
          <w:rFonts w:cs="Arial"/>
          <w:b/>
          <w:lang w:val="it-IT"/>
        </w:rPr>
        <w:t xml:space="preserve">Azione: </w:t>
      </w:r>
      <w:r w:rsidRPr="00030BB0">
        <w:rPr>
          <w:rFonts w:cs="Arial"/>
          <w:lang w:val="it-IT"/>
        </w:rPr>
        <w:t>2.5 L'Agenzia nazionale per la gestione delle emergenze che incorpora la precedente Agenzia nazionale per il recupero e la resilienza incorporerà la rendicontazione sulle carenze di risorse e sui bisogni insoddisfatti delle persone con disabilità nelle iniziative di recupero e riduzione del rischio attraverso i processi aziendali esistenti dell'Agenzia.</w:t>
      </w:r>
    </w:p>
    <w:p w14:paraId="295C04A8" w14:textId="77777777" w:rsidR="00B67DD9" w:rsidRPr="00030BB0" w:rsidRDefault="00B67DD9" w:rsidP="00B67DD9">
      <w:pPr>
        <w:spacing w:before="240" w:after="240" w:line="240" w:lineRule="auto"/>
        <w:rPr>
          <w:rFonts w:cs="Arial"/>
          <w:b/>
          <w:lang w:val="it-IT"/>
        </w:rPr>
      </w:pPr>
      <w:r w:rsidRPr="00030BB0">
        <w:rPr>
          <w:rFonts w:cs="Arial"/>
          <w:b/>
          <w:lang w:val="it-IT"/>
        </w:rPr>
        <w:t xml:space="preserve">Indicatore: </w:t>
      </w:r>
      <w:r w:rsidRPr="00030BB0">
        <w:rPr>
          <w:rFonts w:cs="Arial"/>
          <w:lang w:val="it-IT"/>
        </w:rPr>
        <w:t>le carenze di risorse e i bisogni insoddisfatti delle persone con disabilità nelle iniziative di recupero e riduzione del rischio vengono segnalati alle aree di business pertinenti dell’Agenzia nazionale per la gestione delle emergenze (che incorpora l’ex Agenzia nazionale per il recupero e la resilienza).</w:t>
      </w:r>
    </w:p>
    <w:p w14:paraId="4A2B6BBC" w14:textId="77777777" w:rsidR="00B67DD9" w:rsidRPr="00030BB0" w:rsidRDefault="00B67DD9" w:rsidP="00B67DD9">
      <w:pPr>
        <w:spacing w:before="240" w:after="240" w:line="240" w:lineRule="auto"/>
        <w:rPr>
          <w:rFonts w:cs="Arial"/>
          <w:b/>
        </w:rPr>
      </w:pPr>
      <w:proofErr w:type="spellStart"/>
      <w:r w:rsidRPr="00030BB0">
        <w:rPr>
          <w:rFonts w:cs="Arial"/>
          <w:b/>
        </w:rPr>
        <w:t>Stato</w:t>
      </w:r>
      <w:proofErr w:type="spellEnd"/>
      <w:r w:rsidRPr="00030BB0">
        <w:rPr>
          <w:rFonts w:cs="Arial"/>
          <w:b/>
        </w:rPr>
        <w:t xml:space="preserve">: </w:t>
      </w:r>
      <w:r w:rsidRPr="00030BB0">
        <w:rPr>
          <w:rFonts w:cs="Arial"/>
        </w:rPr>
        <w:t xml:space="preserve">in </w:t>
      </w:r>
      <w:proofErr w:type="spellStart"/>
      <w:r w:rsidRPr="00030BB0">
        <w:rPr>
          <w:rFonts w:cs="Arial"/>
        </w:rPr>
        <w:t>corso</w:t>
      </w:r>
      <w:proofErr w:type="spellEnd"/>
    </w:p>
    <w:p w14:paraId="7ED0E8CE" w14:textId="77777777" w:rsidR="00B67DD9" w:rsidRPr="00030BB0" w:rsidRDefault="00B67DD9" w:rsidP="00B67DD9">
      <w:pPr>
        <w:spacing w:before="240" w:after="240" w:line="240" w:lineRule="auto"/>
        <w:rPr>
          <w:rFonts w:cs="Arial"/>
          <w:b/>
        </w:rPr>
      </w:pPr>
      <w:proofErr w:type="spellStart"/>
      <w:r w:rsidRPr="00030BB0">
        <w:rPr>
          <w:rFonts w:cs="Arial"/>
          <w:b/>
        </w:rPr>
        <w:t>Descrizione</w:t>
      </w:r>
      <w:proofErr w:type="spellEnd"/>
      <w:r w:rsidRPr="00030BB0">
        <w:rPr>
          <w:rFonts w:cs="Arial"/>
          <w:b/>
        </w:rPr>
        <w:t>:</w:t>
      </w:r>
    </w:p>
    <w:p w14:paraId="2F801B0D" w14:textId="77777777" w:rsidR="00B67DD9" w:rsidRPr="00030BB0" w:rsidRDefault="00B67DD9" w:rsidP="00B67DD9">
      <w:pPr>
        <w:spacing w:before="240" w:after="240" w:line="240" w:lineRule="auto"/>
        <w:rPr>
          <w:rFonts w:cs="Arial"/>
          <w:lang w:val="it-IT"/>
        </w:rPr>
      </w:pPr>
      <w:r w:rsidRPr="00030BB0">
        <w:rPr>
          <w:rFonts w:cs="Arial"/>
          <w:lang w:val="it-IT"/>
        </w:rPr>
        <w:t>È ora completa la Tranche 1 del programma Disability Inclusive Disaster Risk Reduction, che era uno studio di scoping nazionale intrapreso dal Centro per la ricerca sulla disabilità dell'Università di Sydney.</w:t>
      </w:r>
    </w:p>
    <w:p w14:paraId="609A9112" w14:textId="77777777" w:rsidR="00B67DD9" w:rsidRPr="00030BB0" w:rsidRDefault="00B67DD9" w:rsidP="00B67DD9">
      <w:pPr>
        <w:spacing w:before="240" w:after="240" w:line="240" w:lineRule="auto"/>
        <w:rPr>
          <w:rFonts w:cs="Arial"/>
          <w:lang w:val="it-IT"/>
        </w:rPr>
      </w:pPr>
      <w:r w:rsidRPr="00030BB0">
        <w:rPr>
          <w:rFonts w:cs="Arial"/>
          <w:lang w:val="it-IT"/>
        </w:rPr>
        <w:t>Lo studio esplorativo  è un’analisi completa dell’attuale inclusività dei piani di gestione delle emergenze a livello nazionale. Ciò fornisce una base di riferimento per valutare quanto siamo coerenti in tutto il Paese riguardo la  DRR inclusiva per la disabilità.</w:t>
      </w:r>
    </w:p>
    <w:p w14:paraId="24BC4718" w14:textId="77777777" w:rsidR="00B67DD9" w:rsidRPr="00030BB0" w:rsidRDefault="00B67DD9" w:rsidP="00B67DD9">
      <w:pPr>
        <w:spacing w:before="240" w:after="240" w:line="240" w:lineRule="auto"/>
        <w:rPr>
          <w:rFonts w:cs="Arial"/>
          <w:lang w:val="it-IT"/>
        </w:rPr>
      </w:pPr>
      <w:r w:rsidRPr="00030BB0">
        <w:rPr>
          <w:rFonts w:cs="Arial"/>
          <w:lang w:val="it-IT"/>
        </w:rPr>
        <w:t>Lo studio include un’analisi della ricerca peer-reviewed del DIDRR che ha prodotto “Gap Maps” sia di prove che di risorse, un’esplorazione della rappresentazione della disabilità negli accordi di gestione delle emergenze e l’identificazione di “buone pratiche” nel DIDRR oggi.</w:t>
      </w:r>
    </w:p>
    <w:p w14:paraId="6600183E" w14:textId="77777777" w:rsidR="00B67DD9" w:rsidRPr="00030BB0" w:rsidRDefault="00B67DD9" w:rsidP="00B67DD9">
      <w:pPr>
        <w:spacing w:before="240" w:after="240" w:line="240" w:lineRule="auto"/>
        <w:rPr>
          <w:rFonts w:cs="Arial"/>
          <w:lang w:val="it-IT"/>
        </w:rPr>
      </w:pPr>
      <w:r w:rsidRPr="00030BB0">
        <w:rPr>
          <w:rFonts w:cs="Arial"/>
          <w:lang w:val="it-IT"/>
        </w:rPr>
        <w:t>Lo Studio individua tre aree prioritarie di intervento:</w:t>
      </w:r>
    </w:p>
    <w:p w14:paraId="2CAEE907" w14:textId="77777777" w:rsidR="00B67DD9" w:rsidRPr="00030BB0" w:rsidRDefault="00B67DD9" w:rsidP="00B67DD9">
      <w:pPr>
        <w:pStyle w:val="ListParagraph"/>
        <w:numPr>
          <w:ilvl w:val="0"/>
          <w:numId w:val="22"/>
        </w:numPr>
        <w:spacing w:after="120" w:line="240" w:lineRule="auto"/>
        <w:contextualSpacing w:val="0"/>
        <w:rPr>
          <w:rFonts w:cs="Arial"/>
          <w:lang w:val="it-IT"/>
        </w:rPr>
      </w:pPr>
      <w:r w:rsidRPr="00030BB0">
        <w:rPr>
          <w:rFonts w:cs="Arial"/>
          <w:lang w:val="it-IT"/>
        </w:rPr>
        <w:t>Piani inclusivi, che individuano servizi e risorse che possono essere mobilitati per le persone con disabilità in situazioni di emergenza;</w:t>
      </w:r>
    </w:p>
    <w:p w14:paraId="4D2E779A" w14:textId="77777777" w:rsidR="00B67DD9" w:rsidRPr="00030BB0" w:rsidRDefault="00B67DD9" w:rsidP="00B67DD9">
      <w:pPr>
        <w:pStyle w:val="ListParagraph"/>
        <w:numPr>
          <w:ilvl w:val="0"/>
          <w:numId w:val="22"/>
        </w:numPr>
        <w:spacing w:after="120" w:line="240" w:lineRule="auto"/>
        <w:contextualSpacing w:val="0"/>
        <w:rPr>
          <w:rFonts w:cs="Arial"/>
          <w:lang w:val="it-IT"/>
        </w:rPr>
      </w:pPr>
      <w:r w:rsidRPr="00030BB0">
        <w:rPr>
          <w:rFonts w:cs="Arial"/>
          <w:lang w:val="it-IT"/>
        </w:rPr>
        <w:t>Informazioni inclusive e accessibili a tutti; i processi e gli strumenti di comunicazione devono essere rivisti in collaborazione con le persone con disabilità;</w:t>
      </w:r>
    </w:p>
    <w:p w14:paraId="0AAF226B" w14:textId="77777777" w:rsidR="00B67DD9" w:rsidRPr="00030BB0" w:rsidRDefault="00B67DD9" w:rsidP="00B67DD9">
      <w:pPr>
        <w:pStyle w:val="ListParagraph"/>
        <w:numPr>
          <w:ilvl w:val="0"/>
          <w:numId w:val="22"/>
        </w:numPr>
        <w:spacing w:after="120" w:line="240" w:lineRule="auto"/>
        <w:contextualSpacing w:val="0"/>
        <w:rPr>
          <w:rFonts w:cs="Arial"/>
          <w:lang w:val="it-IT"/>
        </w:rPr>
      </w:pPr>
      <w:r w:rsidRPr="00030BB0">
        <w:rPr>
          <w:rFonts w:cs="Arial"/>
          <w:lang w:val="it-IT"/>
        </w:rPr>
        <w:t>Pratiche inclusive che promuovono opportunità per personalizzare il supporto e la collaborazione tra settori e ridurre le barriere per le persone con disabilità.</w:t>
      </w:r>
    </w:p>
    <w:p w14:paraId="5ABFDBDE" w14:textId="7BC823AE" w:rsidR="00B67DD9" w:rsidRPr="0038135C" w:rsidRDefault="00B67DD9" w:rsidP="00B67DD9">
      <w:pPr>
        <w:spacing w:before="240" w:after="240" w:line="240" w:lineRule="auto"/>
        <w:rPr>
          <w:rFonts w:cs="Arial"/>
          <w:b/>
        </w:rPr>
      </w:pPr>
      <w:r w:rsidRPr="00030BB0">
        <w:rPr>
          <w:rFonts w:cs="Arial"/>
          <w:lang w:val="it-IT"/>
        </w:rPr>
        <w:t>Questo studio informerà la prossima tranche di lavoro nell'ambito del programma DIDRR, che NEMA auspica di portare avanti nel prossimo futuro.</w:t>
      </w:r>
    </w:p>
    <w:p w14:paraId="50B2BAE9" w14:textId="77777777" w:rsidR="001F7ED0" w:rsidRDefault="001F7ED0" w:rsidP="00760AE8">
      <w:pPr>
        <w:spacing w:before="240" w:after="240"/>
      </w:pPr>
      <w:r>
        <w:br w:type="page"/>
      </w:r>
    </w:p>
    <w:p w14:paraId="3C55E03B" w14:textId="3368720F" w:rsidR="00B875C3" w:rsidRDefault="001E60DF" w:rsidP="00515A1C">
      <w:pPr>
        <w:pStyle w:val="Heading2"/>
      </w:pPr>
      <w:bookmarkStart w:id="41" w:name="_Toc153298600"/>
      <w:r w:rsidRPr="00030BB0">
        <w:rPr>
          <w:rFonts w:cs="Arial"/>
          <w:lang w:val="it-IT"/>
        </w:rPr>
        <w:lastRenderedPageBreak/>
        <w:t>Panoramica dei progressi dal 3 dicembre 2021</w:t>
      </w:r>
      <w:bookmarkEnd w:id="41"/>
    </w:p>
    <w:p w14:paraId="770D251B" w14:textId="77777777" w:rsidR="001E60DF" w:rsidRPr="00030BB0" w:rsidRDefault="001E60DF" w:rsidP="001E60DF">
      <w:pPr>
        <w:spacing w:before="240" w:after="240" w:line="240" w:lineRule="auto"/>
        <w:rPr>
          <w:rFonts w:cs="Arial"/>
          <w:lang w:val="it-IT"/>
        </w:rPr>
      </w:pPr>
      <w:r w:rsidRPr="00030BB0">
        <w:rPr>
          <w:rFonts w:cs="Arial"/>
          <w:lang w:val="it-IT"/>
        </w:rPr>
        <w:t>Dall’inaugurazione dell’ADS si sono registrati progressi complessivamente positivi verso l’attuazione delle azioni. La maggior parte delle giurisdizioni ha aumentato il numero di azioni completate nel periodo 2022-2023 rispetto al periodo di riferimento 2021-2022.</w:t>
      </w:r>
    </w:p>
    <w:p w14:paraId="57E13DCF" w14:textId="4E558720" w:rsidR="001E60DF" w:rsidRPr="00B875C3" w:rsidRDefault="001E60DF" w:rsidP="001E60DF">
      <w:pPr>
        <w:spacing w:before="240" w:after="240" w:line="240" w:lineRule="auto"/>
      </w:pPr>
      <w:r w:rsidRPr="00030BB0">
        <w:rPr>
          <w:rFonts w:cs="Arial"/>
          <w:lang w:val="it-IT"/>
        </w:rPr>
        <w:t>I progressi complessivi compiuti su tutti i 417 TAP mostrano che:</w:t>
      </w:r>
    </w:p>
    <w:p w14:paraId="64F77A87" w14:textId="05F1F164" w:rsidR="00B875C3" w:rsidRPr="00B875C3" w:rsidRDefault="001E60DF" w:rsidP="00B67DD9">
      <w:pPr>
        <w:pStyle w:val="ListParagraph"/>
        <w:numPr>
          <w:ilvl w:val="0"/>
          <w:numId w:val="19"/>
        </w:numPr>
        <w:spacing w:before="120" w:after="0" w:line="240" w:lineRule="auto"/>
        <w:contextualSpacing w:val="0"/>
      </w:pPr>
      <w:r w:rsidRPr="00030BB0">
        <w:rPr>
          <w:rFonts w:cs="Arial"/>
          <w:b/>
          <w:lang w:val="it-IT"/>
        </w:rPr>
        <w:t xml:space="preserve">353 (85%) </w:t>
      </w:r>
      <w:r w:rsidRPr="00030BB0">
        <w:rPr>
          <w:rFonts w:cs="Arial"/>
          <w:lang w:val="it-IT"/>
        </w:rPr>
        <w:t>azioni risultano completate o in corso, con:</w:t>
      </w:r>
    </w:p>
    <w:p w14:paraId="05247AD1" w14:textId="54247EF0" w:rsidR="00B875C3" w:rsidRPr="00B875C3" w:rsidRDefault="001E60DF" w:rsidP="00B67DD9">
      <w:pPr>
        <w:pStyle w:val="ListParagraph"/>
        <w:numPr>
          <w:ilvl w:val="1"/>
          <w:numId w:val="20"/>
        </w:numPr>
        <w:spacing w:before="120" w:after="0" w:line="240" w:lineRule="auto"/>
        <w:ind w:left="720"/>
        <w:contextualSpacing w:val="0"/>
      </w:pPr>
      <w:r w:rsidRPr="00030BB0">
        <w:rPr>
          <w:rFonts w:cs="Arial"/>
          <w:b/>
        </w:rPr>
        <w:t>144</w:t>
      </w:r>
      <w:r w:rsidRPr="00030BB0">
        <w:rPr>
          <w:rFonts w:cs="Arial"/>
        </w:rPr>
        <w:t xml:space="preserve"> </w:t>
      </w:r>
      <w:r w:rsidRPr="00030BB0">
        <w:rPr>
          <w:rFonts w:cs="Arial"/>
          <w:b/>
        </w:rPr>
        <w:t xml:space="preserve">(35%) </w:t>
      </w:r>
      <w:proofErr w:type="spellStart"/>
      <w:r w:rsidRPr="00030BB0">
        <w:rPr>
          <w:rFonts w:cs="Arial"/>
        </w:rPr>
        <w:t>azioni</w:t>
      </w:r>
      <w:proofErr w:type="spellEnd"/>
      <w:r w:rsidRPr="00030BB0">
        <w:rPr>
          <w:rFonts w:cs="Arial"/>
        </w:rPr>
        <w:t xml:space="preserve"> </w:t>
      </w:r>
      <w:proofErr w:type="spellStart"/>
      <w:r w:rsidRPr="00030BB0">
        <w:rPr>
          <w:rFonts w:cs="Arial"/>
        </w:rPr>
        <w:t>completate</w:t>
      </w:r>
      <w:proofErr w:type="spellEnd"/>
      <w:r w:rsidRPr="00030BB0">
        <w:rPr>
          <w:rFonts w:cs="Arial"/>
        </w:rPr>
        <w:t xml:space="preserve"> e</w:t>
      </w:r>
    </w:p>
    <w:p w14:paraId="63885B5F" w14:textId="7AAE824B" w:rsidR="00B875C3" w:rsidRPr="00B875C3" w:rsidRDefault="001E60DF" w:rsidP="00B67DD9">
      <w:pPr>
        <w:pStyle w:val="ListParagraph"/>
        <w:numPr>
          <w:ilvl w:val="1"/>
          <w:numId w:val="20"/>
        </w:numPr>
        <w:spacing w:before="120" w:after="0" w:line="240" w:lineRule="auto"/>
        <w:ind w:left="720"/>
        <w:contextualSpacing w:val="0"/>
      </w:pPr>
      <w:r w:rsidRPr="00030BB0">
        <w:rPr>
          <w:rFonts w:cs="Arial"/>
          <w:b/>
        </w:rPr>
        <w:t>209</w:t>
      </w:r>
      <w:r w:rsidRPr="00030BB0">
        <w:rPr>
          <w:rFonts w:cs="Arial"/>
        </w:rPr>
        <w:t xml:space="preserve"> </w:t>
      </w:r>
      <w:r w:rsidRPr="00030BB0">
        <w:rPr>
          <w:rFonts w:cs="Arial"/>
          <w:b/>
        </w:rPr>
        <w:t xml:space="preserve">(50%) </w:t>
      </w:r>
      <w:proofErr w:type="spellStart"/>
      <w:r w:rsidRPr="00030BB0">
        <w:rPr>
          <w:rFonts w:cs="Arial"/>
        </w:rPr>
        <w:t>azioni</w:t>
      </w:r>
      <w:proofErr w:type="spellEnd"/>
      <w:r w:rsidRPr="00030BB0">
        <w:rPr>
          <w:rFonts w:cs="Arial"/>
        </w:rPr>
        <w:t xml:space="preserve"> in </w:t>
      </w:r>
      <w:proofErr w:type="spellStart"/>
      <w:r w:rsidRPr="00030BB0">
        <w:rPr>
          <w:rFonts w:cs="Arial"/>
        </w:rPr>
        <w:t>Corso</w:t>
      </w:r>
      <w:proofErr w:type="spellEnd"/>
      <w:r w:rsidR="00B875C3" w:rsidRPr="00B875C3">
        <w:t xml:space="preserve">  </w:t>
      </w:r>
    </w:p>
    <w:p w14:paraId="0126353D" w14:textId="01B33A9A" w:rsidR="00B875C3" w:rsidRPr="00B875C3" w:rsidRDefault="001E60DF" w:rsidP="00B67DD9">
      <w:pPr>
        <w:pStyle w:val="ListParagraph"/>
        <w:numPr>
          <w:ilvl w:val="0"/>
          <w:numId w:val="19"/>
        </w:numPr>
        <w:spacing w:before="120" w:after="0" w:line="240" w:lineRule="auto"/>
        <w:contextualSpacing w:val="0"/>
      </w:pPr>
      <w:r w:rsidRPr="00030BB0">
        <w:rPr>
          <w:rFonts w:cs="Arial"/>
          <w:b/>
          <w:lang w:val="it-IT"/>
        </w:rPr>
        <w:t xml:space="preserve">63 azioni (15%) </w:t>
      </w:r>
      <w:r w:rsidRPr="00030BB0">
        <w:rPr>
          <w:rFonts w:cs="Arial"/>
          <w:lang w:val="it-IT"/>
        </w:rPr>
        <w:t>hanno subito ritardi, sono state messe in pausa o avranno inizio in futuro.</w:t>
      </w:r>
    </w:p>
    <w:p w14:paraId="58D1035C" w14:textId="49798FBE" w:rsidR="00B875C3" w:rsidRPr="00F045B2" w:rsidRDefault="001E60DF" w:rsidP="00760AE8">
      <w:pPr>
        <w:spacing w:before="240" w:after="240"/>
        <w:rPr>
          <w:b/>
        </w:rPr>
      </w:pPr>
      <w:r w:rsidRPr="00030BB0">
        <w:rPr>
          <w:rFonts w:cs="Arial"/>
          <w:b/>
          <w:lang w:val="it-IT"/>
        </w:rPr>
        <w:t>Tabella 13: Stato di progresso dei TAP di tutte le azioni per governo e stato per il periodo 2021-2023</w:t>
      </w:r>
    </w:p>
    <w:tbl>
      <w:tblPr>
        <w:tblStyle w:val="TableGrid"/>
        <w:tblW w:w="5000" w:type="pct"/>
        <w:tblCellMar>
          <w:top w:w="115" w:type="dxa"/>
          <w:bottom w:w="115" w:type="dxa"/>
        </w:tblCellMar>
        <w:tblLook w:val="04A0" w:firstRow="1" w:lastRow="0" w:firstColumn="1" w:lastColumn="0" w:noHBand="0" w:noVBand="1"/>
      </w:tblPr>
      <w:tblGrid>
        <w:gridCol w:w="1546"/>
        <w:gridCol w:w="1414"/>
        <w:gridCol w:w="1256"/>
        <w:gridCol w:w="1256"/>
        <w:gridCol w:w="1256"/>
        <w:gridCol w:w="1256"/>
        <w:gridCol w:w="1258"/>
      </w:tblGrid>
      <w:tr w:rsidR="00A648A5"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1140E329" w:rsidR="00A648A5" w:rsidRPr="00F045B2" w:rsidRDefault="00A648A5" w:rsidP="008E5982">
            <w:pPr>
              <w:rPr>
                <w:b/>
              </w:rPr>
            </w:pPr>
            <w:r w:rsidRPr="003848ED">
              <w:rPr>
                <w:rFonts w:eastAsia="Times New Roman" w:cs="Calibri"/>
                <w:b/>
                <w:bCs/>
                <w:color w:val="FFFFFF" w:themeColor="background1"/>
                <w:lang w:val="it" w:eastAsia="en-AU"/>
              </w:rPr>
              <w:t>Governo</w:t>
            </w:r>
          </w:p>
        </w:tc>
        <w:tc>
          <w:tcPr>
            <w:tcW w:w="750" w:type="pct"/>
            <w:tcBorders>
              <w:left w:val="single" w:sz="4" w:space="0" w:color="FFFFFF" w:themeColor="background1"/>
              <w:right w:val="single" w:sz="4" w:space="0" w:color="FFFFFF" w:themeColor="background1"/>
            </w:tcBorders>
            <w:shd w:val="clear" w:color="auto" w:fill="6C1740"/>
          </w:tcPr>
          <w:p w14:paraId="4BC5319F" w14:textId="116994B3" w:rsidR="00A648A5" w:rsidRPr="00F045B2" w:rsidRDefault="00A648A5" w:rsidP="00EF7D0A">
            <w:pPr>
              <w:jc w:val="center"/>
              <w:rPr>
                <w:b/>
              </w:rPr>
            </w:pPr>
            <w:r w:rsidRPr="003848ED">
              <w:rPr>
                <w:rFonts w:eastAsia="Times New Roman" w:cs="Calibri"/>
                <w:b/>
                <w:bCs/>
                <w:color w:val="FFFFFF" w:themeColor="background1"/>
                <w:lang w:val="it" w:eastAsia="en-AU"/>
              </w:rPr>
              <w:t>Completate</w:t>
            </w:r>
          </w:p>
        </w:tc>
        <w:tc>
          <w:tcPr>
            <w:tcW w:w="682" w:type="pct"/>
            <w:tcBorders>
              <w:left w:val="single" w:sz="4" w:space="0" w:color="FFFFFF" w:themeColor="background1"/>
              <w:right w:val="single" w:sz="4" w:space="0" w:color="FFFFFF" w:themeColor="background1"/>
            </w:tcBorders>
            <w:shd w:val="clear" w:color="auto" w:fill="6C1740"/>
          </w:tcPr>
          <w:p w14:paraId="670D6CA9" w14:textId="60BCD1B5" w:rsidR="00A648A5" w:rsidRPr="00F045B2" w:rsidRDefault="00A648A5" w:rsidP="008E5982">
            <w:pPr>
              <w:jc w:val="center"/>
              <w:rPr>
                <w:b/>
              </w:rPr>
            </w:pPr>
            <w:r w:rsidRPr="003848ED">
              <w:rPr>
                <w:rFonts w:eastAsia="Times New Roman" w:cs="Calibri"/>
                <w:b/>
                <w:bCs/>
                <w:color w:val="FFFFFF" w:themeColor="background1"/>
                <w:lang w:val="it" w:eastAsia="en-AU"/>
              </w:rPr>
              <w:t>In linea con i piani</w:t>
            </w:r>
          </w:p>
        </w:tc>
        <w:tc>
          <w:tcPr>
            <w:tcW w:w="682" w:type="pct"/>
            <w:tcBorders>
              <w:left w:val="single" w:sz="4" w:space="0" w:color="FFFFFF" w:themeColor="background1"/>
              <w:right w:val="single" w:sz="4" w:space="0" w:color="FFFFFF" w:themeColor="background1"/>
            </w:tcBorders>
            <w:shd w:val="clear" w:color="auto" w:fill="6C1740"/>
          </w:tcPr>
          <w:p w14:paraId="090E8FAD" w14:textId="33AE9A06" w:rsidR="00A648A5" w:rsidRPr="00F045B2" w:rsidRDefault="00A648A5" w:rsidP="008E5982">
            <w:pPr>
              <w:jc w:val="center"/>
              <w:rPr>
                <w:b/>
              </w:rPr>
            </w:pPr>
            <w:r w:rsidRPr="003848ED">
              <w:rPr>
                <w:rFonts w:eastAsia="Times New Roman" w:cs="Calibri"/>
                <w:b/>
                <w:bCs/>
                <w:color w:val="FFFFFF" w:themeColor="background1"/>
                <w:lang w:val="it" w:eastAsia="en-AU"/>
              </w:rPr>
              <w:t>Alcuni ritardi</w:t>
            </w:r>
          </w:p>
        </w:tc>
        <w:tc>
          <w:tcPr>
            <w:tcW w:w="682" w:type="pct"/>
            <w:tcBorders>
              <w:left w:val="single" w:sz="4" w:space="0" w:color="FFFFFF" w:themeColor="background1"/>
              <w:right w:val="single" w:sz="4" w:space="0" w:color="FFFFFF" w:themeColor="background1"/>
            </w:tcBorders>
            <w:shd w:val="clear" w:color="auto" w:fill="6C1740"/>
          </w:tcPr>
          <w:p w14:paraId="0EAA9221" w14:textId="5BBCB6D5" w:rsidR="00A648A5" w:rsidRPr="00F045B2" w:rsidRDefault="00A648A5" w:rsidP="008E5982">
            <w:pPr>
              <w:jc w:val="center"/>
              <w:rPr>
                <w:b/>
              </w:rPr>
            </w:pPr>
            <w:r w:rsidRPr="003848ED">
              <w:rPr>
                <w:rFonts w:eastAsia="Times New Roman" w:cs="Calibri"/>
                <w:b/>
                <w:bCs/>
                <w:color w:val="FFFFFF" w:themeColor="background1"/>
                <w:lang w:val="it" w:eastAsia="en-AU"/>
              </w:rPr>
              <w:t>In pausa</w:t>
            </w:r>
          </w:p>
        </w:tc>
        <w:tc>
          <w:tcPr>
            <w:tcW w:w="682" w:type="pct"/>
            <w:tcBorders>
              <w:left w:val="single" w:sz="4" w:space="0" w:color="FFFFFF" w:themeColor="background1"/>
              <w:right w:val="single" w:sz="4" w:space="0" w:color="FFFFFF" w:themeColor="background1"/>
            </w:tcBorders>
            <w:shd w:val="clear" w:color="auto" w:fill="6C1740"/>
          </w:tcPr>
          <w:p w14:paraId="40B4AAE5" w14:textId="43D1E4FF" w:rsidR="00A648A5" w:rsidRPr="00F045B2" w:rsidRDefault="00A648A5" w:rsidP="008E5982">
            <w:pPr>
              <w:jc w:val="center"/>
              <w:rPr>
                <w:b/>
              </w:rPr>
            </w:pPr>
            <w:r w:rsidRPr="003848ED">
              <w:rPr>
                <w:rFonts w:eastAsia="Times New Roman" w:cs="Calibri"/>
                <w:b/>
                <w:bCs/>
                <w:color w:val="FFFFFF" w:themeColor="background1"/>
                <w:lang w:val="it" w:eastAsia="en-AU"/>
              </w:rPr>
              <w:t>Avvio futuro</w:t>
            </w:r>
          </w:p>
        </w:tc>
        <w:tc>
          <w:tcPr>
            <w:tcW w:w="683" w:type="pct"/>
            <w:tcBorders>
              <w:left w:val="single" w:sz="4" w:space="0" w:color="FFFFFF" w:themeColor="background1"/>
              <w:right w:val="single" w:sz="4" w:space="0" w:color="FFFFFF" w:themeColor="background1"/>
            </w:tcBorders>
            <w:shd w:val="clear" w:color="auto" w:fill="6C1740"/>
          </w:tcPr>
          <w:p w14:paraId="7F3EF0F9" w14:textId="640ED843" w:rsidR="00A648A5" w:rsidRPr="00F045B2" w:rsidRDefault="00A648A5" w:rsidP="001E7183">
            <w:pPr>
              <w:jc w:val="center"/>
              <w:rPr>
                <w:b/>
              </w:rPr>
            </w:pPr>
            <w:r w:rsidRPr="003848ED">
              <w:rPr>
                <w:rFonts w:eastAsia="Times New Roman" w:cs="Calibri"/>
                <w:b/>
                <w:bCs/>
                <w:color w:val="FFFFFF" w:themeColor="background1"/>
                <w:lang w:val="it" w:eastAsia="en-AU"/>
              </w:rPr>
              <w:t>Totale</w:t>
            </w:r>
          </w:p>
        </w:tc>
      </w:tr>
      <w:tr w:rsidR="00B875C3" w14:paraId="0CA8A133" w14:textId="77777777" w:rsidTr="005A5EF0">
        <w:tc>
          <w:tcPr>
            <w:tcW w:w="839" w:type="pct"/>
            <w:tcBorders>
              <w:left w:val="single" w:sz="4" w:space="0" w:color="FFFFFF" w:themeColor="background1"/>
            </w:tcBorders>
          </w:tcPr>
          <w:p w14:paraId="647D1E6A" w14:textId="77777777" w:rsidR="00B875C3" w:rsidRDefault="00B875C3" w:rsidP="008E5982">
            <w:r>
              <w:t>Australian Government</w:t>
            </w:r>
          </w:p>
        </w:tc>
        <w:tc>
          <w:tcPr>
            <w:tcW w:w="750" w:type="pct"/>
          </w:tcPr>
          <w:p w14:paraId="2F04B8C0" w14:textId="71EC45A5" w:rsidR="00B875C3" w:rsidRDefault="008F4643" w:rsidP="008E5982">
            <w:pPr>
              <w:jc w:val="center"/>
            </w:pPr>
            <w:r>
              <w:t>17</w:t>
            </w:r>
          </w:p>
        </w:tc>
        <w:tc>
          <w:tcPr>
            <w:tcW w:w="682" w:type="pct"/>
          </w:tcPr>
          <w:p w14:paraId="63307B55" w14:textId="0FF19D3D" w:rsidR="00B875C3" w:rsidRDefault="009C41C7" w:rsidP="009C41C7">
            <w:pPr>
              <w:jc w:val="center"/>
            </w:pPr>
            <w:r>
              <w:t>23</w:t>
            </w:r>
          </w:p>
        </w:tc>
        <w:tc>
          <w:tcPr>
            <w:tcW w:w="682" w:type="pct"/>
          </w:tcPr>
          <w:p w14:paraId="55F8670F" w14:textId="4329E116" w:rsidR="00B875C3" w:rsidRDefault="008F4643" w:rsidP="008E5982">
            <w:pPr>
              <w:jc w:val="center"/>
            </w:pPr>
            <w:r>
              <w:t>1</w:t>
            </w:r>
            <w:r w:rsidR="009C41C7">
              <w:t>6</w:t>
            </w:r>
          </w:p>
        </w:tc>
        <w:tc>
          <w:tcPr>
            <w:tcW w:w="682" w:type="pct"/>
          </w:tcPr>
          <w:p w14:paraId="35969BF7" w14:textId="77777777" w:rsidR="00B875C3" w:rsidRDefault="00B875C3" w:rsidP="008E5982">
            <w:pPr>
              <w:jc w:val="center"/>
            </w:pPr>
            <w:r>
              <w:t>1</w:t>
            </w:r>
          </w:p>
        </w:tc>
        <w:tc>
          <w:tcPr>
            <w:tcW w:w="682" w:type="pct"/>
          </w:tcPr>
          <w:p w14:paraId="6DEA33AF" w14:textId="77777777" w:rsidR="00B875C3" w:rsidRDefault="00B875C3" w:rsidP="008E5982">
            <w:pPr>
              <w:jc w:val="center"/>
            </w:pPr>
            <w:r>
              <w:t>2</w:t>
            </w:r>
          </w:p>
        </w:tc>
        <w:tc>
          <w:tcPr>
            <w:tcW w:w="683" w:type="pct"/>
            <w:tcBorders>
              <w:right w:val="single" w:sz="4" w:space="0" w:color="FFFFFF" w:themeColor="background1"/>
            </w:tcBorders>
          </w:tcPr>
          <w:p w14:paraId="4CCDC26D" w14:textId="77777777" w:rsidR="00B875C3" w:rsidRDefault="00B875C3" w:rsidP="008E5982">
            <w:pPr>
              <w:jc w:val="center"/>
            </w:pPr>
            <w:r>
              <w:t>59</w:t>
            </w:r>
          </w:p>
        </w:tc>
      </w:tr>
      <w:tr w:rsidR="00B875C3" w14:paraId="331BF5F9" w14:textId="77777777" w:rsidTr="005A5EF0">
        <w:tc>
          <w:tcPr>
            <w:tcW w:w="839" w:type="pct"/>
            <w:tcBorders>
              <w:left w:val="single" w:sz="4" w:space="0" w:color="FFFFFF" w:themeColor="background1"/>
            </w:tcBorders>
            <w:shd w:val="clear" w:color="auto" w:fill="FAF9F8"/>
          </w:tcPr>
          <w:p w14:paraId="3C3CCD96" w14:textId="77777777" w:rsidR="00B875C3" w:rsidRDefault="00B875C3" w:rsidP="008E5982">
            <w:r>
              <w:t>NSW</w:t>
            </w:r>
          </w:p>
        </w:tc>
        <w:tc>
          <w:tcPr>
            <w:tcW w:w="750" w:type="pct"/>
            <w:shd w:val="clear" w:color="auto" w:fill="FAF9F8"/>
          </w:tcPr>
          <w:p w14:paraId="03A7C5D8" w14:textId="77777777" w:rsidR="00B875C3" w:rsidRDefault="00B875C3" w:rsidP="008E5982">
            <w:pPr>
              <w:jc w:val="center"/>
            </w:pPr>
            <w:r>
              <w:t>6</w:t>
            </w:r>
          </w:p>
        </w:tc>
        <w:tc>
          <w:tcPr>
            <w:tcW w:w="682" w:type="pct"/>
            <w:shd w:val="clear" w:color="auto" w:fill="FAF9F8"/>
          </w:tcPr>
          <w:p w14:paraId="565D947B" w14:textId="77777777" w:rsidR="00B875C3" w:rsidRDefault="00B875C3" w:rsidP="008E5982">
            <w:pPr>
              <w:jc w:val="center"/>
            </w:pPr>
            <w:r>
              <w:t>25</w:t>
            </w:r>
          </w:p>
        </w:tc>
        <w:tc>
          <w:tcPr>
            <w:tcW w:w="682" w:type="pct"/>
            <w:shd w:val="clear" w:color="auto" w:fill="FAF9F8"/>
          </w:tcPr>
          <w:p w14:paraId="5F16288B" w14:textId="77777777" w:rsidR="00B875C3" w:rsidRDefault="00B875C3" w:rsidP="008E5982">
            <w:pPr>
              <w:jc w:val="center"/>
            </w:pPr>
            <w:r>
              <w:t>12</w:t>
            </w:r>
          </w:p>
        </w:tc>
        <w:tc>
          <w:tcPr>
            <w:tcW w:w="682" w:type="pct"/>
            <w:shd w:val="clear" w:color="auto" w:fill="FAF9F8"/>
          </w:tcPr>
          <w:p w14:paraId="701E51FB" w14:textId="77777777" w:rsidR="00B875C3" w:rsidRDefault="00B875C3" w:rsidP="008E5982">
            <w:pPr>
              <w:jc w:val="center"/>
            </w:pPr>
            <w:r>
              <w:t>3</w:t>
            </w:r>
          </w:p>
        </w:tc>
        <w:tc>
          <w:tcPr>
            <w:tcW w:w="682" w:type="pct"/>
            <w:shd w:val="clear" w:color="auto" w:fill="FAF9F8"/>
          </w:tcPr>
          <w:p w14:paraId="563C0331"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57535620" w14:textId="77777777" w:rsidR="00B875C3" w:rsidRDefault="00B875C3" w:rsidP="008E5982">
            <w:pPr>
              <w:jc w:val="center"/>
            </w:pPr>
            <w:r>
              <w:t>46</w:t>
            </w:r>
          </w:p>
        </w:tc>
      </w:tr>
      <w:tr w:rsidR="00B875C3" w14:paraId="2022C9B4" w14:textId="77777777" w:rsidTr="005A5EF0">
        <w:tc>
          <w:tcPr>
            <w:tcW w:w="839" w:type="pct"/>
            <w:tcBorders>
              <w:left w:val="single" w:sz="4" w:space="0" w:color="FFFFFF" w:themeColor="background1"/>
            </w:tcBorders>
          </w:tcPr>
          <w:p w14:paraId="52B81DF5" w14:textId="77777777" w:rsidR="00B875C3" w:rsidRDefault="00B875C3" w:rsidP="008E5982">
            <w:r>
              <w:t>VIC</w:t>
            </w:r>
          </w:p>
        </w:tc>
        <w:tc>
          <w:tcPr>
            <w:tcW w:w="750" w:type="pct"/>
          </w:tcPr>
          <w:p w14:paraId="7C622B4C" w14:textId="77777777" w:rsidR="00B875C3" w:rsidRDefault="00B875C3" w:rsidP="008E5982">
            <w:pPr>
              <w:jc w:val="center"/>
            </w:pPr>
            <w:r>
              <w:t>18</w:t>
            </w:r>
          </w:p>
        </w:tc>
        <w:tc>
          <w:tcPr>
            <w:tcW w:w="682" w:type="pct"/>
          </w:tcPr>
          <w:p w14:paraId="5D240702" w14:textId="77777777" w:rsidR="00B875C3" w:rsidRDefault="00B875C3" w:rsidP="008E5982">
            <w:pPr>
              <w:jc w:val="center"/>
            </w:pPr>
            <w:r w:rsidRPr="006C235A">
              <w:t>30</w:t>
            </w:r>
          </w:p>
        </w:tc>
        <w:tc>
          <w:tcPr>
            <w:tcW w:w="682" w:type="pct"/>
          </w:tcPr>
          <w:p w14:paraId="4A2DB011" w14:textId="77777777" w:rsidR="00B875C3" w:rsidRDefault="00B875C3" w:rsidP="008E5982">
            <w:pPr>
              <w:jc w:val="center"/>
            </w:pPr>
            <w:r>
              <w:t>2</w:t>
            </w:r>
          </w:p>
        </w:tc>
        <w:tc>
          <w:tcPr>
            <w:tcW w:w="682" w:type="pct"/>
          </w:tcPr>
          <w:p w14:paraId="55C85BEF" w14:textId="77777777" w:rsidR="00B875C3" w:rsidRDefault="00B875C3" w:rsidP="008E5982">
            <w:pPr>
              <w:jc w:val="center"/>
            </w:pPr>
            <w:r>
              <w:t>0</w:t>
            </w:r>
          </w:p>
        </w:tc>
        <w:tc>
          <w:tcPr>
            <w:tcW w:w="682" w:type="pct"/>
          </w:tcPr>
          <w:p w14:paraId="027BBEEA" w14:textId="77777777" w:rsidR="00B875C3" w:rsidRDefault="00B875C3" w:rsidP="008E5982">
            <w:pPr>
              <w:jc w:val="center"/>
            </w:pPr>
            <w:r>
              <w:t>0</w:t>
            </w:r>
          </w:p>
        </w:tc>
        <w:tc>
          <w:tcPr>
            <w:tcW w:w="683" w:type="pct"/>
            <w:tcBorders>
              <w:right w:val="single" w:sz="4" w:space="0" w:color="FFFFFF" w:themeColor="background1"/>
            </w:tcBorders>
          </w:tcPr>
          <w:p w14:paraId="6057B760" w14:textId="77777777" w:rsidR="00B875C3" w:rsidRDefault="00B875C3" w:rsidP="008E5982">
            <w:pPr>
              <w:jc w:val="center"/>
            </w:pPr>
            <w:r>
              <w:t>50</w:t>
            </w:r>
          </w:p>
        </w:tc>
      </w:tr>
      <w:tr w:rsidR="00B875C3" w14:paraId="46448FAF" w14:textId="77777777" w:rsidTr="005A5EF0">
        <w:tc>
          <w:tcPr>
            <w:tcW w:w="839" w:type="pct"/>
            <w:tcBorders>
              <w:left w:val="single" w:sz="4" w:space="0" w:color="FFFFFF" w:themeColor="background1"/>
            </w:tcBorders>
            <w:shd w:val="clear" w:color="auto" w:fill="FAF9F8"/>
          </w:tcPr>
          <w:p w14:paraId="71A0B11D" w14:textId="77777777" w:rsidR="00B875C3" w:rsidRDefault="00B875C3" w:rsidP="008E5982">
            <w:r>
              <w:t>QLD</w:t>
            </w:r>
          </w:p>
        </w:tc>
        <w:tc>
          <w:tcPr>
            <w:tcW w:w="750" w:type="pct"/>
            <w:shd w:val="clear" w:color="auto" w:fill="FAF9F8"/>
          </w:tcPr>
          <w:p w14:paraId="3CB7A49D" w14:textId="77777777" w:rsidR="00B875C3" w:rsidRDefault="00B875C3" w:rsidP="008E5982">
            <w:pPr>
              <w:jc w:val="center"/>
            </w:pPr>
            <w:r>
              <w:t>23</w:t>
            </w:r>
          </w:p>
        </w:tc>
        <w:tc>
          <w:tcPr>
            <w:tcW w:w="682" w:type="pct"/>
            <w:shd w:val="clear" w:color="auto" w:fill="FAF9F8"/>
          </w:tcPr>
          <w:p w14:paraId="6C32F745" w14:textId="77777777" w:rsidR="00B875C3" w:rsidRDefault="00B875C3" w:rsidP="008E5982">
            <w:pPr>
              <w:jc w:val="center"/>
            </w:pPr>
            <w:r>
              <w:t>28</w:t>
            </w:r>
          </w:p>
        </w:tc>
        <w:tc>
          <w:tcPr>
            <w:tcW w:w="682" w:type="pct"/>
            <w:shd w:val="clear" w:color="auto" w:fill="FAF9F8"/>
          </w:tcPr>
          <w:p w14:paraId="7A4502E8" w14:textId="77777777" w:rsidR="00B875C3" w:rsidRDefault="00B875C3" w:rsidP="008E5982">
            <w:pPr>
              <w:jc w:val="center"/>
            </w:pPr>
            <w:r>
              <w:t>4</w:t>
            </w:r>
          </w:p>
        </w:tc>
        <w:tc>
          <w:tcPr>
            <w:tcW w:w="682" w:type="pct"/>
            <w:shd w:val="clear" w:color="auto" w:fill="FAF9F8"/>
          </w:tcPr>
          <w:p w14:paraId="448D6D66" w14:textId="77777777" w:rsidR="00B875C3" w:rsidRDefault="00B875C3" w:rsidP="008E5982">
            <w:pPr>
              <w:jc w:val="center"/>
            </w:pPr>
            <w:r>
              <w:t>0</w:t>
            </w:r>
          </w:p>
        </w:tc>
        <w:tc>
          <w:tcPr>
            <w:tcW w:w="682" w:type="pct"/>
            <w:shd w:val="clear" w:color="auto" w:fill="FAF9F8"/>
          </w:tcPr>
          <w:p w14:paraId="00AACA49"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331EF909" w14:textId="77777777" w:rsidR="00B875C3" w:rsidRDefault="00B875C3" w:rsidP="008E5982">
            <w:pPr>
              <w:jc w:val="center"/>
            </w:pPr>
            <w:r>
              <w:t>55</w:t>
            </w:r>
          </w:p>
        </w:tc>
      </w:tr>
      <w:tr w:rsidR="00B875C3" w14:paraId="60DB4B8F" w14:textId="77777777" w:rsidTr="005A5EF0">
        <w:tc>
          <w:tcPr>
            <w:tcW w:w="839" w:type="pct"/>
            <w:tcBorders>
              <w:left w:val="single" w:sz="4" w:space="0" w:color="FFFFFF" w:themeColor="background1"/>
            </w:tcBorders>
          </w:tcPr>
          <w:p w14:paraId="4F490181" w14:textId="77777777" w:rsidR="00B875C3" w:rsidRDefault="00B875C3" w:rsidP="008E5982">
            <w:r>
              <w:t>WA</w:t>
            </w:r>
          </w:p>
        </w:tc>
        <w:tc>
          <w:tcPr>
            <w:tcW w:w="750" w:type="pct"/>
          </w:tcPr>
          <w:p w14:paraId="3ECB9A9D" w14:textId="77777777" w:rsidR="00B875C3" w:rsidRDefault="00B875C3" w:rsidP="008E5982">
            <w:pPr>
              <w:jc w:val="center"/>
            </w:pPr>
            <w:r>
              <w:t>10</w:t>
            </w:r>
          </w:p>
        </w:tc>
        <w:tc>
          <w:tcPr>
            <w:tcW w:w="682" w:type="pct"/>
          </w:tcPr>
          <w:p w14:paraId="23F75054" w14:textId="77777777" w:rsidR="00B875C3" w:rsidRDefault="00B875C3" w:rsidP="008E5982">
            <w:pPr>
              <w:jc w:val="center"/>
            </w:pPr>
            <w:r>
              <w:t>20</w:t>
            </w:r>
          </w:p>
        </w:tc>
        <w:tc>
          <w:tcPr>
            <w:tcW w:w="682" w:type="pct"/>
          </w:tcPr>
          <w:p w14:paraId="61D17171" w14:textId="77777777" w:rsidR="00B875C3" w:rsidRDefault="00B875C3" w:rsidP="008E5982">
            <w:pPr>
              <w:jc w:val="center"/>
            </w:pPr>
            <w:r>
              <w:t>1</w:t>
            </w:r>
          </w:p>
        </w:tc>
        <w:tc>
          <w:tcPr>
            <w:tcW w:w="682" w:type="pct"/>
          </w:tcPr>
          <w:p w14:paraId="3AF9EE78" w14:textId="77777777" w:rsidR="00B875C3" w:rsidRDefault="00B875C3" w:rsidP="008E5982">
            <w:pPr>
              <w:jc w:val="center"/>
            </w:pPr>
            <w:r>
              <w:t>0</w:t>
            </w:r>
          </w:p>
        </w:tc>
        <w:tc>
          <w:tcPr>
            <w:tcW w:w="682" w:type="pct"/>
          </w:tcPr>
          <w:p w14:paraId="213E3315" w14:textId="77777777" w:rsidR="00B875C3" w:rsidRDefault="00B875C3" w:rsidP="008E5982">
            <w:pPr>
              <w:jc w:val="center"/>
            </w:pPr>
            <w:r>
              <w:t>0</w:t>
            </w:r>
          </w:p>
        </w:tc>
        <w:tc>
          <w:tcPr>
            <w:tcW w:w="683" w:type="pct"/>
            <w:tcBorders>
              <w:right w:val="single" w:sz="4" w:space="0" w:color="FFFFFF" w:themeColor="background1"/>
            </w:tcBorders>
          </w:tcPr>
          <w:p w14:paraId="6A3A7D06" w14:textId="77777777" w:rsidR="00B875C3" w:rsidRDefault="00B875C3" w:rsidP="008E5982">
            <w:pPr>
              <w:jc w:val="center"/>
            </w:pPr>
            <w:r>
              <w:t>31</w:t>
            </w:r>
          </w:p>
        </w:tc>
      </w:tr>
      <w:tr w:rsidR="00B875C3" w14:paraId="77B63654" w14:textId="77777777" w:rsidTr="005A5EF0">
        <w:tc>
          <w:tcPr>
            <w:tcW w:w="839" w:type="pct"/>
            <w:tcBorders>
              <w:left w:val="single" w:sz="4" w:space="0" w:color="FFFFFF" w:themeColor="background1"/>
            </w:tcBorders>
            <w:shd w:val="clear" w:color="auto" w:fill="FAF9F8"/>
          </w:tcPr>
          <w:p w14:paraId="57EE9ADE" w14:textId="77777777" w:rsidR="00B875C3" w:rsidRDefault="00B875C3" w:rsidP="008E5982">
            <w:r>
              <w:t>SA</w:t>
            </w:r>
          </w:p>
        </w:tc>
        <w:tc>
          <w:tcPr>
            <w:tcW w:w="750" w:type="pct"/>
            <w:shd w:val="clear" w:color="auto" w:fill="FAF9F8"/>
          </w:tcPr>
          <w:p w14:paraId="77B82264" w14:textId="77777777" w:rsidR="00B875C3" w:rsidRDefault="00B875C3" w:rsidP="008E5982">
            <w:pPr>
              <w:jc w:val="center"/>
            </w:pPr>
            <w:r>
              <w:t>28</w:t>
            </w:r>
          </w:p>
        </w:tc>
        <w:tc>
          <w:tcPr>
            <w:tcW w:w="682" w:type="pct"/>
            <w:shd w:val="clear" w:color="auto" w:fill="FAF9F8"/>
          </w:tcPr>
          <w:p w14:paraId="6E0C5E2C" w14:textId="77777777" w:rsidR="00B875C3" w:rsidRDefault="00B875C3" w:rsidP="008E5982">
            <w:pPr>
              <w:jc w:val="center"/>
            </w:pPr>
            <w:r>
              <w:t>31</w:t>
            </w:r>
          </w:p>
        </w:tc>
        <w:tc>
          <w:tcPr>
            <w:tcW w:w="682" w:type="pct"/>
            <w:shd w:val="clear" w:color="auto" w:fill="FAF9F8"/>
          </w:tcPr>
          <w:p w14:paraId="6B85A3F6" w14:textId="77777777" w:rsidR="00B875C3" w:rsidRDefault="00B875C3" w:rsidP="008E5982">
            <w:pPr>
              <w:jc w:val="center"/>
            </w:pPr>
            <w:r>
              <w:t>7</w:t>
            </w:r>
          </w:p>
        </w:tc>
        <w:tc>
          <w:tcPr>
            <w:tcW w:w="682" w:type="pct"/>
            <w:shd w:val="clear" w:color="auto" w:fill="FAF9F8"/>
          </w:tcPr>
          <w:p w14:paraId="00EFF674" w14:textId="77777777" w:rsidR="00B875C3" w:rsidRDefault="00B875C3" w:rsidP="008E5982">
            <w:pPr>
              <w:jc w:val="center"/>
            </w:pPr>
            <w:r>
              <w:t>2</w:t>
            </w:r>
          </w:p>
        </w:tc>
        <w:tc>
          <w:tcPr>
            <w:tcW w:w="682" w:type="pct"/>
            <w:shd w:val="clear" w:color="auto" w:fill="FAF9F8"/>
          </w:tcPr>
          <w:p w14:paraId="10CE6AC7" w14:textId="77777777" w:rsidR="00B875C3" w:rsidRDefault="00B875C3" w:rsidP="008E5982">
            <w:pPr>
              <w:jc w:val="center"/>
            </w:pPr>
            <w:r>
              <w:t>1</w:t>
            </w:r>
          </w:p>
        </w:tc>
        <w:tc>
          <w:tcPr>
            <w:tcW w:w="683" w:type="pct"/>
            <w:tcBorders>
              <w:right w:val="single" w:sz="4" w:space="0" w:color="FFFFFF" w:themeColor="background1"/>
            </w:tcBorders>
            <w:shd w:val="clear" w:color="auto" w:fill="FAF9F8"/>
          </w:tcPr>
          <w:p w14:paraId="59E31555" w14:textId="77777777" w:rsidR="00B875C3" w:rsidRDefault="00B875C3" w:rsidP="008E5982">
            <w:pPr>
              <w:jc w:val="center"/>
            </w:pPr>
            <w:r>
              <w:t>69</w:t>
            </w:r>
          </w:p>
        </w:tc>
      </w:tr>
      <w:tr w:rsidR="00B875C3" w14:paraId="3699CAA8" w14:textId="77777777" w:rsidTr="005A5EF0">
        <w:tc>
          <w:tcPr>
            <w:tcW w:w="839" w:type="pct"/>
            <w:tcBorders>
              <w:left w:val="single" w:sz="4" w:space="0" w:color="FFFFFF" w:themeColor="background1"/>
            </w:tcBorders>
          </w:tcPr>
          <w:p w14:paraId="244F31F3" w14:textId="77777777" w:rsidR="00B875C3" w:rsidRDefault="00B875C3" w:rsidP="008E5982">
            <w:r>
              <w:t>TAS</w:t>
            </w:r>
          </w:p>
        </w:tc>
        <w:tc>
          <w:tcPr>
            <w:tcW w:w="750" w:type="pct"/>
          </w:tcPr>
          <w:p w14:paraId="0D3BED74" w14:textId="77777777" w:rsidR="00B875C3" w:rsidRDefault="00B875C3" w:rsidP="008E5982">
            <w:pPr>
              <w:jc w:val="center"/>
            </w:pPr>
            <w:r>
              <w:t>8</w:t>
            </w:r>
          </w:p>
        </w:tc>
        <w:tc>
          <w:tcPr>
            <w:tcW w:w="682" w:type="pct"/>
          </w:tcPr>
          <w:p w14:paraId="4F113B21" w14:textId="77777777" w:rsidR="00B875C3" w:rsidRDefault="00B875C3" w:rsidP="008E5982">
            <w:pPr>
              <w:jc w:val="center"/>
            </w:pPr>
            <w:r>
              <w:t>13</w:t>
            </w:r>
          </w:p>
        </w:tc>
        <w:tc>
          <w:tcPr>
            <w:tcW w:w="682" w:type="pct"/>
          </w:tcPr>
          <w:p w14:paraId="63163F79" w14:textId="77777777" w:rsidR="00B875C3" w:rsidRDefault="00B875C3" w:rsidP="008E5982">
            <w:pPr>
              <w:jc w:val="center"/>
            </w:pPr>
            <w:r>
              <w:t>8</w:t>
            </w:r>
          </w:p>
        </w:tc>
        <w:tc>
          <w:tcPr>
            <w:tcW w:w="682" w:type="pct"/>
          </w:tcPr>
          <w:p w14:paraId="678DE0AB" w14:textId="77777777" w:rsidR="00B875C3" w:rsidRDefault="00B875C3" w:rsidP="008E5982">
            <w:pPr>
              <w:jc w:val="center"/>
            </w:pPr>
            <w:r>
              <w:t>0</w:t>
            </w:r>
          </w:p>
        </w:tc>
        <w:tc>
          <w:tcPr>
            <w:tcW w:w="682" w:type="pct"/>
          </w:tcPr>
          <w:p w14:paraId="48F0E68C" w14:textId="77777777" w:rsidR="00B875C3" w:rsidRDefault="00B875C3" w:rsidP="008E5982">
            <w:pPr>
              <w:jc w:val="center"/>
            </w:pPr>
            <w:r>
              <w:t>0</w:t>
            </w:r>
          </w:p>
        </w:tc>
        <w:tc>
          <w:tcPr>
            <w:tcW w:w="683" w:type="pct"/>
            <w:tcBorders>
              <w:right w:val="single" w:sz="4" w:space="0" w:color="FFFFFF" w:themeColor="background1"/>
            </w:tcBorders>
          </w:tcPr>
          <w:p w14:paraId="5CC96E50" w14:textId="77777777" w:rsidR="00B875C3" w:rsidRDefault="00B875C3" w:rsidP="008E5982">
            <w:pPr>
              <w:jc w:val="center"/>
            </w:pPr>
            <w:r>
              <w:t>29</w:t>
            </w:r>
          </w:p>
        </w:tc>
      </w:tr>
      <w:tr w:rsidR="00B875C3" w14:paraId="64139BC4" w14:textId="77777777" w:rsidTr="005A5EF0">
        <w:tc>
          <w:tcPr>
            <w:tcW w:w="839" w:type="pct"/>
            <w:tcBorders>
              <w:left w:val="single" w:sz="4" w:space="0" w:color="FFFFFF" w:themeColor="background1"/>
            </w:tcBorders>
            <w:shd w:val="clear" w:color="auto" w:fill="FAF9F8"/>
          </w:tcPr>
          <w:p w14:paraId="45004F78" w14:textId="77777777" w:rsidR="00B875C3" w:rsidRDefault="00B875C3" w:rsidP="008E5982">
            <w:r>
              <w:t>ACT</w:t>
            </w:r>
          </w:p>
        </w:tc>
        <w:tc>
          <w:tcPr>
            <w:tcW w:w="750" w:type="pct"/>
            <w:shd w:val="clear" w:color="auto" w:fill="FAF9F8"/>
          </w:tcPr>
          <w:p w14:paraId="37F59087" w14:textId="77777777" w:rsidR="00B875C3" w:rsidRDefault="00B875C3" w:rsidP="008E5982">
            <w:pPr>
              <w:jc w:val="center"/>
            </w:pPr>
            <w:r>
              <w:t>25</w:t>
            </w:r>
          </w:p>
        </w:tc>
        <w:tc>
          <w:tcPr>
            <w:tcW w:w="682" w:type="pct"/>
            <w:shd w:val="clear" w:color="auto" w:fill="FAF9F8"/>
          </w:tcPr>
          <w:p w14:paraId="62B64E07" w14:textId="77777777" w:rsidR="00B875C3" w:rsidRDefault="00B875C3" w:rsidP="008E5982">
            <w:pPr>
              <w:jc w:val="center"/>
            </w:pPr>
            <w:r>
              <w:t>12</w:t>
            </w:r>
          </w:p>
        </w:tc>
        <w:tc>
          <w:tcPr>
            <w:tcW w:w="682" w:type="pct"/>
            <w:shd w:val="clear" w:color="auto" w:fill="FAF9F8"/>
          </w:tcPr>
          <w:p w14:paraId="06DC4B39" w14:textId="77777777" w:rsidR="00B875C3" w:rsidRDefault="00B875C3" w:rsidP="008E5982">
            <w:pPr>
              <w:jc w:val="center"/>
            </w:pPr>
            <w:r>
              <w:t>3</w:t>
            </w:r>
          </w:p>
        </w:tc>
        <w:tc>
          <w:tcPr>
            <w:tcW w:w="682" w:type="pct"/>
            <w:shd w:val="clear" w:color="auto" w:fill="FAF9F8"/>
          </w:tcPr>
          <w:p w14:paraId="4C3E73AB" w14:textId="77777777" w:rsidR="00B875C3" w:rsidRDefault="00B875C3" w:rsidP="008E5982">
            <w:pPr>
              <w:jc w:val="center"/>
            </w:pPr>
            <w:r>
              <w:t>0</w:t>
            </w:r>
          </w:p>
        </w:tc>
        <w:tc>
          <w:tcPr>
            <w:tcW w:w="682" w:type="pct"/>
            <w:shd w:val="clear" w:color="auto" w:fill="FAF9F8"/>
          </w:tcPr>
          <w:p w14:paraId="12E8362C"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717301A9" w14:textId="77777777" w:rsidR="00B875C3" w:rsidRDefault="00B875C3" w:rsidP="008E5982">
            <w:pPr>
              <w:jc w:val="center"/>
            </w:pPr>
            <w:r>
              <w:t>40</w:t>
            </w:r>
          </w:p>
        </w:tc>
      </w:tr>
      <w:tr w:rsidR="00B875C3" w14:paraId="446DE525" w14:textId="77777777" w:rsidTr="005A5EF0">
        <w:tc>
          <w:tcPr>
            <w:tcW w:w="839" w:type="pct"/>
            <w:tcBorders>
              <w:left w:val="single" w:sz="4" w:space="0" w:color="FFFFFF" w:themeColor="background1"/>
            </w:tcBorders>
          </w:tcPr>
          <w:p w14:paraId="5F4B9348" w14:textId="77777777" w:rsidR="00B875C3" w:rsidRDefault="00B875C3" w:rsidP="008E5982">
            <w:r>
              <w:t>NT</w:t>
            </w:r>
          </w:p>
        </w:tc>
        <w:tc>
          <w:tcPr>
            <w:tcW w:w="750" w:type="pct"/>
          </w:tcPr>
          <w:p w14:paraId="715E0C44" w14:textId="77777777" w:rsidR="00B875C3" w:rsidRDefault="00B875C3" w:rsidP="008E5982">
            <w:pPr>
              <w:jc w:val="center"/>
            </w:pPr>
            <w:r>
              <w:t>9</w:t>
            </w:r>
          </w:p>
        </w:tc>
        <w:tc>
          <w:tcPr>
            <w:tcW w:w="682" w:type="pct"/>
          </w:tcPr>
          <w:p w14:paraId="4009881C" w14:textId="77777777" w:rsidR="00B875C3" w:rsidRDefault="00B875C3" w:rsidP="008E5982">
            <w:pPr>
              <w:jc w:val="center"/>
            </w:pPr>
            <w:r>
              <w:t>27</w:t>
            </w:r>
          </w:p>
        </w:tc>
        <w:tc>
          <w:tcPr>
            <w:tcW w:w="682" w:type="pct"/>
          </w:tcPr>
          <w:p w14:paraId="48B77A4E" w14:textId="77777777" w:rsidR="00B875C3" w:rsidRDefault="00B875C3" w:rsidP="008E5982">
            <w:pPr>
              <w:jc w:val="center"/>
            </w:pPr>
            <w:r>
              <w:t>1</w:t>
            </w:r>
          </w:p>
        </w:tc>
        <w:tc>
          <w:tcPr>
            <w:tcW w:w="682" w:type="pct"/>
          </w:tcPr>
          <w:p w14:paraId="41DBDDE6" w14:textId="77777777" w:rsidR="00B875C3" w:rsidRDefault="00B875C3" w:rsidP="008E5982">
            <w:pPr>
              <w:jc w:val="center"/>
            </w:pPr>
            <w:r>
              <w:t>1</w:t>
            </w:r>
          </w:p>
        </w:tc>
        <w:tc>
          <w:tcPr>
            <w:tcW w:w="682" w:type="pct"/>
          </w:tcPr>
          <w:p w14:paraId="2ADC990C" w14:textId="77777777" w:rsidR="00B875C3" w:rsidRDefault="00B875C3" w:rsidP="008E5982">
            <w:pPr>
              <w:jc w:val="center"/>
            </w:pPr>
            <w:r>
              <w:t>0</w:t>
            </w:r>
          </w:p>
        </w:tc>
        <w:tc>
          <w:tcPr>
            <w:tcW w:w="683" w:type="pct"/>
            <w:tcBorders>
              <w:right w:val="single" w:sz="4" w:space="0" w:color="FFFFFF" w:themeColor="background1"/>
            </w:tcBorders>
          </w:tcPr>
          <w:p w14:paraId="6BE828B0" w14:textId="77777777" w:rsidR="00B875C3" w:rsidRDefault="00B875C3" w:rsidP="008E5982">
            <w:pPr>
              <w:jc w:val="center"/>
            </w:pPr>
            <w:r>
              <w:t>38</w:t>
            </w:r>
          </w:p>
        </w:tc>
      </w:tr>
      <w:tr w:rsidR="00B875C3" w14:paraId="4017E826" w14:textId="77777777" w:rsidTr="005A5EF0">
        <w:tc>
          <w:tcPr>
            <w:tcW w:w="839" w:type="pct"/>
            <w:tcBorders>
              <w:left w:val="single" w:sz="4" w:space="0" w:color="FFFFFF" w:themeColor="background1"/>
              <w:bottom w:val="single" w:sz="4" w:space="0" w:color="FFFFFF" w:themeColor="background1"/>
            </w:tcBorders>
            <w:shd w:val="clear" w:color="auto" w:fill="E4E9F3"/>
          </w:tcPr>
          <w:p w14:paraId="46FC83FF" w14:textId="77777777" w:rsidR="00B875C3" w:rsidRPr="00E004AD" w:rsidRDefault="00B875C3" w:rsidP="008E5982">
            <w:pPr>
              <w:rPr>
                <w:b/>
              </w:rPr>
            </w:pPr>
            <w:r w:rsidRPr="00E004AD">
              <w:rPr>
                <w:b/>
              </w:rPr>
              <w:t>National Total</w:t>
            </w:r>
          </w:p>
        </w:tc>
        <w:tc>
          <w:tcPr>
            <w:tcW w:w="750" w:type="pct"/>
            <w:tcBorders>
              <w:bottom w:val="single" w:sz="4" w:space="0" w:color="FFFFFF" w:themeColor="background1"/>
            </w:tcBorders>
            <w:shd w:val="clear" w:color="auto" w:fill="E4E9F3"/>
          </w:tcPr>
          <w:p w14:paraId="6060B962" w14:textId="0346532D" w:rsidR="00B875C3" w:rsidRPr="00E004AD" w:rsidRDefault="00B875C3" w:rsidP="008E5982">
            <w:pPr>
              <w:jc w:val="center"/>
              <w:rPr>
                <w:b/>
              </w:rPr>
            </w:pPr>
            <w:r>
              <w:rPr>
                <w:b/>
              </w:rPr>
              <w:t>14</w:t>
            </w:r>
            <w:r w:rsidR="00C43D7A">
              <w:rPr>
                <w:b/>
              </w:rPr>
              <w:t>4</w:t>
            </w:r>
          </w:p>
        </w:tc>
        <w:tc>
          <w:tcPr>
            <w:tcW w:w="682" w:type="pct"/>
            <w:tcBorders>
              <w:bottom w:val="single" w:sz="4" w:space="0" w:color="FFFFFF" w:themeColor="background1"/>
            </w:tcBorders>
            <w:shd w:val="clear" w:color="auto" w:fill="E4E9F3"/>
          </w:tcPr>
          <w:p w14:paraId="79B4C614" w14:textId="38ACDE1D" w:rsidR="00B875C3" w:rsidRPr="00E004AD" w:rsidRDefault="00C43D7A" w:rsidP="008E5982">
            <w:pPr>
              <w:jc w:val="center"/>
              <w:rPr>
                <w:b/>
              </w:rPr>
            </w:pPr>
            <w:r>
              <w:rPr>
                <w:b/>
              </w:rPr>
              <w:t>2</w:t>
            </w:r>
            <w:r w:rsidR="009C41C7">
              <w:rPr>
                <w:b/>
              </w:rPr>
              <w:t>09</w:t>
            </w:r>
          </w:p>
        </w:tc>
        <w:tc>
          <w:tcPr>
            <w:tcW w:w="682" w:type="pct"/>
            <w:tcBorders>
              <w:bottom w:val="single" w:sz="4" w:space="0" w:color="FFFFFF" w:themeColor="background1"/>
            </w:tcBorders>
            <w:shd w:val="clear" w:color="auto" w:fill="E4E9F3"/>
          </w:tcPr>
          <w:p w14:paraId="271FF989" w14:textId="5AD1BF32" w:rsidR="00B875C3" w:rsidRPr="00E004AD" w:rsidRDefault="00C43D7A" w:rsidP="008E5982">
            <w:pPr>
              <w:jc w:val="center"/>
              <w:rPr>
                <w:b/>
              </w:rPr>
            </w:pPr>
            <w:r>
              <w:rPr>
                <w:b/>
              </w:rPr>
              <w:t>5</w:t>
            </w:r>
            <w:r w:rsidR="009C41C7">
              <w:rPr>
                <w:b/>
              </w:rPr>
              <w:t>4</w:t>
            </w:r>
          </w:p>
        </w:tc>
        <w:tc>
          <w:tcPr>
            <w:tcW w:w="682" w:type="pct"/>
            <w:tcBorders>
              <w:bottom w:val="single" w:sz="4" w:space="0" w:color="FFFFFF" w:themeColor="background1"/>
            </w:tcBorders>
            <w:shd w:val="clear" w:color="auto" w:fill="E4E9F3"/>
          </w:tcPr>
          <w:p w14:paraId="10B4B173" w14:textId="77777777" w:rsidR="00B875C3" w:rsidRPr="00E004AD" w:rsidRDefault="00B875C3"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B875C3" w:rsidRPr="00E004AD" w:rsidRDefault="00B875C3"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B875C3" w:rsidRPr="00E004AD" w:rsidRDefault="00B875C3" w:rsidP="008E5982">
            <w:pPr>
              <w:jc w:val="center"/>
              <w:rPr>
                <w:b/>
              </w:rPr>
            </w:pPr>
            <w:r>
              <w:rPr>
                <w:b/>
              </w:rPr>
              <w:t>417</w:t>
            </w:r>
          </w:p>
        </w:tc>
      </w:tr>
    </w:tbl>
    <w:p w14:paraId="21D03EBA" w14:textId="0CE267DA" w:rsidR="00B875C3" w:rsidRPr="00F045B2" w:rsidRDefault="001E60DF" w:rsidP="00911917">
      <w:pPr>
        <w:spacing w:before="240" w:after="240"/>
        <w:rPr>
          <w:b/>
        </w:rPr>
      </w:pPr>
      <w:r w:rsidRPr="00030BB0">
        <w:rPr>
          <w:rFonts w:cs="Arial"/>
          <w:b/>
          <w:lang w:val="it-IT"/>
        </w:rPr>
        <w:t>Tabella 14: progresso TAP di tutte le azioni per TAP e stato per il periodo 2021-2023</w:t>
      </w:r>
    </w:p>
    <w:tbl>
      <w:tblPr>
        <w:tblStyle w:val="TableGrid"/>
        <w:tblW w:w="5000" w:type="pct"/>
        <w:tblCellMar>
          <w:top w:w="115" w:type="dxa"/>
          <w:bottom w:w="115" w:type="dxa"/>
        </w:tblCellMar>
        <w:tblLook w:val="04A0" w:firstRow="1" w:lastRow="0" w:firstColumn="1" w:lastColumn="0" w:noHBand="0" w:noVBand="1"/>
      </w:tblPr>
      <w:tblGrid>
        <w:gridCol w:w="1757"/>
        <w:gridCol w:w="1414"/>
        <w:gridCol w:w="1213"/>
        <w:gridCol w:w="1214"/>
        <w:gridCol w:w="1214"/>
        <w:gridCol w:w="1216"/>
        <w:gridCol w:w="1214"/>
      </w:tblGrid>
      <w:tr w:rsidR="00A648A5" w14:paraId="23B90123" w14:textId="77777777" w:rsidTr="00A648A5">
        <w:tc>
          <w:tcPr>
            <w:tcW w:w="950" w:type="pct"/>
            <w:tcBorders>
              <w:left w:val="single" w:sz="4" w:space="0" w:color="FFFFFF" w:themeColor="background1"/>
              <w:right w:val="single" w:sz="4" w:space="0" w:color="FFFFFF" w:themeColor="background1"/>
            </w:tcBorders>
            <w:shd w:val="clear" w:color="auto" w:fill="6C1740"/>
          </w:tcPr>
          <w:p w14:paraId="540ADE83" w14:textId="77777777" w:rsidR="00A648A5" w:rsidRPr="00212F83" w:rsidRDefault="00A648A5" w:rsidP="008E5982">
            <w:pPr>
              <w:rPr>
                <w:b/>
              </w:rPr>
            </w:pPr>
            <w:r w:rsidRPr="00212F83">
              <w:rPr>
                <w:b/>
              </w:rPr>
              <w:t>TAP</w:t>
            </w:r>
          </w:p>
        </w:tc>
        <w:tc>
          <w:tcPr>
            <w:tcW w:w="765" w:type="pct"/>
            <w:tcBorders>
              <w:left w:val="single" w:sz="4" w:space="0" w:color="FFFFFF" w:themeColor="background1"/>
              <w:right w:val="single" w:sz="4" w:space="0" w:color="FFFFFF" w:themeColor="background1"/>
            </w:tcBorders>
            <w:shd w:val="clear" w:color="auto" w:fill="6C1740"/>
          </w:tcPr>
          <w:p w14:paraId="400723D4" w14:textId="5E5F83DB" w:rsidR="00A648A5" w:rsidRPr="00212F83" w:rsidRDefault="00A648A5" w:rsidP="008E5982">
            <w:pPr>
              <w:jc w:val="center"/>
              <w:rPr>
                <w:b/>
              </w:rPr>
            </w:pPr>
            <w:r w:rsidRPr="003848ED">
              <w:rPr>
                <w:rFonts w:eastAsia="Times New Roman" w:cs="Calibri"/>
                <w:b/>
                <w:bCs/>
                <w:color w:val="FFFFFF" w:themeColor="background1"/>
                <w:lang w:val="it" w:eastAsia="en-AU"/>
              </w:rPr>
              <w:t>Completate</w:t>
            </w:r>
          </w:p>
        </w:tc>
        <w:tc>
          <w:tcPr>
            <w:tcW w:w="656" w:type="pct"/>
            <w:tcBorders>
              <w:left w:val="single" w:sz="4" w:space="0" w:color="FFFFFF" w:themeColor="background1"/>
              <w:right w:val="single" w:sz="4" w:space="0" w:color="FFFFFF" w:themeColor="background1"/>
            </w:tcBorders>
            <w:shd w:val="clear" w:color="auto" w:fill="6C1740"/>
          </w:tcPr>
          <w:p w14:paraId="6CF6467E" w14:textId="1FA12880" w:rsidR="00A648A5" w:rsidRPr="00212F83" w:rsidRDefault="00A648A5" w:rsidP="008E5982">
            <w:pPr>
              <w:jc w:val="center"/>
              <w:rPr>
                <w:b/>
              </w:rPr>
            </w:pPr>
            <w:r w:rsidRPr="003848ED">
              <w:rPr>
                <w:rFonts w:eastAsia="Times New Roman" w:cs="Calibri"/>
                <w:b/>
                <w:bCs/>
                <w:color w:val="FFFFFF" w:themeColor="background1"/>
                <w:lang w:val="it" w:eastAsia="en-AU"/>
              </w:rPr>
              <w:t>In linea con i piani</w:t>
            </w:r>
          </w:p>
        </w:tc>
        <w:tc>
          <w:tcPr>
            <w:tcW w:w="657" w:type="pct"/>
            <w:tcBorders>
              <w:left w:val="single" w:sz="4" w:space="0" w:color="FFFFFF" w:themeColor="background1"/>
              <w:right w:val="single" w:sz="4" w:space="0" w:color="FFFFFF" w:themeColor="background1"/>
            </w:tcBorders>
            <w:shd w:val="clear" w:color="auto" w:fill="6C1740"/>
          </w:tcPr>
          <w:p w14:paraId="3EFB3EBE" w14:textId="5AAD5CF0" w:rsidR="00A648A5" w:rsidRPr="00212F83" w:rsidRDefault="00A648A5" w:rsidP="008E5982">
            <w:pPr>
              <w:jc w:val="center"/>
              <w:rPr>
                <w:b/>
              </w:rPr>
            </w:pPr>
            <w:r w:rsidRPr="003848ED">
              <w:rPr>
                <w:rFonts w:eastAsia="Times New Roman" w:cs="Calibri"/>
                <w:b/>
                <w:bCs/>
                <w:color w:val="FFFFFF" w:themeColor="background1"/>
                <w:lang w:val="it" w:eastAsia="en-AU"/>
              </w:rPr>
              <w:t>Alcuni ritardi</w:t>
            </w:r>
          </w:p>
        </w:tc>
        <w:tc>
          <w:tcPr>
            <w:tcW w:w="657" w:type="pct"/>
            <w:tcBorders>
              <w:left w:val="single" w:sz="4" w:space="0" w:color="FFFFFF" w:themeColor="background1"/>
              <w:right w:val="single" w:sz="4" w:space="0" w:color="FFFFFF" w:themeColor="background1"/>
            </w:tcBorders>
            <w:shd w:val="clear" w:color="auto" w:fill="6C1740"/>
          </w:tcPr>
          <w:p w14:paraId="47A2D950" w14:textId="0F37B771" w:rsidR="00A648A5" w:rsidRPr="00212F83" w:rsidRDefault="00A648A5" w:rsidP="008E5982">
            <w:pPr>
              <w:jc w:val="center"/>
              <w:rPr>
                <w:b/>
              </w:rPr>
            </w:pPr>
            <w:r w:rsidRPr="003848ED">
              <w:rPr>
                <w:rFonts w:eastAsia="Times New Roman" w:cs="Calibri"/>
                <w:b/>
                <w:bCs/>
                <w:color w:val="FFFFFF" w:themeColor="background1"/>
                <w:lang w:val="it" w:eastAsia="en-AU"/>
              </w:rPr>
              <w:t>In pausa</w:t>
            </w:r>
          </w:p>
        </w:tc>
        <w:tc>
          <w:tcPr>
            <w:tcW w:w="658" w:type="pct"/>
            <w:tcBorders>
              <w:left w:val="single" w:sz="4" w:space="0" w:color="FFFFFF" w:themeColor="background1"/>
              <w:right w:val="single" w:sz="4" w:space="0" w:color="FFFFFF" w:themeColor="background1"/>
            </w:tcBorders>
            <w:shd w:val="clear" w:color="auto" w:fill="6C1740"/>
          </w:tcPr>
          <w:p w14:paraId="4D77A72E" w14:textId="781E1D79" w:rsidR="00A648A5" w:rsidRPr="00212F83" w:rsidRDefault="00A648A5" w:rsidP="008E5982">
            <w:pPr>
              <w:jc w:val="center"/>
              <w:rPr>
                <w:b/>
              </w:rPr>
            </w:pPr>
            <w:r w:rsidRPr="003848ED">
              <w:rPr>
                <w:rFonts w:eastAsia="Times New Roman" w:cs="Calibri"/>
                <w:b/>
                <w:bCs/>
                <w:color w:val="FFFFFF" w:themeColor="background1"/>
                <w:lang w:val="it" w:eastAsia="en-AU"/>
              </w:rPr>
              <w:t>Avvio futuro</w:t>
            </w:r>
          </w:p>
        </w:tc>
        <w:tc>
          <w:tcPr>
            <w:tcW w:w="657" w:type="pct"/>
            <w:tcBorders>
              <w:left w:val="single" w:sz="4" w:space="0" w:color="FFFFFF" w:themeColor="background1"/>
              <w:right w:val="single" w:sz="4" w:space="0" w:color="FFFFFF" w:themeColor="background1"/>
            </w:tcBorders>
            <w:shd w:val="clear" w:color="auto" w:fill="6C1740"/>
          </w:tcPr>
          <w:p w14:paraId="025576BE" w14:textId="3F3A7B25" w:rsidR="00A648A5" w:rsidRPr="00212F83" w:rsidRDefault="00A648A5" w:rsidP="008E5982">
            <w:pPr>
              <w:jc w:val="center"/>
              <w:rPr>
                <w:b/>
              </w:rPr>
            </w:pPr>
            <w:r w:rsidRPr="003848ED">
              <w:rPr>
                <w:rFonts w:eastAsia="Times New Roman" w:cs="Calibri"/>
                <w:b/>
                <w:bCs/>
                <w:color w:val="FFFFFF" w:themeColor="background1"/>
                <w:lang w:val="it" w:eastAsia="en-AU"/>
              </w:rPr>
              <w:t>Totale</w:t>
            </w:r>
          </w:p>
        </w:tc>
      </w:tr>
      <w:tr w:rsidR="00A648A5" w14:paraId="6E8E4859" w14:textId="77777777" w:rsidTr="00A648A5">
        <w:tc>
          <w:tcPr>
            <w:tcW w:w="950" w:type="pct"/>
            <w:tcBorders>
              <w:left w:val="single" w:sz="4" w:space="0" w:color="FFFFFF" w:themeColor="background1"/>
            </w:tcBorders>
            <w:vAlign w:val="bottom"/>
          </w:tcPr>
          <w:p w14:paraId="0B6D5258" w14:textId="08A1AE52" w:rsidR="00A648A5" w:rsidRDefault="00A648A5" w:rsidP="008E5982">
            <w:r w:rsidRPr="00F0567C">
              <w:rPr>
                <w:rFonts w:eastAsia="Times New Roman" w:cs="Calibri"/>
                <w:b/>
                <w:bCs/>
                <w:color w:val="000000"/>
                <w:lang w:val="it" w:eastAsia="en-AU"/>
              </w:rPr>
              <w:t>Occupazione</w:t>
            </w:r>
          </w:p>
        </w:tc>
        <w:tc>
          <w:tcPr>
            <w:tcW w:w="765" w:type="pct"/>
          </w:tcPr>
          <w:p w14:paraId="7BFCAE0A" w14:textId="77777777" w:rsidR="00A648A5" w:rsidRDefault="00A648A5" w:rsidP="008E5982">
            <w:pPr>
              <w:jc w:val="center"/>
            </w:pPr>
            <w:r>
              <w:t>27</w:t>
            </w:r>
          </w:p>
        </w:tc>
        <w:tc>
          <w:tcPr>
            <w:tcW w:w="656" w:type="pct"/>
          </w:tcPr>
          <w:p w14:paraId="27ADBF0E" w14:textId="746DFB24" w:rsidR="00A648A5" w:rsidRDefault="00A648A5" w:rsidP="008E5982">
            <w:pPr>
              <w:jc w:val="center"/>
            </w:pPr>
            <w:r>
              <w:t>47</w:t>
            </w:r>
          </w:p>
        </w:tc>
        <w:tc>
          <w:tcPr>
            <w:tcW w:w="657" w:type="pct"/>
          </w:tcPr>
          <w:p w14:paraId="4F8734A8" w14:textId="3A487975" w:rsidR="00A648A5" w:rsidRDefault="00A648A5" w:rsidP="008E5982">
            <w:pPr>
              <w:jc w:val="center"/>
            </w:pPr>
            <w:r>
              <w:t>9</w:t>
            </w:r>
          </w:p>
        </w:tc>
        <w:tc>
          <w:tcPr>
            <w:tcW w:w="657" w:type="pct"/>
          </w:tcPr>
          <w:p w14:paraId="10FBF032" w14:textId="77777777" w:rsidR="00A648A5" w:rsidRDefault="00A648A5" w:rsidP="008E5982">
            <w:pPr>
              <w:jc w:val="center"/>
            </w:pPr>
            <w:r>
              <w:t>0</w:t>
            </w:r>
          </w:p>
        </w:tc>
        <w:tc>
          <w:tcPr>
            <w:tcW w:w="658" w:type="pct"/>
          </w:tcPr>
          <w:p w14:paraId="2C3A5581" w14:textId="77777777" w:rsidR="00A648A5" w:rsidRDefault="00A648A5" w:rsidP="008E5982">
            <w:pPr>
              <w:jc w:val="center"/>
            </w:pPr>
            <w:r>
              <w:t>0</w:t>
            </w:r>
          </w:p>
        </w:tc>
        <w:tc>
          <w:tcPr>
            <w:tcW w:w="657" w:type="pct"/>
            <w:tcBorders>
              <w:right w:val="single" w:sz="4" w:space="0" w:color="FFFFFF" w:themeColor="background1"/>
            </w:tcBorders>
          </w:tcPr>
          <w:p w14:paraId="54EEF733" w14:textId="77777777" w:rsidR="00A648A5" w:rsidRDefault="00A648A5" w:rsidP="008E5982">
            <w:pPr>
              <w:jc w:val="center"/>
            </w:pPr>
            <w:r>
              <w:t>83</w:t>
            </w:r>
          </w:p>
        </w:tc>
      </w:tr>
      <w:tr w:rsidR="00A648A5" w14:paraId="5590DF27" w14:textId="77777777" w:rsidTr="00A648A5">
        <w:tc>
          <w:tcPr>
            <w:tcW w:w="950" w:type="pct"/>
            <w:tcBorders>
              <w:left w:val="single" w:sz="4" w:space="0" w:color="FFFFFF" w:themeColor="background1"/>
            </w:tcBorders>
            <w:shd w:val="clear" w:color="auto" w:fill="FAF9F8"/>
            <w:vAlign w:val="bottom"/>
          </w:tcPr>
          <w:p w14:paraId="637A82F4" w14:textId="1D549E12" w:rsidR="00A648A5" w:rsidRDefault="00A648A5" w:rsidP="008E5982">
            <w:r w:rsidRPr="00F0567C">
              <w:rPr>
                <w:rFonts w:eastAsia="Times New Roman" w:cs="Calibri"/>
                <w:b/>
                <w:bCs/>
                <w:color w:val="000000"/>
                <w:lang w:val="it" w:eastAsia="en-AU"/>
              </w:rPr>
              <w:lastRenderedPageBreak/>
              <w:t>Atteggiamento della comunità</w:t>
            </w:r>
          </w:p>
        </w:tc>
        <w:tc>
          <w:tcPr>
            <w:tcW w:w="765" w:type="pct"/>
            <w:shd w:val="clear" w:color="auto" w:fill="FAF9F8"/>
          </w:tcPr>
          <w:p w14:paraId="6DFEB7F5" w14:textId="09684E35" w:rsidR="00A648A5" w:rsidRDefault="00A648A5" w:rsidP="008E5982">
            <w:pPr>
              <w:jc w:val="center"/>
            </w:pPr>
            <w:r>
              <w:t>25</w:t>
            </w:r>
          </w:p>
        </w:tc>
        <w:tc>
          <w:tcPr>
            <w:tcW w:w="656" w:type="pct"/>
            <w:shd w:val="clear" w:color="auto" w:fill="FAF9F8"/>
          </w:tcPr>
          <w:p w14:paraId="5FE432BB" w14:textId="018CEC6C" w:rsidR="00A648A5" w:rsidRDefault="00A648A5" w:rsidP="008E5982">
            <w:pPr>
              <w:jc w:val="center"/>
            </w:pPr>
            <w:r>
              <w:t>33</w:t>
            </w:r>
          </w:p>
        </w:tc>
        <w:tc>
          <w:tcPr>
            <w:tcW w:w="657" w:type="pct"/>
            <w:shd w:val="clear" w:color="auto" w:fill="FAF9F8"/>
          </w:tcPr>
          <w:p w14:paraId="507B0C2B" w14:textId="3304BED5" w:rsidR="00A648A5" w:rsidRDefault="00A648A5" w:rsidP="008E5982">
            <w:pPr>
              <w:jc w:val="center"/>
            </w:pPr>
            <w:r>
              <w:t>10</w:t>
            </w:r>
          </w:p>
        </w:tc>
        <w:tc>
          <w:tcPr>
            <w:tcW w:w="657" w:type="pct"/>
            <w:shd w:val="clear" w:color="auto" w:fill="FAF9F8"/>
          </w:tcPr>
          <w:p w14:paraId="1B8EBE77" w14:textId="77777777" w:rsidR="00A648A5" w:rsidRDefault="00A648A5" w:rsidP="008E5982">
            <w:pPr>
              <w:jc w:val="center"/>
            </w:pPr>
            <w:r>
              <w:t>0</w:t>
            </w:r>
          </w:p>
        </w:tc>
        <w:tc>
          <w:tcPr>
            <w:tcW w:w="658" w:type="pct"/>
            <w:shd w:val="clear" w:color="auto" w:fill="FAF9F8"/>
          </w:tcPr>
          <w:p w14:paraId="4E2DA3D6" w14:textId="77777777" w:rsidR="00A648A5" w:rsidRDefault="00A648A5" w:rsidP="008E5982">
            <w:pPr>
              <w:jc w:val="center"/>
            </w:pPr>
            <w:r>
              <w:t>0</w:t>
            </w:r>
          </w:p>
        </w:tc>
        <w:tc>
          <w:tcPr>
            <w:tcW w:w="657" w:type="pct"/>
            <w:tcBorders>
              <w:right w:val="single" w:sz="4" w:space="0" w:color="FFFFFF" w:themeColor="background1"/>
            </w:tcBorders>
            <w:shd w:val="clear" w:color="auto" w:fill="FAF9F8"/>
          </w:tcPr>
          <w:p w14:paraId="47F322F5" w14:textId="77777777" w:rsidR="00A648A5" w:rsidRDefault="00A648A5" w:rsidP="008E5982">
            <w:pPr>
              <w:jc w:val="center"/>
            </w:pPr>
            <w:r>
              <w:t>68</w:t>
            </w:r>
          </w:p>
        </w:tc>
      </w:tr>
      <w:tr w:rsidR="00A648A5" w14:paraId="78D0ADCE" w14:textId="77777777" w:rsidTr="00A648A5">
        <w:tc>
          <w:tcPr>
            <w:tcW w:w="950" w:type="pct"/>
            <w:tcBorders>
              <w:left w:val="single" w:sz="4" w:space="0" w:color="FFFFFF" w:themeColor="background1"/>
            </w:tcBorders>
            <w:vAlign w:val="bottom"/>
          </w:tcPr>
          <w:p w14:paraId="31CDC651" w14:textId="1BE23B7D" w:rsidR="00A648A5" w:rsidRDefault="00A648A5" w:rsidP="008E5982">
            <w:r w:rsidRPr="00F0567C">
              <w:rPr>
                <w:rFonts w:eastAsia="Times New Roman" w:cs="Calibri"/>
                <w:b/>
                <w:bCs/>
                <w:color w:val="000000"/>
                <w:lang w:val="it" w:eastAsia="en-AU"/>
              </w:rPr>
              <w:t>Prima infanzia</w:t>
            </w:r>
          </w:p>
        </w:tc>
        <w:tc>
          <w:tcPr>
            <w:tcW w:w="765" w:type="pct"/>
          </w:tcPr>
          <w:p w14:paraId="3E3DE186" w14:textId="149D7796" w:rsidR="00A648A5" w:rsidRDefault="00A648A5" w:rsidP="008E5982">
            <w:pPr>
              <w:jc w:val="center"/>
            </w:pPr>
            <w:r>
              <w:t>22</w:t>
            </w:r>
          </w:p>
        </w:tc>
        <w:tc>
          <w:tcPr>
            <w:tcW w:w="656" w:type="pct"/>
          </w:tcPr>
          <w:p w14:paraId="6701B22F" w14:textId="3BA0D800" w:rsidR="00A648A5" w:rsidRDefault="00A648A5" w:rsidP="008E5982">
            <w:pPr>
              <w:jc w:val="center"/>
            </w:pPr>
            <w:r>
              <w:t>43</w:t>
            </w:r>
          </w:p>
        </w:tc>
        <w:tc>
          <w:tcPr>
            <w:tcW w:w="657" w:type="pct"/>
          </w:tcPr>
          <w:p w14:paraId="471DB37A" w14:textId="248B54FD" w:rsidR="00A648A5" w:rsidRDefault="00A648A5" w:rsidP="008E5982">
            <w:pPr>
              <w:jc w:val="center"/>
            </w:pPr>
            <w:r>
              <w:t>7</w:t>
            </w:r>
          </w:p>
        </w:tc>
        <w:tc>
          <w:tcPr>
            <w:tcW w:w="657" w:type="pct"/>
          </w:tcPr>
          <w:p w14:paraId="597B3991" w14:textId="77777777" w:rsidR="00A648A5" w:rsidRDefault="00A648A5" w:rsidP="008E5982">
            <w:pPr>
              <w:jc w:val="center"/>
            </w:pPr>
            <w:r>
              <w:t>3</w:t>
            </w:r>
          </w:p>
        </w:tc>
        <w:tc>
          <w:tcPr>
            <w:tcW w:w="658" w:type="pct"/>
          </w:tcPr>
          <w:p w14:paraId="675C5F3E" w14:textId="77777777" w:rsidR="00A648A5" w:rsidRDefault="00A648A5" w:rsidP="008E5982">
            <w:pPr>
              <w:jc w:val="center"/>
            </w:pPr>
            <w:r>
              <w:t>1</w:t>
            </w:r>
          </w:p>
        </w:tc>
        <w:tc>
          <w:tcPr>
            <w:tcW w:w="657" w:type="pct"/>
            <w:tcBorders>
              <w:right w:val="single" w:sz="4" w:space="0" w:color="FFFFFF" w:themeColor="background1"/>
            </w:tcBorders>
          </w:tcPr>
          <w:p w14:paraId="5DBEB91E" w14:textId="77777777" w:rsidR="00A648A5" w:rsidRDefault="00A648A5" w:rsidP="008E5982">
            <w:pPr>
              <w:jc w:val="center"/>
            </w:pPr>
            <w:r>
              <w:t>76</w:t>
            </w:r>
          </w:p>
        </w:tc>
      </w:tr>
      <w:tr w:rsidR="00A648A5" w14:paraId="678E0046" w14:textId="77777777" w:rsidTr="00A648A5">
        <w:tc>
          <w:tcPr>
            <w:tcW w:w="950" w:type="pct"/>
            <w:tcBorders>
              <w:left w:val="single" w:sz="4" w:space="0" w:color="FFFFFF" w:themeColor="background1"/>
            </w:tcBorders>
            <w:shd w:val="clear" w:color="auto" w:fill="FAF9F8"/>
            <w:vAlign w:val="bottom"/>
          </w:tcPr>
          <w:p w14:paraId="78A8A5FA" w14:textId="10F489EE" w:rsidR="00A648A5" w:rsidRDefault="00A648A5" w:rsidP="008E5982">
            <w:r w:rsidRPr="00F0567C">
              <w:rPr>
                <w:rFonts w:eastAsia="Times New Roman" w:cs="Calibri"/>
                <w:b/>
                <w:bCs/>
                <w:color w:val="000000"/>
                <w:lang w:val="it" w:eastAsia="en-AU"/>
              </w:rPr>
              <w:t>Sicurezza</w:t>
            </w:r>
          </w:p>
        </w:tc>
        <w:tc>
          <w:tcPr>
            <w:tcW w:w="765" w:type="pct"/>
            <w:shd w:val="clear" w:color="auto" w:fill="FAF9F8"/>
          </w:tcPr>
          <w:p w14:paraId="78F4689E" w14:textId="77777777" w:rsidR="00A648A5" w:rsidRDefault="00A648A5" w:rsidP="008E5982">
            <w:pPr>
              <w:jc w:val="center"/>
            </w:pPr>
            <w:r>
              <w:t>49</w:t>
            </w:r>
          </w:p>
        </w:tc>
        <w:tc>
          <w:tcPr>
            <w:tcW w:w="656" w:type="pct"/>
            <w:shd w:val="clear" w:color="auto" w:fill="FAF9F8"/>
          </w:tcPr>
          <w:p w14:paraId="535E7EE4" w14:textId="77777777" w:rsidR="00A648A5" w:rsidRDefault="00A648A5" w:rsidP="008E5982">
            <w:pPr>
              <w:jc w:val="center"/>
            </w:pPr>
            <w:r>
              <w:t>52</w:t>
            </w:r>
          </w:p>
        </w:tc>
        <w:tc>
          <w:tcPr>
            <w:tcW w:w="657" w:type="pct"/>
            <w:shd w:val="clear" w:color="auto" w:fill="FAF9F8"/>
          </w:tcPr>
          <w:p w14:paraId="6B36D6A7" w14:textId="77777777" w:rsidR="00A648A5" w:rsidRDefault="00A648A5" w:rsidP="008E5982">
            <w:pPr>
              <w:jc w:val="center"/>
            </w:pPr>
            <w:r>
              <w:t>25</w:t>
            </w:r>
          </w:p>
        </w:tc>
        <w:tc>
          <w:tcPr>
            <w:tcW w:w="657" w:type="pct"/>
            <w:shd w:val="clear" w:color="auto" w:fill="FAF9F8"/>
          </w:tcPr>
          <w:p w14:paraId="31D5BF1A" w14:textId="77777777" w:rsidR="00A648A5" w:rsidRDefault="00A648A5" w:rsidP="008E5982">
            <w:pPr>
              <w:jc w:val="center"/>
            </w:pPr>
            <w:r>
              <w:t>4</w:t>
            </w:r>
          </w:p>
        </w:tc>
        <w:tc>
          <w:tcPr>
            <w:tcW w:w="658" w:type="pct"/>
            <w:shd w:val="clear" w:color="auto" w:fill="FAF9F8"/>
          </w:tcPr>
          <w:p w14:paraId="70111ACA" w14:textId="77777777" w:rsidR="00A648A5" w:rsidRDefault="00A648A5" w:rsidP="008E5982">
            <w:pPr>
              <w:jc w:val="center"/>
            </w:pPr>
            <w:r>
              <w:t>2</w:t>
            </w:r>
          </w:p>
        </w:tc>
        <w:tc>
          <w:tcPr>
            <w:tcW w:w="657" w:type="pct"/>
            <w:tcBorders>
              <w:right w:val="single" w:sz="4" w:space="0" w:color="FFFFFF" w:themeColor="background1"/>
            </w:tcBorders>
            <w:shd w:val="clear" w:color="auto" w:fill="FAF9F8"/>
          </w:tcPr>
          <w:p w14:paraId="5B3DA91F" w14:textId="77777777" w:rsidR="00A648A5" w:rsidRDefault="00A648A5" w:rsidP="008E5982">
            <w:pPr>
              <w:jc w:val="center"/>
            </w:pPr>
            <w:r>
              <w:t>132</w:t>
            </w:r>
          </w:p>
        </w:tc>
      </w:tr>
      <w:tr w:rsidR="00A648A5" w14:paraId="5EC5808A" w14:textId="77777777" w:rsidTr="00A648A5">
        <w:tc>
          <w:tcPr>
            <w:tcW w:w="950" w:type="pct"/>
            <w:tcBorders>
              <w:left w:val="single" w:sz="4" w:space="0" w:color="FFFFFF" w:themeColor="background1"/>
            </w:tcBorders>
            <w:vAlign w:val="bottom"/>
          </w:tcPr>
          <w:p w14:paraId="4DAD5A7D" w14:textId="3BD74A4A" w:rsidR="00A648A5" w:rsidRDefault="00A648A5" w:rsidP="008E5982">
            <w:r w:rsidRPr="00F0567C">
              <w:rPr>
                <w:rFonts w:eastAsia="Times New Roman" w:cs="Calibri"/>
                <w:b/>
                <w:bCs/>
                <w:color w:val="000000"/>
                <w:lang w:val="it" w:eastAsia="en-AU"/>
              </w:rPr>
              <w:t>Gestione delle emergenze</w:t>
            </w:r>
          </w:p>
        </w:tc>
        <w:tc>
          <w:tcPr>
            <w:tcW w:w="765" w:type="pct"/>
          </w:tcPr>
          <w:p w14:paraId="0E755E2E" w14:textId="77777777" w:rsidR="00A648A5" w:rsidRDefault="00A648A5" w:rsidP="008E5982">
            <w:pPr>
              <w:jc w:val="center"/>
            </w:pPr>
            <w:r>
              <w:t>21</w:t>
            </w:r>
          </w:p>
        </w:tc>
        <w:tc>
          <w:tcPr>
            <w:tcW w:w="656" w:type="pct"/>
          </w:tcPr>
          <w:p w14:paraId="47AACC59" w14:textId="77777777" w:rsidR="00A648A5" w:rsidRDefault="00A648A5" w:rsidP="008E5982">
            <w:pPr>
              <w:jc w:val="center"/>
            </w:pPr>
            <w:r>
              <w:t>34</w:t>
            </w:r>
          </w:p>
        </w:tc>
        <w:tc>
          <w:tcPr>
            <w:tcW w:w="657" w:type="pct"/>
          </w:tcPr>
          <w:p w14:paraId="7E6E50AA" w14:textId="77777777" w:rsidR="00A648A5" w:rsidRDefault="00A648A5" w:rsidP="008E5982">
            <w:pPr>
              <w:jc w:val="center"/>
            </w:pPr>
            <w:r>
              <w:t>3</w:t>
            </w:r>
          </w:p>
        </w:tc>
        <w:tc>
          <w:tcPr>
            <w:tcW w:w="657" w:type="pct"/>
          </w:tcPr>
          <w:p w14:paraId="69197DE5" w14:textId="77777777" w:rsidR="00A648A5" w:rsidRDefault="00A648A5" w:rsidP="008E5982">
            <w:pPr>
              <w:jc w:val="center"/>
            </w:pPr>
            <w:r>
              <w:t>0</w:t>
            </w:r>
          </w:p>
        </w:tc>
        <w:tc>
          <w:tcPr>
            <w:tcW w:w="658" w:type="pct"/>
          </w:tcPr>
          <w:p w14:paraId="11FFA903" w14:textId="77777777" w:rsidR="00A648A5" w:rsidRDefault="00A648A5" w:rsidP="008E5982">
            <w:pPr>
              <w:jc w:val="center"/>
            </w:pPr>
            <w:r>
              <w:t>0</w:t>
            </w:r>
          </w:p>
        </w:tc>
        <w:tc>
          <w:tcPr>
            <w:tcW w:w="657" w:type="pct"/>
            <w:tcBorders>
              <w:right w:val="single" w:sz="4" w:space="0" w:color="FFFFFF" w:themeColor="background1"/>
            </w:tcBorders>
          </w:tcPr>
          <w:p w14:paraId="1803A45F" w14:textId="77777777" w:rsidR="00A648A5" w:rsidRDefault="00A648A5" w:rsidP="008E5982">
            <w:pPr>
              <w:jc w:val="center"/>
            </w:pPr>
            <w:r>
              <w:t>58</w:t>
            </w:r>
          </w:p>
        </w:tc>
      </w:tr>
      <w:tr w:rsidR="00A648A5" w14:paraId="54E3F3FD" w14:textId="77777777" w:rsidTr="00A648A5">
        <w:tc>
          <w:tcPr>
            <w:tcW w:w="950" w:type="pct"/>
            <w:tcBorders>
              <w:left w:val="single" w:sz="4" w:space="0" w:color="FFFFFF" w:themeColor="background1"/>
            </w:tcBorders>
            <w:shd w:val="clear" w:color="auto" w:fill="E4E9F3"/>
            <w:vAlign w:val="bottom"/>
          </w:tcPr>
          <w:p w14:paraId="59E11888" w14:textId="21B8F0D1" w:rsidR="00A648A5" w:rsidRPr="00E004AD" w:rsidRDefault="00A648A5" w:rsidP="008E5982">
            <w:pPr>
              <w:rPr>
                <w:b/>
              </w:rPr>
            </w:pPr>
            <w:r w:rsidRPr="00F0567C">
              <w:rPr>
                <w:rFonts w:eastAsia="Times New Roman" w:cs="Calibri"/>
                <w:b/>
                <w:bCs/>
                <w:color w:val="000000"/>
                <w:lang w:val="it" w:eastAsia="en-AU"/>
              </w:rPr>
              <w:t>Totale</w:t>
            </w:r>
          </w:p>
        </w:tc>
        <w:tc>
          <w:tcPr>
            <w:tcW w:w="765" w:type="pct"/>
            <w:shd w:val="clear" w:color="auto" w:fill="E4E9F3"/>
          </w:tcPr>
          <w:p w14:paraId="2B76F08D" w14:textId="5607FB40" w:rsidR="00A648A5" w:rsidRPr="00E004AD" w:rsidRDefault="00A648A5" w:rsidP="008E5982">
            <w:pPr>
              <w:jc w:val="center"/>
              <w:rPr>
                <w:b/>
              </w:rPr>
            </w:pPr>
            <w:r>
              <w:rPr>
                <w:b/>
              </w:rPr>
              <w:t>144</w:t>
            </w:r>
          </w:p>
        </w:tc>
        <w:tc>
          <w:tcPr>
            <w:tcW w:w="656" w:type="pct"/>
            <w:shd w:val="clear" w:color="auto" w:fill="E4E9F3"/>
          </w:tcPr>
          <w:p w14:paraId="0CF70E38" w14:textId="10483159" w:rsidR="00A648A5" w:rsidRPr="00E004AD" w:rsidRDefault="00A648A5" w:rsidP="008E5982">
            <w:pPr>
              <w:jc w:val="center"/>
              <w:rPr>
                <w:b/>
              </w:rPr>
            </w:pPr>
            <w:r>
              <w:rPr>
                <w:b/>
              </w:rPr>
              <w:t>209</w:t>
            </w:r>
          </w:p>
        </w:tc>
        <w:tc>
          <w:tcPr>
            <w:tcW w:w="657" w:type="pct"/>
            <w:shd w:val="clear" w:color="auto" w:fill="E4E9F3"/>
          </w:tcPr>
          <w:p w14:paraId="7CE92845" w14:textId="3C99E917" w:rsidR="00A648A5" w:rsidRPr="00E004AD" w:rsidRDefault="00A648A5" w:rsidP="008E5982">
            <w:pPr>
              <w:jc w:val="center"/>
              <w:rPr>
                <w:b/>
              </w:rPr>
            </w:pPr>
            <w:r>
              <w:rPr>
                <w:b/>
              </w:rPr>
              <w:t>54</w:t>
            </w:r>
          </w:p>
        </w:tc>
        <w:tc>
          <w:tcPr>
            <w:tcW w:w="657" w:type="pct"/>
            <w:shd w:val="clear" w:color="auto" w:fill="E4E9F3"/>
          </w:tcPr>
          <w:p w14:paraId="17BAEC89" w14:textId="77777777" w:rsidR="00A648A5" w:rsidRPr="00E004AD" w:rsidRDefault="00A648A5" w:rsidP="008E5982">
            <w:pPr>
              <w:jc w:val="center"/>
              <w:rPr>
                <w:b/>
              </w:rPr>
            </w:pPr>
            <w:r>
              <w:rPr>
                <w:b/>
              </w:rPr>
              <w:t>7</w:t>
            </w:r>
          </w:p>
        </w:tc>
        <w:tc>
          <w:tcPr>
            <w:tcW w:w="658" w:type="pct"/>
            <w:shd w:val="clear" w:color="auto" w:fill="E4E9F3"/>
          </w:tcPr>
          <w:p w14:paraId="7910F4D8" w14:textId="77777777" w:rsidR="00A648A5" w:rsidRPr="00E004AD" w:rsidRDefault="00A648A5" w:rsidP="008E5982">
            <w:pPr>
              <w:jc w:val="center"/>
              <w:rPr>
                <w:b/>
              </w:rPr>
            </w:pPr>
            <w:r>
              <w:rPr>
                <w:b/>
              </w:rPr>
              <w:t>3</w:t>
            </w:r>
          </w:p>
        </w:tc>
        <w:tc>
          <w:tcPr>
            <w:tcW w:w="657" w:type="pct"/>
            <w:tcBorders>
              <w:right w:val="single" w:sz="4" w:space="0" w:color="FFFFFF" w:themeColor="background1"/>
            </w:tcBorders>
            <w:shd w:val="clear" w:color="auto" w:fill="E4E9F3"/>
          </w:tcPr>
          <w:p w14:paraId="1A8E01B3" w14:textId="77777777" w:rsidR="00A648A5" w:rsidRPr="00E004AD" w:rsidRDefault="00A648A5" w:rsidP="008E5982">
            <w:pPr>
              <w:jc w:val="center"/>
              <w:rPr>
                <w:b/>
              </w:rPr>
            </w:pPr>
            <w:r>
              <w:rPr>
                <w:b/>
              </w:rPr>
              <w:t>417</w:t>
            </w:r>
          </w:p>
        </w:tc>
      </w:tr>
      <w:tr w:rsidR="00A648A5" w14:paraId="434C7C47" w14:textId="77777777" w:rsidTr="00A648A5">
        <w:tc>
          <w:tcPr>
            <w:tcW w:w="950" w:type="pct"/>
            <w:tcBorders>
              <w:left w:val="single" w:sz="4" w:space="0" w:color="FFFFFF" w:themeColor="background1"/>
              <w:bottom w:val="single" w:sz="4" w:space="0" w:color="FFFFFF" w:themeColor="background1"/>
            </w:tcBorders>
            <w:vAlign w:val="bottom"/>
          </w:tcPr>
          <w:p w14:paraId="48140115" w14:textId="1756356B" w:rsidR="00A648A5" w:rsidRPr="00E004AD" w:rsidRDefault="00A648A5" w:rsidP="008E5982">
            <w:pPr>
              <w:rPr>
                <w:b/>
              </w:rPr>
            </w:pPr>
            <w:r w:rsidRPr="00F0567C">
              <w:rPr>
                <w:rFonts w:eastAsia="Times New Roman" w:cs="Calibri"/>
                <w:b/>
                <w:bCs/>
                <w:color w:val="000000"/>
                <w:lang w:val="it" w:eastAsia="en-AU"/>
              </w:rPr>
              <w:t>Percentuale</w:t>
            </w:r>
          </w:p>
        </w:tc>
        <w:tc>
          <w:tcPr>
            <w:tcW w:w="765" w:type="pct"/>
            <w:tcBorders>
              <w:bottom w:val="single" w:sz="4" w:space="0" w:color="FFFFFF" w:themeColor="background1"/>
            </w:tcBorders>
          </w:tcPr>
          <w:p w14:paraId="427A6A1B" w14:textId="28ED0EE3" w:rsidR="00A648A5" w:rsidRPr="00E004AD" w:rsidRDefault="00A648A5" w:rsidP="00C43D7A">
            <w:pPr>
              <w:jc w:val="center"/>
              <w:rPr>
                <w:b/>
              </w:rPr>
            </w:pPr>
            <w:r>
              <w:rPr>
                <w:b/>
              </w:rPr>
              <w:t>35%</w:t>
            </w:r>
          </w:p>
        </w:tc>
        <w:tc>
          <w:tcPr>
            <w:tcW w:w="656" w:type="pct"/>
            <w:tcBorders>
              <w:bottom w:val="single" w:sz="4" w:space="0" w:color="FFFFFF" w:themeColor="background1"/>
            </w:tcBorders>
          </w:tcPr>
          <w:p w14:paraId="6D4561BA" w14:textId="77777777" w:rsidR="00A648A5" w:rsidRPr="00E004AD" w:rsidRDefault="00A648A5" w:rsidP="008E5982">
            <w:pPr>
              <w:jc w:val="center"/>
              <w:rPr>
                <w:b/>
              </w:rPr>
            </w:pPr>
            <w:r>
              <w:rPr>
                <w:b/>
              </w:rPr>
              <w:t>50%</w:t>
            </w:r>
          </w:p>
        </w:tc>
        <w:tc>
          <w:tcPr>
            <w:tcW w:w="657" w:type="pct"/>
            <w:tcBorders>
              <w:bottom w:val="single" w:sz="4" w:space="0" w:color="FFFFFF" w:themeColor="background1"/>
            </w:tcBorders>
          </w:tcPr>
          <w:p w14:paraId="19C30732" w14:textId="2960DEBA" w:rsidR="00A648A5" w:rsidRPr="00E004AD" w:rsidRDefault="00A648A5" w:rsidP="00400E39">
            <w:pPr>
              <w:jc w:val="center"/>
              <w:rPr>
                <w:b/>
              </w:rPr>
            </w:pPr>
            <w:r>
              <w:rPr>
                <w:b/>
              </w:rPr>
              <w:t>13%</w:t>
            </w:r>
          </w:p>
        </w:tc>
        <w:tc>
          <w:tcPr>
            <w:tcW w:w="657" w:type="pct"/>
            <w:tcBorders>
              <w:bottom w:val="single" w:sz="4" w:space="0" w:color="FFFFFF" w:themeColor="background1"/>
            </w:tcBorders>
          </w:tcPr>
          <w:p w14:paraId="69F7CEEC" w14:textId="77777777" w:rsidR="00A648A5" w:rsidRPr="00E004AD" w:rsidRDefault="00A648A5" w:rsidP="008E5982">
            <w:pPr>
              <w:jc w:val="center"/>
              <w:rPr>
                <w:b/>
              </w:rPr>
            </w:pPr>
            <w:r>
              <w:rPr>
                <w:b/>
              </w:rPr>
              <w:t>2%</w:t>
            </w:r>
          </w:p>
        </w:tc>
        <w:tc>
          <w:tcPr>
            <w:tcW w:w="658" w:type="pct"/>
            <w:tcBorders>
              <w:bottom w:val="single" w:sz="4" w:space="0" w:color="FFFFFF" w:themeColor="background1"/>
            </w:tcBorders>
          </w:tcPr>
          <w:p w14:paraId="62CA11B1" w14:textId="77777777" w:rsidR="00A648A5" w:rsidRPr="00E004AD" w:rsidRDefault="00A648A5" w:rsidP="008E5982">
            <w:pPr>
              <w:jc w:val="center"/>
              <w:rPr>
                <w:b/>
              </w:rPr>
            </w:pPr>
            <w:r>
              <w:rPr>
                <w:b/>
              </w:rPr>
              <w:t>1%</w:t>
            </w:r>
          </w:p>
        </w:tc>
        <w:tc>
          <w:tcPr>
            <w:tcW w:w="657" w:type="pct"/>
            <w:tcBorders>
              <w:bottom w:val="single" w:sz="4" w:space="0" w:color="FFFFFF" w:themeColor="background1"/>
              <w:right w:val="single" w:sz="4" w:space="0" w:color="FFFFFF" w:themeColor="background1"/>
            </w:tcBorders>
          </w:tcPr>
          <w:p w14:paraId="7D15AAF5" w14:textId="77777777" w:rsidR="00A648A5" w:rsidRPr="00E004AD" w:rsidRDefault="00A648A5" w:rsidP="008E5982">
            <w:pPr>
              <w:jc w:val="center"/>
              <w:rPr>
                <w:b/>
              </w:rPr>
            </w:pPr>
          </w:p>
        </w:tc>
      </w:tr>
    </w:tbl>
    <w:p w14:paraId="6848929F" w14:textId="6E337E70" w:rsidR="00B875C3" w:rsidRPr="004B6F53" w:rsidRDefault="00A648A5" w:rsidP="002E47A1">
      <w:pPr>
        <w:spacing w:before="240" w:after="240"/>
        <w:rPr>
          <w:sz w:val="20"/>
          <w:szCs w:val="20"/>
        </w:rPr>
      </w:pPr>
      <w:r w:rsidRPr="00030BB0">
        <w:rPr>
          <w:rFonts w:cs="Arial"/>
          <w:sz w:val="20"/>
          <w:szCs w:val="20"/>
          <w:lang w:val="it-IT"/>
        </w:rPr>
        <w:t>Nota: il totale delle percentuali potrebbe non ammontare a 100 a causa degli arrotondamenti.</w:t>
      </w:r>
      <w:r w:rsidR="00B875C3" w:rsidRPr="004B6F53">
        <w:rPr>
          <w:sz w:val="20"/>
          <w:szCs w:val="20"/>
        </w:rPr>
        <w:t xml:space="preserve"> </w:t>
      </w:r>
    </w:p>
    <w:sectPr w:rsidR="00B875C3" w:rsidRPr="004B6F53" w:rsidSect="00BE6FD4">
      <w:footerReference w:type="default" r:id="rId26"/>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DD5550" w:rsidRDefault="00DD5550" w:rsidP="00B04ED8">
      <w:pPr>
        <w:spacing w:after="0" w:line="240" w:lineRule="auto"/>
      </w:pPr>
      <w:r>
        <w:separator/>
      </w:r>
    </w:p>
  </w:endnote>
  <w:endnote w:type="continuationSeparator" w:id="0">
    <w:p w14:paraId="42740353" w14:textId="77777777" w:rsidR="00DD5550" w:rsidRDefault="00DD555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DD5550" w:rsidRPr="008D68E6" w:rsidRDefault="00DD5550" w:rsidP="000842DE">
        <w:pPr>
          <w:pStyle w:val="Footer"/>
          <w:pBdr>
            <w:top w:val="single" w:sz="24" w:space="1" w:color="E5E8F2"/>
          </w:pBdr>
          <w:jc w:val="right"/>
          <w:rPr>
            <w:rFonts w:ascii="Calibri" w:hAnsi="Calibri" w:cs="Calibri"/>
            <w:color w:val="939698"/>
            <w:sz w:val="20"/>
            <w:szCs w:val="20"/>
          </w:rPr>
        </w:pPr>
      </w:p>
      <w:p w14:paraId="58322F3C" w14:textId="25254214" w:rsidR="00DD5550" w:rsidRPr="008D68E6" w:rsidRDefault="00DD5550" w:rsidP="000842DE">
        <w:pPr>
          <w:pStyle w:val="Footer"/>
          <w:pBdr>
            <w:top w:val="single" w:sz="24" w:space="1" w:color="E5E8F2"/>
          </w:pBdr>
          <w:jc w:val="right"/>
          <w:rPr>
            <w:rFonts w:ascii="Calibri" w:hAnsi="Calibri" w:cs="Calibri"/>
            <w:sz w:val="20"/>
            <w:szCs w:val="20"/>
          </w:rPr>
        </w:pPr>
        <w:proofErr w:type="spellStart"/>
        <w:r w:rsidRPr="00365617">
          <w:rPr>
            <w:rFonts w:ascii="Calibri" w:hAnsi="Calibri" w:cs="Calibri"/>
            <w:color w:val="000000" w:themeColor="text1"/>
            <w:sz w:val="20"/>
            <w:szCs w:val="20"/>
          </w:rPr>
          <w:t>Relazione</w:t>
        </w:r>
        <w:proofErr w:type="spellEnd"/>
        <w:r w:rsidRPr="00365617">
          <w:rPr>
            <w:rFonts w:ascii="Calibri" w:hAnsi="Calibri" w:cs="Calibri"/>
            <w:color w:val="000000" w:themeColor="text1"/>
            <w:sz w:val="20"/>
            <w:szCs w:val="20"/>
          </w:rPr>
          <w:t xml:space="preserve"> sui </w:t>
        </w:r>
        <w:proofErr w:type="spellStart"/>
        <w:r w:rsidRPr="00365617">
          <w:rPr>
            <w:rFonts w:ascii="Calibri" w:hAnsi="Calibri" w:cs="Calibri"/>
            <w:color w:val="000000" w:themeColor="text1"/>
            <w:sz w:val="20"/>
            <w:szCs w:val="20"/>
          </w:rPr>
          <w:t>piani</w:t>
        </w:r>
        <w:proofErr w:type="spellEnd"/>
        <w:r w:rsidRPr="00365617">
          <w:rPr>
            <w:rFonts w:ascii="Calibri" w:hAnsi="Calibri" w:cs="Calibri"/>
            <w:color w:val="000000" w:themeColor="text1"/>
            <w:sz w:val="20"/>
            <w:szCs w:val="20"/>
          </w:rPr>
          <w:t xml:space="preserve"> </w:t>
        </w:r>
        <w:proofErr w:type="spellStart"/>
        <w:r w:rsidRPr="00365617">
          <w:rPr>
            <w:rFonts w:ascii="Calibri" w:hAnsi="Calibri" w:cs="Calibri"/>
            <w:color w:val="000000" w:themeColor="text1"/>
            <w:sz w:val="20"/>
            <w:szCs w:val="20"/>
          </w:rPr>
          <w:t>d'azione</w:t>
        </w:r>
        <w:proofErr w:type="spellEnd"/>
        <w:r w:rsidRPr="00365617">
          <w:rPr>
            <w:rFonts w:ascii="Calibri" w:hAnsi="Calibri" w:cs="Calibri"/>
            <w:color w:val="000000" w:themeColor="text1"/>
            <w:sz w:val="20"/>
            <w:szCs w:val="20"/>
          </w:rPr>
          <w:t xml:space="preserve"> </w:t>
        </w:r>
        <w:proofErr w:type="spellStart"/>
        <w:r w:rsidRPr="00365617">
          <w:rPr>
            <w:rFonts w:ascii="Calibri" w:hAnsi="Calibri" w:cs="Calibri"/>
            <w:color w:val="000000" w:themeColor="text1"/>
            <w:sz w:val="20"/>
            <w:szCs w:val="20"/>
          </w:rPr>
          <w:t>mirati</w:t>
        </w:r>
        <w:proofErr w:type="spellEnd"/>
        <w:r w:rsidRPr="00365617">
          <w:rPr>
            <w:rFonts w:ascii="Calibri" w:hAnsi="Calibri" w:cs="Calibri"/>
            <w:color w:val="000000" w:themeColor="text1"/>
            <w:sz w:val="20"/>
            <w:szCs w:val="20"/>
          </w:rPr>
          <w:t xml:space="preserve">, Dal 1° </w:t>
        </w:r>
        <w:proofErr w:type="spellStart"/>
        <w:r w:rsidRPr="00365617">
          <w:rPr>
            <w:rFonts w:ascii="Calibri" w:hAnsi="Calibri" w:cs="Calibri"/>
            <w:color w:val="000000" w:themeColor="text1"/>
            <w:sz w:val="20"/>
            <w:szCs w:val="20"/>
          </w:rPr>
          <w:t>luglio</w:t>
        </w:r>
        <w:proofErr w:type="spellEnd"/>
        <w:r w:rsidRPr="00365617">
          <w:rPr>
            <w:rFonts w:ascii="Calibri" w:hAnsi="Calibri" w:cs="Calibri"/>
            <w:color w:val="000000" w:themeColor="text1"/>
            <w:sz w:val="20"/>
            <w:szCs w:val="20"/>
          </w:rPr>
          <w:t xml:space="preserve"> 2022 al 30 </w:t>
        </w:r>
        <w:proofErr w:type="spellStart"/>
        <w:r w:rsidRPr="00365617">
          <w:rPr>
            <w:rFonts w:ascii="Calibri" w:hAnsi="Calibri" w:cs="Calibri"/>
            <w:color w:val="000000" w:themeColor="text1"/>
            <w:sz w:val="20"/>
            <w:szCs w:val="20"/>
          </w:rPr>
          <w:t>giugno</w:t>
        </w:r>
        <w:proofErr w:type="spellEnd"/>
        <w:r w:rsidRPr="00365617">
          <w:rPr>
            <w:rFonts w:ascii="Calibri" w:hAnsi="Calibri" w:cs="Calibri"/>
            <w:color w:val="000000" w:themeColor="text1"/>
            <w:sz w:val="20"/>
            <w:szCs w:val="20"/>
          </w:rPr>
          <w:t xml:space="preserv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8E3222">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DD5550" w:rsidRPr="008D68E6" w:rsidRDefault="00DD5550" w:rsidP="000842DE">
        <w:pPr>
          <w:pStyle w:val="Footer"/>
          <w:pBdr>
            <w:top w:val="single" w:sz="24" w:space="1" w:color="E5E8F2"/>
          </w:pBdr>
          <w:jc w:val="right"/>
          <w:rPr>
            <w:rFonts w:ascii="Calibri" w:hAnsi="Calibri" w:cs="Calibri"/>
            <w:color w:val="939698"/>
            <w:sz w:val="20"/>
            <w:szCs w:val="20"/>
          </w:rPr>
        </w:pPr>
      </w:p>
      <w:p w14:paraId="1814014A" w14:textId="2BFD3713" w:rsidR="00DD5550" w:rsidRPr="008D68E6" w:rsidRDefault="00DD5550" w:rsidP="000842DE">
        <w:pPr>
          <w:pStyle w:val="Footer"/>
          <w:pBdr>
            <w:top w:val="single" w:sz="24" w:space="1" w:color="E5E8F2"/>
          </w:pBdr>
          <w:jc w:val="right"/>
          <w:rPr>
            <w:rFonts w:ascii="Calibri" w:hAnsi="Calibri" w:cs="Calibri"/>
            <w:sz w:val="20"/>
            <w:szCs w:val="20"/>
          </w:rPr>
        </w:pPr>
        <w:proofErr w:type="spellStart"/>
        <w:r w:rsidRPr="00365617">
          <w:rPr>
            <w:rFonts w:ascii="Calibri" w:hAnsi="Calibri" w:cs="Calibri"/>
            <w:color w:val="000000" w:themeColor="text1"/>
            <w:sz w:val="20"/>
            <w:szCs w:val="20"/>
          </w:rPr>
          <w:t>Relazione</w:t>
        </w:r>
        <w:proofErr w:type="spellEnd"/>
        <w:r w:rsidRPr="00365617">
          <w:rPr>
            <w:rFonts w:ascii="Calibri" w:hAnsi="Calibri" w:cs="Calibri"/>
            <w:color w:val="000000" w:themeColor="text1"/>
            <w:sz w:val="20"/>
            <w:szCs w:val="20"/>
          </w:rPr>
          <w:t xml:space="preserve"> sui </w:t>
        </w:r>
        <w:proofErr w:type="spellStart"/>
        <w:r w:rsidRPr="00365617">
          <w:rPr>
            <w:rFonts w:ascii="Calibri" w:hAnsi="Calibri" w:cs="Calibri"/>
            <w:color w:val="000000" w:themeColor="text1"/>
            <w:sz w:val="20"/>
            <w:szCs w:val="20"/>
          </w:rPr>
          <w:t>piani</w:t>
        </w:r>
        <w:proofErr w:type="spellEnd"/>
        <w:r w:rsidRPr="00365617">
          <w:rPr>
            <w:rFonts w:ascii="Calibri" w:hAnsi="Calibri" w:cs="Calibri"/>
            <w:color w:val="000000" w:themeColor="text1"/>
            <w:sz w:val="20"/>
            <w:szCs w:val="20"/>
          </w:rPr>
          <w:t xml:space="preserve"> </w:t>
        </w:r>
        <w:proofErr w:type="spellStart"/>
        <w:r w:rsidRPr="00365617">
          <w:rPr>
            <w:rFonts w:ascii="Calibri" w:hAnsi="Calibri" w:cs="Calibri"/>
            <w:color w:val="000000" w:themeColor="text1"/>
            <w:sz w:val="20"/>
            <w:szCs w:val="20"/>
          </w:rPr>
          <w:t>d'azione</w:t>
        </w:r>
        <w:proofErr w:type="spellEnd"/>
        <w:r w:rsidRPr="00365617">
          <w:rPr>
            <w:rFonts w:ascii="Calibri" w:hAnsi="Calibri" w:cs="Calibri"/>
            <w:color w:val="000000" w:themeColor="text1"/>
            <w:sz w:val="20"/>
            <w:szCs w:val="20"/>
          </w:rPr>
          <w:t xml:space="preserve"> </w:t>
        </w:r>
        <w:proofErr w:type="spellStart"/>
        <w:r w:rsidRPr="00365617">
          <w:rPr>
            <w:rFonts w:ascii="Calibri" w:hAnsi="Calibri" w:cs="Calibri"/>
            <w:color w:val="000000" w:themeColor="text1"/>
            <w:sz w:val="20"/>
            <w:szCs w:val="20"/>
          </w:rPr>
          <w:t>mirati</w:t>
        </w:r>
        <w:proofErr w:type="spellEnd"/>
        <w:r w:rsidRPr="00365617">
          <w:rPr>
            <w:rFonts w:ascii="Calibri" w:hAnsi="Calibri" w:cs="Calibri"/>
            <w:color w:val="000000" w:themeColor="text1"/>
            <w:sz w:val="20"/>
            <w:szCs w:val="20"/>
          </w:rPr>
          <w:t xml:space="preserve">, Dal 1° </w:t>
        </w:r>
        <w:proofErr w:type="spellStart"/>
        <w:r w:rsidRPr="00365617">
          <w:rPr>
            <w:rFonts w:ascii="Calibri" w:hAnsi="Calibri" w:cs="Calibri"/>
            <w:color w:val="000000" w:themeColor="text1"/>
            <w:sz w:val="20"/>
            <w:szCs w:val="20"/>
          </w:rPr>
          <w:t>luglio</w:t>
        </w:r>
        <w:proofErr w:type="spellEnd"/>
        <w:r w:rsidRPr="00365617">
          <w:rPr>
            <w:rFonts w:ascii="Calibri" w:hAnsi="Calibri" w:cs="Calibri"/>
            <w:color w:val="000000" w:themeColor="text1"/>
            <w:sz w:val="20"/>
            <w:szCs w:val="20"/>
          </w:rPr>
          <w:t xml:space="preserve"> 2022 al 30 </w:t>
        </w:r>
        <w:proofErr w:type="spellStart"/>
        <w:r w:rsidRPr="00365617">
          <w:rPr>
            <w:rFonts w:ascii="Calibri" w:hAnsi="Calibri" w:cs="Calibri"/>
            <w:color w:val="000000" w:themeColor="text1"/>
            <w:sz w:val="20"/>
            <w:szCs w:val="20"/>
          </w:rPr>
          <w:t>giugno</w:t>
        </w:r>
        <w:proofErr w:type="spellEnd"/>
        <w:r w:rsidRPr="00365617">
          <w:rPr>
            <w:rFonts w:ascii="Calibri" w:hAnsi="Calibri" w:cs="Calibri"/>
            <w:color w:val="000000" w:themeColor="text1"/>
            <w:sz w:val="20"/>
            <w:szCs w:val="20"/>
          </w:rPr>
          <w:t xml:space="preserv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8E3222">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DD5550" w:rsidRDefault="00DD5550" w:rsidP="00B04ED8">
      <w:pPr>
        <w:spacing w:after="0" w:line="240" w:lineRule="auto"/>
      </w:pPr>
      <w:r>
        <w:separator/>
      </w:r>
    </w:p>
  </w:footnote>
  <w:footnote w:type="continuationSeparator" w:id="0">
    <w:p w14:paraId="6D32BA53" w14:textId="77777777" w:rsidR="00DD5550" w:rsidRDefault="00DD5550"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3911EC"/>
    <w:multiLevelType w:val="hybridMultilevel"/>
    <w:tmpl w:val="6660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80D54C9"/>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17">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21">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21"/>
  </w:num>
  <w:num w:numId="5">
    <w:abstractNumId w:val="3"/>
  </w:num>
  <w:num w:numId="6">
    <w:abstractNumId w:val="6"/>
  </w:num>
  <w:num w:numId="7">
    <w:abstractNumId w:val="12"/>
  </w:num>
  <w:num w:numId="8">
    <w:abstractNumId w:val="7"/>
  </w:num>
  <w:num w:numId="9">
    <w:abstractNumId w:val="18"/>
  </w:num>
  <w:num w:numId="10">
    <w:abstractNumId w:val="1"/>
  </w:num>
  <w:num w:numId="11">
    <w:abstractNumId w:val="16"/>
  </w:num>
  <w:num w:numId="12">
    <w:abstractNumId w:val="20"/>
  </w:num>
  <w:num w:numId="13">
    <w:abstractNumId w:val="13"/>
  </w:num>
  <w:num w:numId="14">
    <w:abstractNumId w:val="19"/>
  </w:num>
  <w:num w:numId="15">
    <w:abstractNumId w:val="2"/>
  </w:num>
  <w:num w:numId="16">
    <w:abstractNumId w:val="4"/>
  </w:num>
  <w:num w:numId="17">
    <w:abstractNumId w:val="11"/>
  </w:num>
  <w:num w:numId="18">
    <w:abstractNumId w:val="8"/>
  </w:num>
  <w:num w:numId="19">
    <w:abstractNumId w:val="5"/>
  </w:num>
  <w:num w:numId="20">
    <w:abstractNumId w:val="15"/>
  </w:num>
  <w:num w:numId="21">
    <w:abstractNumId w:val="10"/>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2461F"/>
    <w:rsid w:val="00027964"/>
    <w:rsid w:val="00032380"/>
    <w:rsid w:val="00054AF7"/>
    <w:rsid w:val="00062609"/>
    <w:rsid w:val="00064185"/>
    <w:rsid w:val="00065963"/>
    <w:rsid w:val="00072BB5"/>
    <w:rsid w:val="000744B1"/>
    <w:rsid w:val="0008159F"/>
    <w:rsid w:val="000842DE"/>
    <w:rsid w:val="0008481A"/>
    <w:rsid w:val="0008481B"/>
    <w:rsid w:val="00087F54"/>
    <w:rsid w:val="00097CF4"/>
    <w:rsid w:val="000A4D76"/>
    <w:rsid w:val="000B1E9C"/>
    <w:rsid w:val="000B4C34"/>
    <w:rsid w:val="000B7567"/>
    <w:rsid w:val="000C06E7"/>
    <w:rsid w:val="000C25D7"/>
    <w:rsid w:val="000C44A7"/>
    <w:rsid w:val="000D121A"/>
    <w:rsid w:val="000E3914"/>
    <w:rsid w:val="000E74AC"/>
    <w:rsid w:val="000F20C1"/>
    <w:rsid w:val="000F5749"/>
    <w:rsid w:val="000F751D"/>
    <w:rsid w:val="00107A64"/>
    <w:rsid w:val="001227BC"/>
    <w:rsid w:val="00130F7F"/>
    <w:rsid w:val="001314C7"/>
    <w:rsid w:val="00135FDA"/>
    <w:rsid w:val="00136C9D"/>
    <w:rsid w:val="00145C35"/>
    <w:rsid w:val="00160E9C"/>
    <w:rsid w:val="001625BD"/>
    <w:rsid w:val="00162A80"/>
    <w:rsid w:val="00162EC2"/>
    <w:rsid w:val="001907FB"/>
    <w:rsid w:val="00196D08"/>
    <w:rsid w:val="001A27A6"/>
    <w:rsid w:val="001B075A"/>
    <w:rsid w:val="001B3C6F"/>
    <w:rsid w:val="001B5646"/>
    <w:rsid w:val="001B6060"/>
    <w:rsid w:val="001B610F"/>
    <w:rsid w:val="001D17A1"/>
    <w:rsid w:val="001D3579"/>
    <w:rsid w:val="001E4795"/>
    <w:rsid w:val="001E4818"/>
    <w:rsid w:val="001E60DF"/>
    <w:rsid w:val="001E630D"/>
    <w:rsid w:val="001E7183"/>
    <w:rsid w:val="001E74CA"/>
    <w:rsid w:val="001F051E"/>
    <w:rsid w:val="001F5099"/>
    <w:rsid w:val="001F78E6"/>
    <w:rsid w:val="001F7ED0"/>
    <w:rsid w:val="00201F28"/>
    <w:rsid w:val="002032F9"/>
    <w:rsid w:val="0020422A"/>
    <w:rsid w:val="002054BA"/>
    <w:rsid w:val="00212F83"/>
    <w:rsid w:val="0022371C"/>
    <w:rsid w:val="00227B7A"/>
    <w:rsid w:val="00235305"/>
    <w:rsid w:val="002464B7"/>
    <w:rsid w:val="002466B8"/>
    <w:rsid w:val="0025126E"/>
    <w:rsid w:val="00254EB9"/>
    <w:rsid w:val="002643AF"/>
    <w:rsid w:val="00266C8F"/>
    <w:rsid w:val="00266F93"/>
    <w:rsid w:val="0027296F"/>
    <w:rsid w:val="00275EDE"/>
    <w:rsid w:val="00284DC9"/>
    <w:rsid w:val="00287BA9"/>
    <w:rsid w:val="00290077"/>
    <w:rsid w:val="002966CC"/>
    <w:rsid w:val="002A08E0"/>
    <w:rsid w:val="002A249B"/>
    <w:rsid w:val="002B5535"/>
    <w:rsid w:val="002B643D"/>
    <w:rsid w:val="002C06AC"/>
    <w:rsid w:val="002D06EB"/>
    <w:rsid w:val="002D737D"/>
    <w:rsid w:val="002E006C"/>
    <w:rsid w:val="002E425E"/>
    <w:rsid w:val="002E47A1"/>
    <w:rsid w:val="002F1F4A"/>
    <w:rsid w:val="002F2B66"/>
    <w:rsid w:val="002F6749"/>
    <w:rsid w:val="00301B44"/>
    <w:rsid w:val="003021F3"/>
    <w:rsid w:val="003107A5"/>
    <w:rsid w:val="00312236"/>
    <w:rsid w:val="003248A6"/>
    <w:rsid w:val="0033276D"/>
    <w:rsid w:val="003352AB"/>
    <w:rsid w:val="0034572C"/>
    <w:rsid w:val="00352D81"/>
    <w:rsid w:val="00365617"/>
    <w:rsid w:val="00377CBF"/>
    <w:rsid w:val="0038135C"/>
    <w:rsid w:val="00383F5E"/>
    <w:rsid w:val="003848ED"/>
    <w:rsid w:val="00386718"/>
    <w:rsid w:val="0039316A"/>
    <w:rsid w:val="00396DD5"/>
    <w:rsid w:val="003A0737"/>
    <w:rsid w:val="003A3B48"/>
    <w:rsid w:val="003B2BB8"/>
    <w:rsid w:val="003B39B7"/>
    <w:rsid w:val="003B5130"/>
    <w:rsid w:val="003C43C3"/>
    <w:rsid w:val="003D1E44"/>
    <w:rsid w:val="003D34FF"/>
    <w:rsid w:val="003F5EFB"/>
    <w:rsid w:val="003F709D"/>
    <w:rsid w:val="003F7BC7"/>
    <w:rsid w:val="00400E39"/>
    <w:rsid w:val="004026D3"/>
    <w:rsid w:val="0040482C"/>
    <w:rsid w:val="004072D9"/>
    <w:rsid w:val="00410B2F"/>
    <w:rsid w:val="00430160"/>
    <w:rsid w:val="004322DB"/>
    <w:rsid w:val="0043354E"/>
    <w:rsid w:val="0043653D"/>
    <w:rsid w:val="0045248C"/>
    <w:rsid w:val="0045264A"/>
    <w:rsid w:val="004549C9"/>
    <w:rsid w:val="004612B7"/>
    <w:rsid w:val="00461AAB"/>
    <w:rsid w:val="004633FC"/>
    <w:rsid w:val="00464AAF"/>
    <w:rsid w:val="004651A6"/>
    <w:rsid w:val="00482017"/>
    <w:rsid w:val="00484296"/>
    <w:rsid w:val="00484946"/>
    <w:rsid w:val="00493BEE"/>
    <w:rsid w:val="00495E6E"/>
    <w:rsid w:val="004A309F"/>
    <w:rsid w:val="004A3B33"/>
    <w:rsid w:val="004B0FB6"/>
    <w:rsid w:val="004B2693"/>
    <w:rsid w:val="004B2C9F"/>
    <w:rsid w:val="004B54CA"/>
    <w:rsid w:val="004B6F53"/>
    <w:rsid w:val="004C46C4"/>
    <w:rsid w:val="004C5FEB"/>
    <w:rsid w:val="004D0D2C"/>
    <w:rsid w:val="004E1AE7"/>
    <w:rsid w:val="004E1FBE"/>
    <w:rsid w:val="004E5CBF"/>
    <w:rsid w:val="0050007E"/>
    <w:rsid w:val="005143E5"/>
    <w:rsid w:val="00515A1C"/>
    <w:rsid w:val="0052131B"/>
    <w:rsid w:val="00521BBA"/>
    <w:rsid w:val="00522599"/>
    <w:rsid w:val="005264D0"/>
    <w:rsid w:val="00532A9C"/>
    <w:rsid w:val="00532CAC"/>
    <w:rsid w:val="005435B4"/>
    <w:rsid w:val="005519F1"/>
    <w:rsid w:val="00553F2D"/>
    <w:rsid w:val="00555D0D"/>
    <w:rsid w:val="00562A42"/>
    <w:rsid w:val="0056574F"/>
    <w:rsid w:val="005812E6"/>
    <w:rsid w:val="00590FBF"/>
    <w:rsid w:val="00592559"/>
    <w:rsid w:val="00597A09"/>
    <w:rsid w:val="00597BB3"/>
    <w:rsid w:val="005A3CD0"/>
    <w:rsid w:val="005A3E79"/>
    <w:rsid w:val="005A5EF0"/>
    <w:rsid w:val="005B0633"/>
    <w:rsid w:val="005B0673"/>
    <w:rsid w:val="005C27A7"/>
    <w:rsid w:val="005C3AA9"/>
    <w:rsid w:val="005D4273"/>
    <w:rsid w:val="005D68BD"/>
    <w:rsid w:val="005E02B3"/>
    <w:rsid w:val="005E3263"/>
    <w:rsid w:val="005E3452"/>
    <w:rsid w:val="005E747A"/>
    <w:rsid w:val="005F0FC0"/>
    <w:rsid w:val="006018B0"/>
    <w:rsid w:val="00607E39"/>
    <w:rsid w:val="00614918"/>
    <w:rsid w:val="00620C2B"/>
    <w:rsid w:val="00621FC5"/>
    <w:rsid w:val="0062390E"/>
    <w:rsid w:val="00625B5F"/>
    <w:rsid w:val="00630348"/>
    <w:rsid w:val="00633BB5"/>
    <w:rsid w:val="00637B02"/>
    <w:rsid w:val="0065053A"/>
    <w:rsid w:val="00650C36"/>
    <w:rsid w:val="0065293D"/>
    <w:rsid w:val="0066071F"/>
    <w:rsid w:val="0066091C"/>
    <w:rsid w:val="00660DE2"/>
    <w:rsid w:val="00663326"/>
    <w:rsid w:val="006634B5"/>
    <w:rsid w:val="00663DE1"/>
    <w:rsid w:val="00666008"/>
    <w:rsid w:val="00675944"/>
    <w:rsid w:val="00675AC5"/>
    <w:rsid w:val="00676F55"/>
    <w:rsid w:val="00683A84"/>
    <w:rsid w:val="006877D0"/>
    <w:rsid w:val="00697A46"/>
    <w:rsid w:val="006A2FF7"/>
    <w:rsid w:val="006A4CE7"/>
    <w:rsid w:val="006A571F"/>
    <w:rsid w:val="006B3368"/>
    <w:rsid w:val="006B5759"/>
    <w:rsid w:val="006C235A"/>
    <w:rsid w:val="006C5387"/>
    <w:rsid w:val="006C6BD6"/>
    <w:rsid w:val="006F78DE"/>
    <w:rsid w:val="00700443"/>
    <w:rsid w:val="00700533"/>
    <w:rsid w:val="00701D36"/>
    <w:rsid w:val="00704C2A"/>
    <w:rsid w:val="0070518D"/>
    <w:rsid w:val="00707333"/>
    <w:rsid w:val="007179F9"/>
    <w:rsid w:val="007266CF"/>
    <w:rsid w:val="00742FDD"/>
    <w:rsid w:val="00746D97"/>
    <w:rsid w:val="00752358"/>
    <w:rsid w:val="00760043"/>
    <w:rsid w:val="00760AE8"/>
    <w:rsid w:val="00771D4B"/>
    <w:rsid w:val="00775A9C"/>
    <w:rsid w:val="00782F12"/>
    <w:rsid w:val="00785261"/>
    <w:rsid w:val="00785761"/>
    <w:rsid w:val="00790F7E"/>
    <w:rsid w:val="00796D5F"/>
    <w:rsid w:val="007B0256"/>
    <w:rsid w:val="007B48CB"/>
    <w:rsid w:val="007C1530"/>
    <w:rsid w:val="007C1D91"/>
    <w:rsid w:val="007C317B"/>
    <w:rsid w:val="007C3B10"/>
    <w:rsid w:val="007C7A07"/>
    <w:rsid w:val="007D62C7"/>
    <w:rsid w:val="007E28AB"/>
    <w:rsid w:val="007E700B"/>
    <w:rsid w:val="007F1217"/>
    <w:rsid w:val="007F55CC"/>
    <w:rsid w:val="00811A04"/>
    <w:rsid w:val="00822121"/>
    <w:rsid w:val="00822AA8"/>
    <w:rsid w:val="0083177B"/>
    <w:rsid w:val="0083240B"/>
    <w:rsid w:val="00834A05"/>
    <w:rsid w:val="008363E4"/>
    <w:rsid w:val="00844C34"/>
    <w:rsid w:val="00860871"/>
    <w:rsid w:val="00860A03"/>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D2F4D"/>
    <w:rsid w:val="008D3A5A"/>
    <w:rsid w:val="008D667D"/>
    <w:rsid w:val="008E3222"/>
    <w:rsid w:val="008E35C9"/>
    <w:rsid w:val="008E5649"/>
    <w:rsid w:val="008E5982"/>
    <w:rsid w:val="008E5C12"/>
    <w:rsid w:val="008F0D96"/>
    <w:rsid w:val="008F4643"/>
    <w:rsid w:val="008F68C2"/>
    <w:rsid w:val="008F6B08"/>
    <w:rsid w:val="008F6E78"/>
    <w:rsid w:val="0090028B"/>
    <w:rsid w:val="00910D74"/>
    <w:rsid w:val="00911917"/>
    <w:rsid w:val="0091697C"/>
    <w:rsid w:val="009225F0"/>
    <w:rsid w:val="00927B49"/>
    <w:rsid w:val="0093462C"/>
    <w:rsid w:val="0094489E"/>
    <w:rsid w:val="0094729C"/>
    <w:rsid w:val="009520D1"/>
    <w:rsid w:val="00953795"/>
    <w:rsid w:val="009538AF"/>
    <w:rsid w:val="00955BEE"/>
    <w:rsid w:val="00956724"/>
    <w:rsid w:val="00957224"/>
    <w:rsid w:val="00957332"/>
    <w:rsid w:val="00965650"/>
    <w:rsid w:val="00965A28"/>
    <w:rsid w:val="009725E5"/>
    <w:rsid w:val="00972C6C"/>
    <w:rsid w:val="00973FD8"/>
    <w:rsid w:val="00974189"/>
    <w:rsid w:val="00975396"/>
    <w:rsid w:val="00975E94"/>
    <w:rsid w:val="00981BB6"/>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F07CE"/>
    <w:rsid w:val="009F397E"/>
    <w:rsid w:val="00A00CD5"/>
    <w:rsid w:val="00A0186B"/>
    <w:rsid w:val="00A028A9"/>
    <w:rsid w:val="00A037CD"/>
    <w:rsid w:val="00A34148"/>
    <w:rsid w:val="00A448FC"/>
    <w:rsid w:val="00A4570B"/>
    <w:rsid w:val="00A505E0"/>
    <w:rsid w:val="00A5142F"/>
    <w:rsid w:val="00A54DB9"/>
    <w:rsid w:val="00A55F73"/>
    <w:rsid w:val="00A606B0"/>
    <w:rsid w:val="00A64017"/>
    <w:rsid w:val="00A64246"/>
    <w:rsid w:val="00A648A5"/>
    <w:rsid w:val="00A668A0"/>
    <w:rsid w:val="00A732EA"/>
    <w:rsid w:val="00A76BBD"/>
    <w:rsid w:val="00A80F5E"/>
    <w:rsid w:val="00A831D6"/>
    <w:rsid w:val="00A85829"/>
    <w:rsid w:val="00A93874"/>
    <w:rsid w:val="00A9499A"/>
    <w:rsid w:val="00A951EA"/>
    <w:rsid w:val="00AB6088"/>
    <w:rsid w:val="00AC121B"/>
    <w:rsid w:val="00AE6A1C"/>
    <w:rsid w:val="00AF62FC"/>
    <w:rsid w:val="00AF7156"/>
    <w:rsid w:val="00AF7CD8"/>
    <w:rsid w:val="00B01B09"/>
    <w:rsid w:val="00B02929"/>
    <w:rsid w:val="00B04ED8"/>
    <w:rsid w:val="00B10F19"/>
    <w:rsid w:val="00B12B54"/>
    <w:rsid w:val="00B1361C"/>
    <w:rsid w:val="00B20A23"/>
    <w:rsid w:val="00B2491E"/>
    <w:rsid w:val="00B30536"/>
    <w:rsid w:val="00B3627B"/>
    <w:rsid w:val="00B40549"/>
    <w:rsid w:val="00B6490B"/>
    <w:rsid w:val="00B6664A"/>
    <w:rsid w:val="00B67DD9"/>
    <w:rsid w:val="00B71893"/>
    <w:rsid w:val="00B71B33"/>
    <w:rsid w:val="00B80D9A"/>
    <w:rsid w:val="00B82AB0"/>
    <w:rsid w:val="00B86A62"/>
    <w:rsid w:val="00B875C3"/>
    <w:rsid w:val="00B91E3E"/>
    <w:rsid w:val="00BA22A2"/>
    <w:rsid w:val="00BA2DB9"/>
    <w:rsid w:val="00BA533A"/>
    <w:rsid w:val="00BB264E"/>
    <w:rsid w:val="00BC0387"/>
    <w:rsid w:val="00BC18E2"/>
    <w:rsid w:val="00BC3170"/>
    <w:rsid w:val="00BD0381"/>
    <w:rsid w:val="00BD605B"/>
    <w:rsid w:val="00BE3F25"/>
    <w:rsid w:val="00BE6FD4"/>
    <w:rsid w:val="00BE7148"/>
    <w:rsid w:val="00BF0891"/>
    <w:rsid w:val="00BF7157"/>
    <w:rsid w:val="00C050E7"/>
    <w:rsid w:val="00C127C7"/>
    <w:rsid w:val="00C13499"/>
    <w:rsid w:val="00C15FC4"/>
    <w:rsid w:val="00C20450"/>
    <w:rsid w:val="00C21A30"/>
    <w:rsid w:val="00C27677"/>
    <w:rsid w:val="00C3543C"/>
    <w:rsid w:val="00C36938"/>
    <w:rsid w:val="00C37A73"/>
    <w:rsid w:val="00C410EF"/>
    <w:rsid w:val="00C41CE0"/>
    <w:rsid w:val="00C43A94"/>
    <w:rsid w:val="00C43D7A"/>
    <w:rsid w:val="00C50630"/>
    <w:rsid w:val="00C53AF2"/>
    <w:rsid w:val="00C54F98"/>
    <w:rsid w:val="00C61C18"/>
    <w:rsid w:val="00C62233"/>
    <w:rsid w:val="00C755B9"/>
    <w:rsid w:val="00C8480E"/>
    <w:rsid w:val="00C84DD7"/>
    <w:rsid w:val="00C92349"/>
    <w:rsid w:val="00CA612E"/>
    <w:rsid w:val="00CA6879"/>
    <w:rsid w:val="00CB5863"/>
    <w:rsid w:val="00CC1683"/>
    <w:rsid w:val="00CC6483"/>
    <w:rsid w:val="00CD3466"/>
    <w:rsid w:val="00CE0F4D"/>
    <w:rsid w:val="00D0495A"/>
    <w:rsid w:val="00D056CA"/>
    <w:rsid w:val="00D1030A"/>
    <w:rsid w:val="00D13460"/>
    <w:rsid w:val="00D20CA8"/>
    <w:rsid w:val="00D22FFF"/>
    <w:rsid w:val="00D26C98"/>
    <w:rsid w:val="00D317D2"/>
    <w:rsid w:val="00D336DF"/>
    <w:rsid w:val="00D343E0"/>
    <w:rsid w:val="00D35C0C"/>
    <w:rsid w:val="00D37546"/>
    <w:rsid w:val="00D418B5"/>
    <w:rsid w:val="00D43FE0"/>
    <w:rsid w:val="00D53805"/>
    <w:rsid w:val="00D54A7F"/>
    <w:rsid w:val="00D63B67"/>
    <w:rsid w:val="00D77A09"/>
    <w:rsid w:val="00D846DB"/>
    <w:rsid w:val="00D91FB7"/>
    <w:rsid w:val="00D93F63"/>
    <w:rsid w:val="00DA0468"/>
    <w:rsid w:val="00DA227A"/>
    <w:rsid w:val="00DA243A"/>
    <w:rsid w:val="00DA6F57"/>
    <w:rsid w:val="00DB54A0"/>
    <w:rsid w:val="00DB6668"/>
    <w:rsid w:val="00DC4167"/>
    <w:rsid w:val="00DC647A"/>
    <w:rsid w:val="00DD0A03"/>
    <w:rsid w:val="00DD5379"/>
    <w:rsid w:val="00DD5550"/>
    <w:rsid w:val="00DD6039"/>
    <w:rsid w:val="00DF186C"/>
    <w:rsid w:val="00E004AD"/>
    <w:rsid w:val="00E01E75"/>
    <w:rsid w:val="00E066EF"/>
    <w:rsid w:val="00E104B3"/>
    <w:rsid w:val="00E1068A"/>
    <w:rsid w:val="00E14B0C"/>
    <w:rsid w:val="00E17CC9"/>
    <w:rsid w:val="00E227F1"/>
    <w:rsid w:val="00E273E4"/>
    <w:rsid w:val="00E27DF0"/>
    <w:rsid w:val="00E360A3"/>
    <w:rsid w:val="00E37F9D"/>
    <w:rsid w:val="00E542AE"/>
    <w:rsid w:val="00E65712"/>
    <w:rsid w:val="00E732EA"/>
    <w:rsid w:val="00E8258F"/>
    <w:rsid w:val="00E85A36"/>
    <w:rsid w:val="00E904ED"/>
    <w:rsid w:val="00E97622"/>
    <w:rsid w:val="00EA6EC0"/>
    <w:rsid w:val="00EB2A7A"/>
    <w:rsid w:val="00EB5AA3"/>
    <w:rsid w:val="00EB62BE"/>
    <w:rsid w:val="00EC0B54"/>
    <w:rsid w:val="00EC58DD"/>
    <w:rsid w:val="00EE4694"/>
    <w:rsid w:val="00EE67C1"/>
    <w:rsid w:val="00EF1DB7"/>
    <w:rsid w:val="00EF2C6E"/>
    <w:rsid w:val="00EF7D0A"/>
    <w:rsid w:val="00F00134"/>
    <w:rsid w:val="00F045B2"/>
    <w:rsid w:val="00F232EB"/>
    <w:rsid w:val="00F30AFE"/>
    <w:rsid w:val="00F34CDB"/>
    <w:rsid w:val="00F36AAD"/>
    <w:rsid w:val="00F37591"/>
    <w:rsid w:val="00F43B91"/>
    <w:rsid w:val="00F47CC6"/>
    <w:rsid w:val="00F52039"/>
    <w:rsid w:val="00F55BCC"/>
    <w:rsid w:val="00F60B29"/>
    <w:rsid w:val="00F660C4"/>
    <w:rsid w:val="00F714D1"/>
    <w:rsid w:val="00F80404"/>
    <w:rsid w:val="00F80414"/>
    <w:rsid w:val="00F8158A"/>
    <w:rsid w:val="00F82F3F"/>
    <w:rsid w:val="00F91315"/>
    <w:rsid w:val="00FA1E2D"/>
    <w:rsid w:val="00FA6EE1"/>
    <w:rsid w:val="00FA7189"/>
    <w:rsid w:val="00FA7E9F"/>
    <w:rsid w:val="00FB6BBE"/>
    <w:rsid w:val="00FB6BEB"/>
    <w:rsid w:val="00FC55BF"/>
    <w:rsid w:val="00FC59E6"/>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isabilitygateway.gov.au/ads-queensland-forum"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hyperlink" Target="https://www.ndiscommission.gov.au/medicinesforhealth" TargetMode="Externa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disabilitygateway.gov.au/ads-queensland-for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discommission.gov.au/evidencematters" TargetMode="Externa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participants/incidents-and-behaviour-support/understanding-behaviour-support-and-restrictive-practices" TargetMode="External"/><Relationship Id="rId28" Type="http://schemas.openxmlformats.org/officeDocument/2006/relationships/theme" Target="theme/theme1.xml"/><Relationship Id="rId10" Type="http://schemas.openxmlformats.org/officeDocument/2006/relationships/hyperlink" Target="mailto:communication@dss.gov.au" TargetMode="External"/><Relationship Id="rId19" Type="http://schemas.openxmlformats.org/officeDocument/2006/relationships/hyperlink" Target="http://www.qld.gov.au/qld-disability-plan"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disabilitygateway.gov.au/ads-queensland-for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AC41-CE9F-4A02-8D5C-BAC56D2A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7587</Words>
  <Characters>43247</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Targeted Action Plans Report</vt:lpstr>
      <vt:lpstr>Contenuti</vt:lpstr>
      <vt:lpstr>Introduzione</vt:lpstr>
      <vt:lpstr>Progresso nazionale</vt:lpstr>
      <vt:lpstr>Piano d'azione mirato per l'occupazione</vt:lpstr>
      <vt:lpstr>    Introduzione</vt:lpstr>
      <vt:lpstr>    Obiettivi </vt:lpstr>
      <vt:lpstr>Piano d'azione mirato sugli atteggiamenti della comunità</vt:lpstr>
      <vt:lpstr>    Introduzione </vt:lpstr>
      <vt:lpstr>    Obiettivi </vt:lpstr>
      <vt:lpstr>Piano d'azione mirato per la prima infanzia</vt:lpstr>
      <vt:lpstr>    Introduzione</vt:lpstr>
      <vt:lpstr>    Obiettivi:</vt:lpstr>
      <vt:lpstr>Piano d'azione mirato alla sicurezza</vt:lpstr>
      <vt:lpstr>    Introduzione</vt:lpstr>
      <vt:lpstr>    Obiettivi</vt:lpstr>
      <vt:lpstr>Piano d'azione mirato per la gestione delle emergenze</vt:lpstr>
      <vt:lpstr>    Introduzione </vt:lpstr>
      <vt:lpstr>    Obiettivi </vt:lpstr>
      <vt:lpstr>Azioni in pratica</vt:lpstr>
      <vt:lpstr>    Dipendenti con disabilità nel settore pubblico del Queensland</vt:lpstr>
      <vt:lpstr>    Piani guida per l'occupazione</vt:lpstr>
      <vt:lpstr>    Commissario per la disabilità della Tasmania</vt:lpstr>
      <vt:lpstr>    Workshop su come sviluppare la genitorialità in modo diverso</vt:lpstr>
      <vt:lpstr>    Programma del Centro per bambini e famiglie aborigeni (Aboriginal Child and Fami</vt:lpstr>
      <vt:lpstr>    Supporto comportamentale e riduzione ed eliminazione delle pratiche restrittive</vt:lpstr>
      <vt:lpstr>    Le riunioni sulla gestione delle emergenze devono includere i fornitori di servi</vt:lpstr>
      <vt:lpstr>    Iniziativa di risposta alle crisi per la violenza familiare con disabilità</vt:lpstr>
      <vt:lpstr>    Sistemazione di accoglienza e supporto accessibili</vt:lpstr>
      <vt:lpstr>    Programma intermediario ACT</vt:lpstr>
      <vt:lpstr>    Programma di riduzione del rischio di catastrofi inclusivo per la disabilità</vt:lpstr>
      <vt:lpstr>    Panoramica dei progressi dal 3 dicembre 2021</vt:lpstr>
    </vt:vector>
  </TitlesOfParts>
  <LinksUpToDate>false</LinksUpToDate>
  <CharactersWithSpaces>50733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2023-12-12T10:36:00Z</dcterms:created>
  <dcterms:modified xsi:type="dcterms:W3CDTF">2024-01-24T04:23:00Z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