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27C33406" w:rsidR="00881AEF" w:rsidRPr="005114E7" w:rsidRDefault="00F16EBD" w:rsidP="004E1AE7">
      <w:pPr>
        <w:pStyle w:val="Title"/>
      </w:pPr>
      <w:proofErr w:type="spellStart"/>
      <w:r w:rsidRPr="005114E7">
        <w:t>Извештај</w:t>
      </w:r>
      <w:proofErr w:type="spellEnd"/>
      <w:r w:rsidRPr="005114E7">
        <w:t xml:space="preserve"> </w:t>
      </w:r>
      <w:proofErr w:type="spellStart"/>
      <w:r w:rsidRPr="005114E7">
        <w:t>за</w:t>
      </w:r>
      <w:proofErr w:type="spellEnd"/>
      <w:r w:rsidRPr="005114E7">
        <w:t xml:space="preserve"> </w:t>
      </w:r>
      <w:proofErr w:type="spellStart"/>
      <w:r w:rsidRPr="005114E7">
        <w:t>Плановите</w:t>
      </w:r>
      <w:proofErr w:type="spellEnd"/>
      <w:r w:rsidRPr="005114E7">
        <w:t xml:space="preserve"> </w:t>
      </w:r>
      <w:proofErr w:type="spellStart"/>
      <w:r w:rsidRPr="005114E7">
        <w:t>за</w:t>
      </w:r>
      <w:proofErr w:type="spellEnd"/>
      <w:r w:rsidRPr="005114E7">
        <w:t xml:space="preserve"> </w:t>
      </w:r>
      <w:proofErr w:type="spellStart"/>
      <w:r w:rsidRPr="005114E7">
        <w:t>насочена</w:t>
      </w:r>
      <w:proofErr w:type="spellEnd"/>
      <w:r w:rsidRPr="005114E7">
        <w:t xml:space="preserve"> </w:t>
      </w:r>
      <w:proofErr w:type="spellStart"/>
      <w:r w:rsidRPr="005114E7">
        <w:t>акција</w:t>
      </w:r>
      <w:proofErr w:type="spellEnd"/>
    </w:p>
    <w:p w14:paraId="3E597896" w14:textId="123317A2" w:rsidR="00881AEF" w:rsidRPr="005114E7" w:rsidRDefault="00F16EBD" w:rsidP="00883D2F">
      <w:pPr>
        <w:spacing w:before="240" w:after="240"/>
        <w:rPr>
          <w:sz w:val="56"/>
          <w:szCs w:val="56"/>
        </w:rPr>
      </w:pPr>
      <w:proofErr w:type="spellStart"/>
      <w:proofErr w:type="gramStart"/>
      <w:r w:rsidRPr="005114E7">
        <w:rPr>
          <w:sz w:val="56"/>
          <w:szCs w:val="56"/>
        </w:rPr>
        <w:t>од</w:t>
      </w:r>
      <w:proofErr w:type="spellEnd"/>
      <w:proofErr w:type="gramEnd"/>
      <w:r w:rsidRPr="005114E7">
        <w:rPr>
          <w:sz w:val="56"/>
          <w:szCs w:val="56"/>
        </w:rPr>
        <w:t xml:space="preserve"> 1 </w:t>
      </w:r>
      <w:proofErr w:type="spellStart"/>
      <w:r w:rsidRPr="005114E7">
        <w:rPr>
          <w:sz w:val="56"/>
          <w:szCs w:val="56"/>
        </w:rPr>
        <w:t>јули</w:t>
      </w:r>
      <w:proofErr w:type="spellEnd"/>
      <w:r w:rsidRPr="005114E7">
        <w:rPr>
          <w:sz w:val="56"/>
          <w:szCs w:val="56"/>
        </w:rPr>
        <w:t xml:space="preserve"> 2022 г. </w:t>
      </w:r>
      <w:proofErr w:type="spellStart"/>
      <w:r w:rsidRPr="005114E7">
        <w:rPr>
          <w:sz w:val="56"/>
          <w:szCs w:val="56"/>
        </w:rPr>
        <w:t>до</w:t>
      </w:r>
      <w:proofErr w:type="spellEnd"/>
      <w:r w:rsidRPr="005114E7">
        <w:rPr>
          <w:sz w:val="56"/>
          <w:szCs w:val="56"/>
        </w:rPr>
        <w:t xml:space="preserve"> 30 </w:t>
      </w:r>
      <w:proofErr w:type="spellStart"/>
      <w:r w:rsidRPr="005114E7">
        <w:rPr>
          <w:sz w:val="56"/>
          <w:szCs w:val="56"/>
        </w:rPr>
        <w:t>јуни</w:t>
      </w:r>
      <w:proofErr w:type="spellEnd"/>
      <w:r w:rsidRPr="005114E7">
        <w:rPr>
          <w:sz w:val="56"/>
          <w:szCs w:val="56"/>
        </w:rPr>
        <w:t xml:space="preserve"> 2023 г.</w:t>
      </w:r>
    </w:p>
    <w:p w14:paraId="3BCBD241" w14:textId="59DBCF38" w:rsidR="00881AEF" w:rsidRPr="005114E7" w:rsidRDefault="00F16EBD" w:rsidP="00883D2F">
      <w:pPr>
        <w:spacing w:before="240" w:after="240"/>
        <w:rPr>
          <w:sz w:val="34"/>
          <w:szCs w:val="34"/>
        </w:rPr>
      </w:pPr>
      <w:proofErr w:type="spellStart"/>
      <w:r w:rsidRPr="005114E7">
        <w:rPr>
          <w:sz w:val="34"/>
          <w:szCs w:val="34"/>
        </w:rPr>
        <w:t>Австралиска</w:t>
      </w:r>
      <w:proofErr w:type="spellEnd"/>
      <w:r w:rsidRPr="005114E7">
        <w:rPr>
          <w:sz w:val="34"/>
          <w:szCs w:val="34"/>
        </w:rPr>
        <w:t xml:space="preserve"> </w:t>
      </w:r>
      <w:proofErr w:type="spellStart"/>
      <w:r w:rsidRPr="005114E7">
        <w:rPr>
          <w:sz w:val="34"/>
          <w:szCs w:val="34"/>
        </w:rPr>
        <w:t>стратегија</w:t>
      </w:r>
      <w:proofErr w:type="spellEnd"/>
      <w:r w:rsidRPr="005114E7">
        <w:rPr>
          <w:sz w:val="34"/>
          <w:szCs w:val="34"/>
        </w:rPr>
        <w:t xml:space="preserve"> </w:t>
      </w:r>
      <w:proofErr w:type="spellStart"/>
      <w:r w:rsidRPr="005114E7">
        <w:rPr>
          <w:sz w:val="34"/>
          <w:szCs w:val="34"/>
        </w:rPr>
        <w:t>за</w:t>
      </w:r>
      <w:proofErr w:type="spellEnd"/>
      <w:r w:rsidRPr="005114E7">
        <w:rPr>
          <w:sz w:val="34"/>
          <w:szCs w:val="34"/>
        </w:rPr>
        <w:t xml:space="preserve"> </w:t>
      </w:r>
      <w:proofErr w:type="spellStart"/>
      <w:r w:rsidRPr="005114E7">
        <w:rPr>
          <w:sz w:val="34"/>
          <w:szCs w:val="34"/>
        </w:rPr>
        <w:t>онеспособеност</w:t>
      </w:r>
      <w:proofErr w:type="spellEnd"/>
      <w:r w:rsidRPr="005114E7">
        <w:rPr>
          <w:sz w:val="34"/>
          <w:szCs w:val="34"/>
        </w:rPr>
        <w:t xml:space="preserve"> 2021-2031</w:t>
      </w:r>
    </w:p>
    <w:p w14:paraId="45937412" w14:textId="77777777" w:rsidR="000842DE" w:rsidRPr="005114E7" w:rsidRDefault="000842DE" w:rsidP="008807F6"/>
    <w:p w14:paraId="10843787" w14:textId="77777777" w:rsidR="0065053A" w:rsidRPr="005114E7" w:rsidRDefault="0065053A" w:rsidP="008807F6">
      <w:pPr>
        <w:sectPr w:rsidR="0065053A" w:rsidRPr="005114E7" w:rsidSect="009538AF">
          <w:pgSz w:w="11906" w:h="16838" w:code="9"/>
          <w:pgMar w:top="1440" w:right="1440" w:bottom="1440" w:left="1440" w:header="706" w:footer="706" w:gutter="0"/>
          <w:cols w:space="708"/>
          <w:docGrid w:linePitch="360"/>
        </w:sectPr>
      </w:pPr>
    </w:p>
    <w:p w14:paraId="040D21BD" w14:textId="438E0642" w:rsidR="00FB6BEB" w:rsidRPr="005114E7" w:rsidRDefault="00F16EBD" w:rsidP="00FB6BEB">
      <w:pPr>
        <w:spacing w:after="0" w:line="240" w:lineRule="auto"/>
        <w:rPr>
          <w:rFonts w:asciiTheme="minorHAnsi" w:hAnsiTheme="minorHAnsi" w:cstheme="minorHAnsi"/>
        </w:rPr>
      </w:pPr>
      <w:r w:rsidRPr="005114E7">
        <w:rPr>
          <w:rFonts w:cs="Arial"/>
          <w:lang w:val="mk-MK"/>
        </w:rPr>
        <w:lastRenderedPageBreak/>
        <w:t>Овој документ, Извештај за Плановите за насочена акција за периодот од 1 јули 2022 г. до 30 јуни 2023 г.,</w:t>
      </w:r>
      <w:r w:rsidRPr="005114E7">
        <w:rPr>
          <w:rFonts w:cs="Arial"/>
        </w:rPr>
        <w:t xml:space="preserve"> </w:t>
      </w:r>
      <w:r w:rsidRPr="005114E7">
        <w:rPr>
          <w:rFonts w:cs="Arial"/>
          <w:lang w:val="mk-MK"/>
        </w:rPr>
        <w:t>во склоп на Австралиската стратегија за онеспособеност, е заштитен со меѓународната лиценца</w:t>
      </w:r>
      <w:r w:rsidRPr="005114E7">
        <w:rPr>
          <w:rFonts w:cs="Arial"/>
        </w:rPr>
        <w:t xml:space="preserve"> Creative Commons Attribution 4.0 International License, </w:t>
      </w:r>
      <w:r w:rsidRPr="005114E7">
        <w:rPr>
          <w:rFonts w:cs="Arial"/>
          <w:lang w:val="mk-MK"/>
        </w:rPr>
        <w:t>со исклучок на</w:t>
      </w:r>
      <w:r w:rsidRPr="005114E7">
        <w:rPr>
          <w:rFonts w:cs="Arial"/>
        </w:rPr>
        <w:t>:</w:t>
      </w:r>
    </w:p>
    <w:p w14:paraId="10A2AF35" w14:textId="6A093F0C" w:rsidR="00FB6BEB" w:rsidRPr="005114E7" w:rsidRDefault="00F16EBD" w:rsidP="008B50BE">
      <w:pPr>
        <w:pStyle w:val="ListParagraph"/>
        <w:numPr>
          <w:ilvl w:val="0"/>
          <w:numId w:val="17"/>
        </w:numPr>
        <w:spacing w:before="240" w:after="120" w:line="240" w:lineRule="auto"/>
        <w:contextualSpacing w:val="0"/>
        <w:rPr>
          <w:rFonts w:asciiTheme="minorHAnsi" w:hAnsiTheme="minorHAnsi" w:cstheme="minorHAnsi"/>
        </w:rPr>
      </w:pPr>
      <w:r w:rsidRPr="005114E7">
        <w:rPr>
          <w:rFonts w:cs="Arial"/>
          <w:lang w:val="mk-MK"/>
        </w:rPr>
        <w:t>Заштитниот знак и ознаките на Австралиската стратегија за онеспособеност</w:t>
      </w:r>
      <w:r w:rsidRPr="005114E7">
        <w:rPr>
          <w:rFonts w:cs="Arial"/>
        </w:rPr>
        <w:t xml:space="preserve"> 2021-2031</w:t>
      </w:r>
    </w:p>
    <w:p w14:paraId="4C2833E8" w14:textId="22B5A48C" w:rsidR="00FB6BEB" w:rsidRPr="005114E7" w:rsidRDefault="00F16EBD" w:rsidP="008B50BE">
      <w:pPr>
        <w:pStyle w:val="ListParagraph"/>
        <w:numPr>
          <w:ilvl w:val="0"/>
          <w:numId w:val="17"/>
        </w:numPr>
        <w:spacing w:before="120" w:after="120" w:line="240" w:lineRule="auto"/>
        <w:contextualSpacing w:val="0"/>
        <w:rPr>
          <w:rFonts w:asciiTheme="minorHAnsi" w:hAnsiTheme="minorHAnsi" w:cstheme="minorHAnsi"/>
        </w:rPr>
      </w:pPr>
      <w:r w:rsidRPr="005114E7">
        <w:rPr>
          <w:rFonts w:cs="Arial"/>
          <w:lang w:val="mk-MK"/>
        </w:rPr>
        <w:t>Сите материјали од трети страни</w:t>
      </w:r>
    </w:p>
    <w:p w14:paraId="3D5C3934" w14:textId="55C7CE10" w:rsidR="00FB6BEB" w:rsidRPr="005114E7" w:rsidRDefault="00F16EBD" w:rsidP="008B50BE">
      <w:pPr>
        <w:pStyle w:val="ListParagraph"/>
        <w:numPr>
          <w:ilvl w:val="0"/>
          <w:numId w:val="17"/>
        </w:numPr>
        <w:spacing w:before="120" w:after="120" w:line="240" w:lineRule="auto"/>
        <w:contextualSpacing w:val="0"/>
        <w:rPr>
          <w:rFonts w:asciiTheme="minorHAnsi" w:hAnsiTheme="minorHAnsi" w:cstheme="minorHAnsi"/>
        </w:rPr>
      </w:pPr>
      <w:r w:rsidRPr="005114E7">
        <w:rPr>
          <w:rFonts w:cs="Arial"/>
          <w:lang w:val="mk-MK"/>
        </w:rPr>
        <w:t>Сите слики и/или фотографии</w:t>
      </w:r>
      <w:r w:rsidRPr="005114E7">
        <w:rPr>
          <w:rFonts w:cs="Arial"/>
        </w:rPr>
        <w:t>.</w:t>
      </w:r>
    </w:p>
    <w:p w14:paraId="496D6FE9" w14:textId="0251438E" w:rsidR="00FB6BEB" w:rsidRPr="005114E7" w:rsidRDefault="00F16EBD" w:rsidP="000842DE">
      <w:pPr>
        <w:spacing w:before="240" w:after="0" w:line="240" w:lineRule="auto"/>
        <w:rPr>
          <w:rFonts w:asciiTheme="minorHAnsi" w:hAnsiTheme="minorHAnsi" w:cstheme="minorHAnsi"/>
        </w:rPr>
      </w:pPr>
      <w:r w:rsidRPr="005114E7">
        <w:rPr>
          <w:rFonts w:cs="Arial"/>
          <w:lang w:val="mk-MK"/>
        </w:rPr>
        <w:t>Повеќе информации за оваа лиценца може да се најдат на местото на интернет на</w:t>
      </w:r>
      <w:r w:rsidRPr="005114E7">
        <w:rPr>
          <w:rFonts w:cs="Arial"/>
        </w:rPr>
        <w:t xml:space="preserve"> Creative Commons:</w:t>
      </w:r>
    </w:p>
    <w:p w14:paraId="066B238D" w14:textId="50BED261" w:rsidR="00FB6BEB" w:rsidRPr="005114E7" w:rsidRDefault="00F83AB6" w:rsidP="00FB6BEB">
      <w:pPr>
        <w:spacing w:after="0" w:line="240" w:lineRule="auto"/>
        <w:rPr>
          <w:rFonts w:asciiTheme="minorHAnsi" w:hAnsiTheme="minorHAnsi" w:cstheme="minorHAnsi"/>
        </w:rPr>
      </w:pPr>
      <w:hyperlink r:id="rId9" w:history="1">
        <w:r w:rsidR="008E5C12" w:rsidRPr="005114E7">
          <w:rPr>
            <w:rStyle w:val="Hyperlink"/>
            <w:rFonts w:asciiTheme="minorHAnsi" w:hAnsiTheme="minorHAnsi" w:cstheme="minorHAnsi"/>
          </w:rPr>
          <w:t>https://creativecommons.org/licenses/by/4.0/legalcode</w:t>
        </w:r>
      </w:hyperlink>
    </w:p>
    <w:p w14:paraId="6CDCD157" w14:textId="1E06A9DD" w:rsidR="00FB6BEB" w:rsidRPr="005114E7" w:rsidRDefault="00F16EBD" w:rsidP="000842DE">
      <w:pPr>
        <w:spacing w:before="240" w:after="0" w:line="240" w:lineRule="auto"/>
        <w:rPr>
          <w:rFonts w:asciiTheme="minorHAnsi" w:hAnsiTheme="minorHAnsi" w:cstheme="minorHAnsi"/>
        </w:rPr>
      </w:pPr>
      <w:r w:rsidRPr="005114E7">
        <w:rPr>
          <w:rFonts w:cs="Arial"/>
          <w:lang w:val="mk-MK"/>
        </w:rPr>
        <w:t>Права за користење</w:t>
      </w:r>
      <w:r w:rsidR="00FB6BEB" w:rsidRPr="005114E7">
        <w:rPr>
          <w:rFonts w:asciiTheme="minorHAnsi" w:hAnsiTheme="minorHAnsi" w:cstheme="minorHAnsi"/>
        </w:rPr>
        <w:t xml:space="preserve"> </w:t>
      </w:r>
    </w:p>
    <w:p w14:paraId="3AD5EC4C" w14:textId="514B8C81" w:rsidR="00FB6BEB" w:rsidRPr="005114E7" w:rsidRDefault="00F16EBD" w:rsidP="000842DE">
      <w:pPr>
        <w:spacing w:before="240" w:after="0" w:line="240" w:lineRule="auto"/>
        <w:rPr>
          <w:rFonts w:asciiTheme="minorHAnsi" w:hAnsiTheme="minorHAnsi" w:cstheme="minorHAnsi"/>
        </w:rPr>
      </w:pPr>
      <w:r w:rsidRPr="005114E7">
        <w:rPr>
          <w:rFonts w:cs="Arial"/>
          <w:lang w:val="mk-MK"/>
        </w:rPr>
        <w:t>Користењето на овој документ, делумно или во целост, мора да ги содржи следните авторски обележја</w:t>
      </w:r>
      <w:r w:rsidRPr="005114E7">
        <w:rPr>
          <w:rFonts w:cs="Arial"/>
        </w:rPr>
        <w:t xml:space="preserve">: </w:t>
      </w:r>
      <w:r w:rsidR="00FB6BEB" w:rsidRPr="005114E7">
        <w:rPr>
          <w:rFonts w:asciiTheme="minorHAnsi" w:hAnsiTheme="minorHAnsi" w:cstheme="minorHAnsi"/>
        </w:rPr>
        <w:t xml:space="preserve">© Commonwealth of Australia (Department of Social Services) 2023 </w:t>
      </w:r>
    </w:p>
    <w:p w14:paraId="13448D78" w14:textId="6AAD842C" w:rsidR="008C13A0" w:rsidRPr="005114E7" w:rsidRDefault="00F16EBD" w:rsidP="000842DE">
      <w:pPr>
        <w:spacing w:before="240" w:after="0" w:line="240" w:lineRule="auto"/>
        <w:rPr>
          <w:rFonts w:asciiTheme="minorHAnsi" w:hAnsiTheme="minorHAnsi" w:cstheme="minorHAnsi"/>
        </w:rPr>
      </w:pPr>
      <w:r w:rsidRPr="005114E7">
        <w:rPr>
          <w:rFonts w:cs="Arial"/>
          <w:lang w:val="mk-MK"/>
        </w:rPr>
        <w:t>Сите прашања во врска со авторските права и за секакво користење на информациите од овој документ треба да бидат упатени до Одделот за социјални служби (</w:t>
      </w:r>
      <w:r w:rsidRPr="005114E7">
        <w:rPr>
          <w:rFonts w:cs="Arial"/>
        </w:rPr>
        <w:t>Department of Social Services</w:t>
      </w:r>
      <w:r w:rsidRPr="005114E7">
        <w:rPr>
          <w:rFonts w:cs="Arial"/>
          <w:lang w:val="mk-MK"/>
        </w:rPr>
        <w:t>)</w:t>
      </w:r>
      <w:r w:rsidRPr="005114E7">
        <w:rPr>
          <w:rFonts w:cs="Arial"/>
        </w:rPr>
        <w:t>:</w:t>
      </w:r>
    </w:p>
    <w:p w14:paraId="6CB2C241" w14:textId="4A6218F1" w:rsidR="00FB6BEB" w:rsidRPr="005114E7" w:rsidRDefault="00F16EBD" w:rsidP="000842DE">
      <w:pPr>
        <w:spacing w:before="240" w:after="0" w:line="240" w:lineRule="auto"/>
        <w:rPr>
          <w:rFonts w:asciiTheme="minorHAnsi" w:hAnsiTheme="minorHAnsi" w:cstheme="minorHAnsi"/>
        </w:rPr>
      </w:pPr>
      <w:r w:rsidRPr="005114E7">
        <w:rPr>
          <w:rFonts w:cs="Arial"/>
          <w:lang w:val="mk-MK"/>
        </w:rPr>
        <w:t>По електронска пошта</w:t>
      </w:r>
      <w:r w:rsidRPr="005114E7">
        <w:rPr>
          <w:rFonts w:cs="Arial"/>
        </w:rPr>
        <w:t xml:space="preserve">: </w:t>
      </w:r>
      <w:hyperlink r:id="rId10" w:history="1">
        <w:r w:rsidR="008C13A0" w:rsidRPr="005114E7">
          <w:rPr>
            <w:rStyle w:val="Hyperlink"/>
            <w:rFonts w:asciiTheme="minorHAnsi" w:hAnsiTheme="minorHAnsi" w:cstheme="minorHAnsi"/>
          </w:rPr>
          <w:t>communication@dss.gov.au</w:t>
        </w:r>
      </w:hyperlink>
    </w:p>
    <w:p w14:paraId="05644BE3" w14:textId="5F21D743" w:rsidR="00881AEF" w:rsidRPr="005114E7" w:rsidRDefault="00F16EBD" w:rsidP="008C13A0">
      <w:pPr>
        <w:spacing w:before="240" w:after="0" w:line="240" w:lineRule="auto"/>
        <w:rPr>
          <w:rFonts w:asciiTheme="minorHAnsi" w:hAnsiTheme="minorHAnsi" w:cstheme="minorHAnsi"/>
        </w:rPr>
      </w:pPr>
      <w:r w:rsidRPr="005114E7">
        <w:rPr>
          <w:rFonts w:cs="Arial"/>
          <w:lang w:val="mk-MK"/>
        </w:rPr>
        <w:t>По пошта</w:t>
      </w:r>
      <w:r w:rsidRPr="005114E7">
        <w:rPr>
          <w:rFonts w:cs="Arial"/>
        </w:rPr>
        <w:t xml:space="preserve">: </w:t>
      </w:r>
      <w:r w:rsidR="00FB6BEB" w:rsidRPr="005114E7">
        <w:rPr>
          <w:rFonts w:asciiTheme="minorHAnsi" w:hAnsiTheme="minorHAnsi" w:cstheme="minorHAnsi"/>
        </w:rPr>
        <w:t>Corporate Communication and Media Relations Branch Department of Social Services, GPO Box 9820, Canberra ACT 2601</w:t>
      </w:r>
    </w:p>
    <w:p w14:paraId="271427AA" w14:textId="77777777" w:rsidR="00BE6FD4" w:rsidRPr="005114E7" w:rsidRDefault="00BE6FD4">
      <w:pPr>
        <w:sectPr w:rsidR="00BE6FD4" w:rsidRPr="005114E7" w:rsidSect="00BE6FD4">
          <w:footerReference w:type="default" r:id="rId11"/>
          <w:pgSz w:w="11906" w:h="16838" w:code="9"/>
          <w:pgMar w:top="1440" w:right="1440" w:bottom="1440" w:left="1440" w:header="706" w:footer="706" w:gutter="0"/>
          <w:pgNumType w:fmt="upperRoman" w:start="2"/>
          <w:cols w:space="708"/>
          <w:docGrid w:linePitch="360"/>
        </w:sectPr>
      </w:pPr>
    </w:p>
    <w:p w14:paraId="1C3930AC" w14:textId="1BA2B9AC" w:rsidR="008C13A0" w:rsidRPr="005114E7" w:rsidRDefault="00F441F3" w:rsidP="008C13A0">
      <w:pPr>
        <w:pStyle w:val="Heading1"/>
      </w:pPr>
      <w:bookmarkStart w:id="0" w:name="_Toc153454127"/>
      <w:proofErr w:type="spellStart"/>
      <w:r w:rsidRPr="005114E7">
        <w:lastRenderedPageBreak/>
        <w:t>Содржина</w:t>
      </w:r>
      <w:bookmarkEnd w:id="0"/>
      <w:proofErr w:type="spellEnd"/>
    </w:p>
    <w:sdt>
      <w:sdtPr>
        <w:rPr>
          <w:b/>
          <w:bCs/>
        </w:rPr>
        <w:id w:val="-202179485"/>
        <w:docPartObj>
          <w:docPartGallery w:val="Table of Contents"/>
          <w:docPartUnique/>
        </w:docPartObj>
      </w:sdtPr>
      <w:sdtEndPr>
        <w:rPr>
          <w:b w:val="0"/>
          <w:bCs w:val="0"/>
          <w:noProof/>
        </w:rPr>
      </w:sdtEndPr>
      <w:sdtContent>
        <w:p w14:paraId="171E1BC3" w14:textId="7E5096DA" w:rsidR="001E66A6" w:rsidRDefault="008E5C12" w:rsidP="001E66A6">
          <w:pPr>
            <w:rPr>
              <w:rFonts w:asciiTheme="minorHAnsi" w:eastAsiaTheme="minorEastAsia" w:hAnsiTheme="minorHAnsi"/>
              <w:noProof/>
              <w:lang w:val="en-US"/>
            </w:rPr>
          </w:pPr>
          <w:r w:rsidRPr="005114E7">
            <w:fldChar w:fldCharType="begin"/>
          </w:r>
          <w:r w:rsidRPr="005114E7">
            <w:instrText xml:space="preserve"> TOC \o "1-3" \h \z \u </w:instrText>
          </w:r>
          <w:r w:rsidRPr="005114E7">
            <w:fldChar w:fldCharType="separate"/>
          </w:r>
        </w:p>
        <w:p w14:paraId="791BC0EF" w14:textId="77777777" w:rsidR="001E66A6" w:rsidRDefault="00F83AB6">
          <w:pPr>
            <w:pStyle w:val="TOC1"/>
            <w:tabs>
              <w:tab w:val="right" w:leader="dot" w:pos="9016"/>
            </w:tabs>
            <w:rPr>
              <w:rFonts w:asciiTheme="minorHAnsi" w:eastAsiaTheme="minorEastAsia" w:hAnsiTheme="minorHAnsi"/>
              <w:noProof/>
              <w:lang w:val="en-US"/>
            </w:rPr>
          </w:pPr>
          <w:hyperlink w:anchor="_Toc153454128" w:history="1">
            <w:r w:rsidR="001E66A6" w:rsidRPr="00EA639D">
              <w:rPr>
                <w:rStyle w:val="Hyperlink"/>
                <w:noProof/>
              </w:rPr>
              <w:t>Вовед</w:t>
            </w:r>
            <w:r w:rsidR="001E66A6">
              <w:rPr>
                <w:noProof/>
                <w:webHidden/>
              </w:rPr>
              <w:tab/>
            </w:r>
            <w:r w:rsidR="001E66A6">
              <w:rPr>
                <w:noProof/>
                <w:webHidden/>
              </w:rPr>
              <w:fldChar w:fldCharType="begin"/>
            </w:r>
            <w:r w:rsidR="001E66A6">
              <w:rPr>
                <w:noProof/>
                <w:webHidden/>
              </w:rPr>
              <w:instrText xml:space="preserve"> PAGEREF _Toc153454128 \h </w:instrText>
            </w:r>
            <w:r w:rsidR="001E66A6">
              <w:rPr>
                <w:noProof/>
                <w:webHidden/>
              </w:rPr>
            </w:r>
            <w:r w:rsidR="001E66A6">
              <w:rPr>
                <w:noProof/>
                <w:webHidden/>
              </w:rPr>
              <w:fldChar w:fldCharType="separate"/>
            </w:r>
            <w:r w:rsidR="001E66A6">
              <w:rPr>
                <w:noProof/>
                <w:webHidden/>
              </w:rPr>
              <w:t>2</w:t>
            </w:r>
            <w:r w:rsidR="001E66A6">
              <w:rPr>
                <w:noProof/>
                <w:webHidden/>
              </w:rPr>
              <w:fldChar w:fldCharType="end"/>
            </w:r>
          </w:hyperlink>
        </w:p>
        <w:p w14:paraId="38C57A66" w14:textId="77777777" w:rsidR="001E66A6" w:rsidRDefault="00F83AB6">
          <w:pPr>
            <w:pStyle w:val="TOC1"/>
            <w:tabs>
              <w:tab w:val="right" w:leader="dot" w:pos="9016"/>
            </w:tabs>
            <w:rPr>
              <w:rFonts w:asciiTheme="minorHAnsi" w:eastAsiaTheme="minorEastAsia" w:hAnsiTheme="minorHAnsi"/>
              <w:noProof/>
              <w:lang w:val="en-US"/>
            </w:rPr>
          </w:pPr>
          <w:hyperlink w:anchor="_Toc153454129" w:history="1">
            <w:r w:rsidR="001E66A6" w:rsidRPr="00EA639D">
              <w:rPr>
                <w:rStyle w:val="Hyperlink"/>
                <w:noProof/>
              </w:rPr>
              <w:t>Напредок на национално ниво</w:t>
            </w:r>
            <w:r w:rsidR="001E66A6">
              <w:rPr>
                <w:noProof/>
                <w:webHidden/>
              </w:rPr>
              <w:tab/>
            </w:r>
            <w:r w:rsidR="001E66A6">
              <w:rPr>
                <w:noProof/>
                <w:webHidden/>
              </w:rPr>
              <w:fldChar w:fldCharType="begin"/>
            </w:r>
            <w:r w:rsidR="001E66A6">
              <w:rPr>
                <w:noProof/>
                <w:webHidden/>
              </w:rPr>
              <w:instrText xml:space="preserve"> PAGEREF _Toc153454129 \h </w:instrText>
            </w:r>
            <w:r w:rsidR="001E66A6">
              <w:rPr>
                <w:noProof/>
                <w:webHidden/>
              </w:rPr>
            </w:r>
            <w:r w:rsidR="001E66A6">
              <w:rPr>
                <w:noProof/>
                <w:webHidden/>
              </w:rPr>
              <w:fldChar w:fldCharType="separate"/>
            </w:r>
            <w:r w:rsidR="001E66A6">
              <w:rPr>
                <w:noProof/>
                <w:webHidden/>
              </w:rPr>
              <w:t>6</w:t>
            </w:r>
            <w:r w:rsidR="001E66A6">
              <w:rPr>
                <w:noProof/>
                <w:webHidden/>
              </w:rPr>
              <w:fldChar w:fldCharType="end"/>
            </w:r>
          </w:hyperlink>
        </w:p>
        <w:p w14:paraId="0AF5725A" w14:textId="77777777" w:rsidR="001E66A6" w:rsidRDefault="00F83AB6">
          <w:pPr>
            <w:pStyle w:val="TOC1"/>
            <w:tabs>
              <w:tab w:val="right" w:leader="dot" w:pos="9016"/>
            </w:tabs>
            <w:rPr>
              <w:rFonts w:asciiTheme="minorHAnsi" w:eastAsiaTheme="minorEastAsia" w:hAnsiTheme="minorHAnsi"/>
              <w:noProof/>
              <w:lang w:val="en-US"/>
            </w:rPr>
          </w:pPr>
          <w:hyperlink w:anchor="_Toc153454130" w:history="1">
            <w:r w:rsidR="001E66A6" w:rsidRPr="00EA639D">
              <w:rPr>
                <w:rStyle w:val="Hyperlink"/>
                <w:rFonts w:cs="Arial"/>
                <w:noProof/>
                <w:lang w:val="mk-MK"/>
              </w:rPr>
              <w:t>План за насочена акција за вработување</w:t>
            </w:r>
            <w:r w:rsidR="001E66A6">
              <w:rPr>
                <w:noProof/>
                <w:webHidden/>
              </w:rPr>
              <w:tab/>
            </w:r>
            <w:r w:rsidR="001E66A6">
              <w:rPr>
                <w:noProof/>
                <w:webHidden/>
              </w:rPr>
              <w:fldChar w:fldCharType="begin"/>
            </w:r>
            <w:r w:rsidR="001E66A6">
              <w:rPr>
                <w:noProof/>
                <w:webHidden/>
              </w:rPr>
              <w:instrText xml:space="preserve"> PAGEREF _Toc153454130 \h </w:instrText>
            </w:r>
            <w:r w:rsidR="001E66A6">
              <w:rPr>
                <w:noProof/>
                <w:webHidden/>
              </w:rPr>
            </w:r>
            <w:r w:rsidR="001E66A6">
              <w:rPr>
                <w:noProof/>
                <w:webHidden/>
              </w:rPr>
              <w:fldChar w:fldCharType="separate"/>
            </w:r>
            <w:r w:rsidR="001E66A6">
              <w:rPr>
                <w:noProof/>
                <w:webHidden/>
              </w:rPr>
              <w:t>10</w:t>
            </w:r>
            <w:r w:rsidR="001E66A6">
              <w:rPr>
                <w:noProof/>
                <w:webHidden/>
              </w:rPr>
              <w:fldChar w:fldCharType="end"/>
            </w:r>
          </w:hyperlink>
        </w:p>
        <w:p w14:paraId="74E7C52D" w14:textId="77777777" w:rsidR="001E66A6" w:rsidRDefault="00F83AB6">
          <w:pPr>
            <w:pStyle w:val="TOC1"/>
            <w:tabs>
              <w:tab w:val="right" w:leader="dot" w:pos="9016"/>
            </w:tabs>
            <w:rPr>
              <w:rFonts w:asciiTheme="minorHAnsi" w:eastAsiaTheme="minorEastAsia" w:hAnsiTheme="minorHAnsi"/>
              <w:noProof/>
              <w:lang w:val="en-US"/>
            </w:rPr>
          </w:pPr>
          <w:hyperlink w:anchor="_Toc153454133" w:history="1">
            <w:r w:rsidR="001E66A6" w:rsidRPr="00EA639D">
              <w:rPr>
                <w:rStyle w:val="Hyperlink"/>
                <w:rFonts w:cs="Arial"/>
                <w:noProof/>
                <w:lang w:val="mk-MK"/>
              </w:rPr>
              <w:t>План за насочена акција за односот на заедницата</w:t>
            </w:r>
            <w:r w:rsidR="001E66A6">
              <w:rPr>
                <w:noProof/>
                <w:webHidden/>
              </w:rPr>
              <w:tab/>
            </w:r>
            <w:r w:rsidR="001E66A6">
              <w:rPr>
                <w:noProof/>
                <w:webHidden/>
              </w:rPr>
              <w:fldChar w:fldCharType="begin"/>
            </w:r>
            <w:r w:rsidR="001E66A6">
              <w:rPr>
                <w:noProof/>
                <w:webHidden/>
              </w:rPr>
              <w:instrText xml:space="preserve"> PAGEREF _Toc153454133 \h </w:instrText>
            </w:r>
            <w:r w:rsidR="001E66A6">
              <w:rPr>
                <w:noProof/>
                <w:webHidden/>
              </w:rPr>
            </w:r>
            <w:r w:rsidR="001E66A6">
              <w:rPr>
                <w:noProof/>
                <w:webHidden/>
              </w:rPr>
              <w:fldChar w:fldCharType="separate"/>
            </w:r>
            <w:r w:rsidR="001E66A6">
              <w:rPr>
                <w:noProof/>
                <w:webHidden/>
              </w:rPr>
              <w:t>13</w:t>
            </w:r>
            <w:r w:rsidR="001E66A6">
              <w:rPr>
                <w:noProof/>
                <w:webHidden/>
              </w:rPr>
              <w:fldChar w:fldCharType="end"/>
            </w:r>
          </w:hyperlink>
        </w:p>
        <w:p w14:paraId="0AFFDD4E" w14:textId="77777777" w:rsidR="001E66A6" w:rsidRDefault="00F83AB6">
          <w:pPr>
            <w:pStyle w:val="TOC1"/>
            <w:tabs>
              <w:tab w:val="right" w:leader="dot" w:pos="9016"/>
            </w:tabs>
            <w:rPr>
              <w:rFonts w:asciiTheme="minorHAnsi" w:eastAsiaTheme="minorEastAsia" w:hAnsiTheme="minorHAnsi"/>
              <w:noProof/>
              <w:lang w:val="en-US"/>
            </w:rPr>
          </w:pPr>
          <w:hyperlink w:anchor="_Toc153454136" w:history="1">
            <w:r w:rsidR="001E66A6" w:rsidRPr="00EA639D">
              <w:rPr>
                <w:rStyle w:val="Hyperlink"/>
                <w:noProof/>
              </w:rPr>
              <w:t>План за насочена акција за раното детство</w:t>
            </w:r>
            <w:r w:rsidR="001E66A6">
              <w:rPr>
                <w:noProof/>
                <w:webHidden/>
              </w:rPr>
              <w:tab/>
            </w:r>
            <w:r w:rsidR="001E66A6">
              <w:rPr>
                <w:noProof/>
                <w:webHidden/>
              </w:rPr>
              <w:fldChar w:fldCharType="begin"/>
            </w:r>
            <w:r w:rsidR="001E66A6">
              <w:rPr>
                <w:noProof/>
                <w:webHidden/>
              </w:rPr>
              <w:instrText xml:space="preserve"> PAGEREF _Toc153454136 \h </w:instrText>
            </w:r>
            <w:r w:rsidR="001E66A6">
              <w:rPr>
                <w:noProof/>
                <w:webHidden/>
              </w:rPr>
            </w:r>
            <w:r w:rsidR="001E66A6">
              <w:rPr>
                <w:noProof/>
                <w:webHidden/>
              </w:rPr>
              <w:fldChar w:fldCharType="separate"/>
            </w:r>
            <w:r w:rsidR="001E66A6">
              <w:rPr>
                <w:noProof/>
                <w:webHidden/>
              </w:rPr>
              <w:t>16</w:t>
            </w:r>
            <w:r w:rsidR="001E66A6">
              <w:rPr>
                <w:noProof/>
                <w:webHidden/>
              </w:rPr>
              <w:fldChar w:fldCharType="end"/>
            </w:r>
          </w:hyperlink>
        </w:p>
        <w:p w14:paraId="3AB35FE7" w14:textId="77777777" w:rsidR="001E66A6" w:rsidRDefault="00F83AB6">
          <w:pPr>
            <w:pStyle w:val="TOC1"/>
            <w:tabs>
              <w:tab w:val="right" w:leader="dot" w:pos="9016"/>
            </w:tabs>
            <w:rPr>
              <w:rFonts w:asciiTheme="minorHAnsi" w:eastAsiaTheme="minorEastAsia" w:hAnsiTheme="minorHAnsi"/>
              <w:noProof/>
              <w:lang w:val="en-US"/>
            </w:rPr>
          </w:pPr>
          <w:hyperlink w:anchor="_Toc153454139" w:history="1">
            <w:r w:rsidR="001E66A6" w:rsidRPr="00EA639D">
              <w:rPr>
                <w:rStyle w:val="Hyperlink"/>
                <w:noProof/>
              </w:rPr>
              <w:t>План за насочена акција за безбедност</w:t>
            </w:r>
            <w:r w:rsidR="001E66A6">
              <w:rPr>
                <w:noProof/>
                <w:webHidden/>
              </w:rPr>
              <w:tab/>
            </w:r>
            <w:r w:rsidR="001E66A6">
              <w:rPr>
                <w:noProof/>
                <w:webHidden/>
              </w:rPr>
              <w:fldChar w:fldCharType="begin"/>
            </w:r>
            <w:r w:rsidR="001E66A6">
              <w:rPr>
                <w:noProof/>
                <w:webHidden/>
              </w:rPr>
              <w:instrText xml:space="preserve"> PAGEREF _Toc153454139 \h </w:instrText>
            </w:r>
            <w:r w:rsidR="001E66A6">
              <w:rPr>
                <w:noProof/>
                <w:webHidden/>
              </w:rPr>
            </w:r>
            <w:r w:rsidR="001E66A6">
              <w:rPr>
                <w:noProof/>
                <w:webHidden/>
              </w:rPr>
              <w:fldChar w:fldCharType="separate"/>
            </w:r>
            <w:r w:rsidR="001E66A6">
              <w:rPr>
                <w:noProof/>
                <w:webHidden/>
              </w:rPr>
              <w:t>20</w:t>
            </w:r>
            <w:r w:rsidR="001E66A6">
              <w:rPr>
                <w:noProof/>
                <w:webHidden/>
              </w:rPr>
              <w:fldChar w:fldCharType="end"/>
            </w:r>
          </w:hyperlink>
        </w:p>
        <w:p w14:paraId="2387E2DE" w14:textId="77777777" w:rsidR="001E66A6" w:rsidRDefault="00F83AB6">
          <w:pPr>
            <w:pStyle w:val="TOC1"/>
            <w:tabs>
              <w:tab w:val="right" w:leader="dot" w:pos="9016"/>
            </w:tabs>
            <w:rPr>
              <w:rFonts w:asciiTheme="minorHAnsi" w:eastAsiaTheme="minorEastAsia" w:hAnsiTheme="minorHAnsi"/>
              <w:noProof/>
              <w:lang w:val="en-US"/>
            </w:rPr>
          </w:pPr>
          <w:hyperlink w:anchor="_Toc153454142" w:history="1">
            <w:r w:rsidR="001E66A6" w:rsidRPr="00EA639D">
              <w:rPr>
                <w:rStyle w:val="Hyperlink"/>
                <w:noProof/>
              </w:rPr>
              <w:t>План за насочена акција за постапување во итни случаи</w:t>
            </w:r>
            <w:r w:rsidR="001E66A6">
              <w:rPr>
                <w:noProof/>
                <w:webHidden/>
              </w:rPr>
              <w:tab/>
            </w:r>
            <w:r w:rsidR="001E66A6">
              <w:rPr>
                <w:noProof/>
                <w:webHidden/>
              </w:rPr>
              <w:fldChar w:fldCharType="begin"/>
            </w:r>
            <w:r w:rsidR="001E66A6">
              <w:rPr>
                <w:noProof/>
                <w:webHidden/>
              </w:rPr>
              <w:instrText xml:space="preserve"> PAGEREF _Toc153454142 \h </w:instrText>
            </w:r>
            <w:r w:rsidR="001E66A6">
              <w:rPr>
                <w:noProof/>
                <w:webHidden/>
              </w:rPr>
            </w:r>
            <w:r w:rsidR="001E66A6">
              <w:rPr>
                <w:noProof/>
                <w:webHidden/>
              </w:rPr>
              <w:fldChar w:fldCharType="separate"/>
            </w:r>
            <w:r w:rsidR="001E66A6">
              <w:rPr>
                <w:noProof/>
                <w:webHidden/>
              </w:rPr>
              <w:t>24</w:t>
            </w:r>
            <w:r w:rsidR="001E66A6">
              <w:rPr>
                <w:noProof/>
                <w:webHidden/>
              </w:rPr>
              <w:fldChar w:fldCharType="end"/>
            </w:r>
          </w:hyperlink>
        </w:p>
        <w:p w14:paraId="4BB550B1" w14:textId="77777777" w:rsidR="001E66A6" w:rsidRDefault="00F83AB6">
          <w:pPr>
            <w:pStyle w:val="TOC1"/>
            <w:tabs>
              <w:tab w:val="right" w:leader="dot" w:pos="9016"/>
            </w:tabs>
            <w:rPr>
              <w:rFonts w:asciiTheme="minorHAnsi" w:eastAsiaTheme="minorEastAsia" w:hAnsiTheme="minorHAnsi"/>
              <w:noProof/>
              <w:lang w:val="en-US"/>
            </w:rPr>
          </w:pPr>
          <w:hyperlink w:anchor="_Toc153454145" w:history="1">
            <w:r w:rsidR="001E66A6" w:rsidRPr="00EA639D">
              <w:rPr>
                <w:rStyle w:val="Hyperlink"/>
                <w:noProof/>
              </w:rPr>
              <w:t>Акциите во пракса</w:t>
            </w:r>
            <w:r w:rsidR="001E66A6">
              <w:rPr>
                <w:noProof/>
                <w:webHidden/>
              </w:rPr>
              <w:tab/>
            </w:r>
            <w:r w:rsidR="001E66A6">
              <w:rPr>
                <w:noProof/>
                <w:webHidden/>
              </w:rPr>
              <w:fldChar w:fldCharType="begin"/>
            </w:r>
            <w:r w:rsidR="001E66A6">
              <w:rPr>
                <w:noProof/>
                <w:webHidden/>
              </w:rPr>
              <w:instrText xml:space="preserve"> PAGEREF _Toc153454145 \h </w:instrText>
            </w:r>
            <w:r w:rsidR="001E66A6">
              <w:rPr>
                <w:noProof/>
                <w:webHidden/>
              </w:rPr>
            </w:r>
            <w:r w:rsidR="001E66A6">
              <w:rPr>
                <w:noProof/>
                <w:webHidden/>
              </w:rPr>
              <w:fldChar w:fldCharType="separate"/>
            </w:r>
            <w:r w:rsidR="001E66A6">
              <w:rPr>
                <w:noProof/>
                <w:webHidden/>
              </w:rPr>
              <w:t>28</w:t>
            </w:r>
            <w:r w:rsidR="001E66A6">
              <w:rPr>
                <w:noProof/>
                <w:webHidden/>
              </w:rPr>
              <w:fldChar w:fldCharType="end"/>
            </w:r>
          </w:hyperlink>
        </w:p>
        <w:p w14:paraId="05E5729E" w14:textId="77777777" w:rsidR="001E66A6" w:rsidRDefault="00F83AB6">
          <w:pPr>
            <w:pStyle w:val="TOC2"/>
            <w:tabs>
              <w:tab w:val="right" w:leader="dot" w:pos="9016"/>
            </w:tabs>
            <w:rPr>
              <w:rFonts w:cstheme="minorBidi"/>
              <w:noProof/>
            </w:rPr>
          </w:pPr>
          <w:hyperlink w:anchor="_Toc153454146" w:history="1">
            <w:r w:rsidR="001E66A6" w:rsidRPr="00EA639D">
              <w:rPr>
                <w:rStyle w:val="Hyperlink"/>
                <w:rFonts w:cs="Arial"/>
                <w:noProof/>
                <w:lang w:val="mk-MK"/>
              </w:rPr>
              <w:t>Работници со онеспособеност во јавниот сектор во Квинсленд</w:t>
            </w:r>
            <w:r w:rsidR="001E66A6">
              <w:rPr>
                <w:noProof/>
                <w:webHidden/>
              </w:rPr>
              <w:tab/>
            </w:r>
            <w:r w:rsidR="001E66A6">
              <w:rPr>
                <w:noProof/>
                <w:webHidden/>
              </w:rPr>
              <w:fldChar w:fldCharType="begin"/>
            </w:r>
            <w:r w:rsidR="001E66A6">
              <w:rPr>
                <w:noProof/>
                <w:webHidden/>
              </w:rPr>
              <w:instrText xml:space="preserve"> PAGEREF _Toc153454146 \h </w:instrText>
            </w:r>
            <w:r w:rsidR="001E66A6">
              <w:rPr>
                <w:noProof/>
                <w:webHidden/>
              </w:rPr>
            </w:r>
            <w:r w:rsidR="001E66A6">
              <w:rPr>
                <w:noProof/>
                <w:webHidden/>
              </w:rPr>
              <w:fldChar w:fldCharType="separate"/>
            </w:r>
            <w:r w:rsidR="001E66A6">
              <w:rPr>
                <w:noProof/>
                <w:webHidden/>
              </w:rPr>
              <w:t>29</w:t>
            </w:r>
            <w:r w:rsidR="001E66A6">
              <w:rPr>
                <w:noProof/>
                <w:webHidden/>
              </w:rPr>
              <w:fldChar w:fldCharType="end"/>
            </w:r>
          </w:hyperlink>
        </w:p>
        <w:p w14:paraId="4E6AC27B" w14:textId="77777777" w:rsidR="001E66A6" w:rsidRDefault="00F83AB6">
          <w:pPr>
            <w:pStyle w:val="TOC2"/>
            <w:tabs>
              <w:tab w:val="right" w:leader="dot" w:pos="9016"/>
            </w:tabs>
            <w:rPr>
              <w:rFonts w:cstheme="minorBidi"/>
              <w:noProof/>
            </w:rPr>
          </w:pPr>
          <w:hyperlink w:anchor="_Toc153454147" w:history="1">
            <w:r w:rsidR="001E66A6" w:rsidRPr="00EA639D">
              <w:rPr>
                <w:rStyle w:val="Hyperlink"/>
                <w:noProof/>
              </w:rPr>
              <w:t>Пробни програми за вработување</w:t>
            </w:r>
            <w:r w:rsidR="001E66A6">
              <w:rPr>
                <w:noProof/>
                <w:webHidden/>
              </w:rPr>
              <w:tab/>
            </w:r>
            <w:r w:rsidR="001E66A6">
              <w:rPr>
                <w:noProof/>
                <w:webHidden/>
              </w:rPr>
              <w:fldChar w:fldCharType="begin"/>
            </w:r>
            <w:r w:rsidR="001E66A6">
              <w:rPr>
                <w:noProof/>
                <w:webHidden/>
              </w:rPr>
              <w:instrText xml:space="preserve"> PAGEREF _Toc153454147 \h </w:instrText>
            </w:r>
            <w:r w:rsidR="001E66A6">
              <w:rPr>
                <w:noProof/>
                <w:webHidden/>
              </w:rPr>
            </w:r>
            <w:r w:rsidR="001E66A6">
              <w:rPr>
                <w:noProof/>
                <w:webHidden/>
              </w:rPr>
              <w:fldChar w:fldCharType="separate"/>
            </w:r>
            <w:r w:rsidR="001E66A6">
              <w:rPr>
                <w:noProof/>
                <w:webHidden/>
              </w:rPr>
              <w:t>31</w:t>
            </w:r>
            <w:r w:rsidR="001E66A6">
              <w:rPr>
                <w:noProof/>
                <w:webHidden/>
              </w:rPr>
              <w:fldChar w:fldCharType="end"/>
            </w:r>
          </w:hyperlink>
        </w:p>
        <w:p w14:paraId="70B3D387" w14:textId="77777777" w:rsidR="001E66A6" w:rsidRDefault="00F83AB6">
          <w:pPr>
            <w:pStyle w:val="TOC2"/>
            <w:tabs>
              <w:tab w:val="right" w:leader="dot" w:pos="9016"/>
            </w:tabs>
            <w:rPr>
              <w:rFonts w:cstheme="minorBidi"/>
              <w:noProof/>
            </w:rPr>
          </w:pPr>
          <w:hyperlink w:anchor="_Toc153454148" w:history="1">
            <w:r w:rsidR="001E66A6" w:rsidRPr="00EA639D">
              <w:rPr>
                <w:rStyle w:val="Hyperlink"/>
                <w:rFonts w:cs="Arial"/>
                <w:noProof/>
                <w:lang w:val="mk-MK"/>
              </w:rPr>
              <w:t>Тасманиски началник за онеспособеност</w:t>
            </w:r>
            <w:r w:rsidR="001E66A6">
              <w:rPr>
                <w:noProof/>
                <w:webHidden/>
              </w:rPr>
              <w:tab/>
            </w:r>
            <w:r w:rsidR="001E66A6">
              <w:rPr>
                <w:noProof/>
                <w:webHidden/>
              </w:rPr>
              <w:fldChar w:fldCharType="begin"/>
            </w:r>
            <w:r w:rsidR="001E66A6">
              <w:rPr>
                <w:noProof/>
                <w:webHidden/>
              </w:rPr>
              <w:instrText xml:space="preserve"> PAGEREF _Toc153454148 \h </w:instrText>
            </w:r>
            <w:r w:rsidR="001E66A6">
              <w:rPr>
                <w:noProof/>
                <w:webHidden/>
              </w:rPr>
            </w:r>
            <w:r w:rsidR="001E66A6">
              <w:rPr>
                <w:noProof/>
                <w:webHidden/>
              </w:rPr>
              <w:fldChar w:fldCharType="separate"/>
            </w:r>
            <w:r w:rsidR="001E66A6">
              <w:rPr>
                <w:noProof/>
                <w:webHidden/>
              </w:rPr>
              <w:t>33</w:t>
            </w:r>
            <w:r w:rsidR="001E66A6">
              <w:rPr>
                <w:noProof/>
                <w:webHidden/>
              </w:rPr>
              <w:fldChar w:fldCharType="end"/>
            </w:r>
          </w:hyperlink>
        </w:p>
        <w:p w14:paraId="3DC6E2FF" w14:textId="77777777" w:rsidR="001E66A6" w:rsidRDefault="00F83AB6">
          <w:pPr>
            <w:pStyle w:val="TOC2"/>
            <w:tabs>
              <w:tab w:val="right" w:leader="dot" w:pos="9016"/>
            </w:tabs>
            <w:rPr>
              <w:rFonts w:cstheme="minorBidi"/>
              <w:noProof/>
            </w:rPr>
          </w:pPr>
          <w:hyperlink w:anchor="_Toc153454149" w:history="1">
            <w:r w:rsidR="001E66A6" w:rsidRPr="00EA639D">
              <w:rPr>
                <w:rStyle w:val="Hyperlink"/>
                <w:rFonts w:cs="Arial"/>
                <w:noProof/>
                <w:lang w:val="mk-MK"/>
              </w:rPr>
              <w:t>Работилница за родители чии деца имаат поинаков развој од другите</w:t>
            </w:r>
            <w:r w:rsidR="001E66A6">
              <w:rPr>
                <w:noProof/>
                <w:webHidden/>
              </w:rPr>
              <w:tab/>
            </w:r>
            <w:r w:rsidR="001E66A6">
              <w:rPr>
                <w:noProof/>
                <w:webHidden/>
              </w:rPr>
              <w:fldChar w:fldCharType="begin"/>
            </w:r>
            <w:r w:rsidR="001E66A6">
              <w:rPr>
                <w:noProof/>
                <w:webHidden/>
              </w:rPr>
              <w:instrText xml:space="preserve"> PAGEREF _Toc153454149 \h </w:instrText>
            </w:r>
            <w:r w:rsidR="001E66A6">
              <w:rPr>
                <w:noProof/>
                <w:webHidden/>
              </w:rPr>
            </w:r>
            <w:r w:rsidR="001E66A6">
              <w:rPr>
                <w:noProof/>
                <w:webHidden/>
              </w:rPr>
              <w:fldChar w:fldCharType="separate"/>
            </w:r>
            <w:r w:rsidR="001E66A6">
              <w:rPr>
                <w:noProof/>
                <w:webHidden/>
              </w:rPr>
              <w:t>35</w:t>
            </w:r>
            <w:r w:rsidR="001E66A6">
              <w:rPr>
                <w:noProof/>
                <w:webHidden/>
              </w:rPr>
              <w:fldChar w:fldCharType="end"/>
            </w:r>
          </w:hyperlink>
        </w:p>
        <w:p w14:paraId="11FF1B58" w14:textId="77777777" w:rsidR="001E66A6" w:rsidRDefault="00F83AB6">
          <w:pPr>
            <w:pStyle w:val="TOC2"/>
            <w:tabs>
              <w:tab w:val="right" w:leader="dot" w:pos="9016"/>
            </w:tabs>
            <w:rPr>
              <w:rFonts w:cstheme="minorBidi"/>
              <w:noProof/>
            </w:rPr>
          </w:pPr>
          <w:hyperlink w:anchor="_Toc153454150" w:history="1">
            <w:r w:rsidR="001E66A6" w:rsidRPr="00EA639D">
              <w:rPr>
                <w:rStyle w:val="Hyperlink"/>
                <w:noProof/>
              </w:rPr>
              <w:t>Програма за семејни центри за абориџински деца и семејства</w:t>
            </w:r>
            <w:r w:rsidR="001E66A6">
              <w:rPr>
                <w:noProof/>
                <w:webHidden/>
              </w:rPr>
              <w:tab/>
            </w:r>
            <w:r w:rsidR="001E66A6">
              <w:rPr>
                <w:noProof/>
                <w:webHidden/>
              </w:rPr>
              <w:fldChar w:fldCharType="begin"/>
            </w:r>
            <w:r w:rsidR="001E66A6">
              <w:rPr>
                <w:noProof/>
                <w:webHidden/>
              </w:rPr>
              <w:instrText xml:space="preserve"> PAGEREF _Toc153454150 \h </w:instrText>
            </w:r>
            <w:r w:rsidR="001E66A6">
              <w:rPr>
                <w:noProof/>
                <w:webHidden/>
              </w:rPr>
            </w:r>
            <w:r w:rsidR="001E66A6">
              <w:rPr>
                <w:noProof/>
                <w:webHidden/>
              </w:rPr>
              <w:fldChar w:fldCharType="separate"/>
            </w:r>
            <w:r w:rsidR="001E66A6">
              <w:rPr>
                <w:noProof/>
                <w:webHidden/>
              </w:rPr>
              <w:t>36</w:t>
            </w:r>
            <w:r w:rsidR="001E66A6">
              <w:rPr>
                <w:noProof/>
                <w:webHidden/>
              </w:rPr>
              <w:fldChar w:fldCharType="end"/>
            </w:r>
          </w:hyperlink>
        </w:p>
        <w:p w14:paraId="02C8B61F" w14:textId="77777777" w:rsidR="001E66A6" w:rsidRDefault="00F83AB6">
          <w:pPr>
            <w:pStyle w:val="TOC2"/>
            <w:tabs>
              <w:tab w:val="right" w:leader="dot" w:pos="9016"/>
            </w:tabs>
            <w:rPr>
              <w:rFonts w:cstheme="minorBidi"/>
              <w:noProof/>
            </w:rPr>
          </w:pPr>
          <w:hyperlink w:anchor="_Toc153454151" w:history="1">
            <w:r w:rsidR="001E66A6" w:rsidRPr="00EA639D">
              <w:rPr>
                <w:rStyle w:val="Hyperlink"/>
                <w:noProof/>
              </w:rPr>
              <w:t>Поддршка со однесувањето и намалување и укинување на практиките за ограничување</w:t>
            </w:r>
            <w:r w:rsidR="001E66A6">
              <w:rPr>
                <w:noProof/>
                <w:webHidden/>
              </w:rPr>
              <w:tab/>
            </w:r>
            <w:r w:rsidR="001E66A6">
              <w:rPr>
                <w:noProof/>
                <w:webHidden/>
              </w:rPr>
              <w:fldChar w:fldCharType="begin"/>
            </w:r>
            <w:r w:rsidR="001E66A6">
              <w:rPr>
                <w:noProof/>
                <w:webHidden/>
              </w:rPr>
              <w:instrText xml:space="preserve"> PAGEREF _Toc153454151 \h </w:instrText>
            </w:r>
            <w:r w:rsidR="001E66A6">
              <w:rPr>
                <w:noProof/>
                <w:webHidden/>
              </w:rPr>
            </w:r>
            <w:r w:rsidR="001E66A6">
              <w:rPr>
                <w:noProof/>
                <w:webHidden/>
              </w:rPr>
              <w:fldChar w:fldCharType="separate"/>
            </w:r>
            <w:r w:rsidR="001E66A6">
              <w:rPr>
                <w:noProof/>
                <w:webHidden/>
              </w:rPr>
              <w:t>38</w:t>
            </w:r>
            <w:r w:rsidR="001E66A6">
              <w:rPr>
                <w:noProof/>
                <w:webHidden/>
              </w:rPr>
              <w:fldChar w:fldCharType="end"/>
            </w:r>
          </w:hyperlink>
        </w:p>
        <w:p w14:paraId="68FF6ABF" w14:textId="77777777" w:rsidR="001E66A6" w:rsidRDefault="00F83AB6">
          <w:pPr>
            <w:pStyle w:val="TOC2"/>
            <w:tabs>
              <w:tab w:val="right" w:leader="dot" w:pos="9016"/>
            </w:tabs>
            <w:rPr>
              <w:rFonts w:cstheme="minorBidi"/>
              <w:noProof/>
            </w:rPr>
          </w:pPr>
          <w:hyperlink w:anchor="_Toc153454152" w:history="1">
            <w:r w:rsidR="001E66A6" w:rsidRPr="00EA639D">
              <w:rPr>
                <w:rStyle w:val="Hyperlink"/>
                <w:rFonts w:cs="Arial"/>
                <w:noProof/>
                <w:lang w:val="mk-MK"/>
              </w:rPr>
              <w:t>Состаноците за постапување во итни ситуации да ги вклучуваат и давателите на услуги</w:t>
            </w:r>
            <w:r w:rsidR="001E66A6">
              <w:rPr>
                <w:noProof/>
                <w:webHidden/>
              </w:rPr>
              <w:tab/>
            </w:r>
            <w:r w:rsidR="001E66A6">
              <w:rPr>
                <w:noProof/>
                <w:webHidden/>
              </w:rPr>
              <w:fldChar w:fldCharType="begin"/>
            </w:r>
            <w:r w:rsidR="001E66A6">
              <w:rPr>
                <w:noProof/>
                <w:webHidden/>
              </w:rPr>
              <w:instrText xml:space="preserve"> PAGEREF _Toc153454152 \h </w:instrText>
            </w:r>
            <w:r w:rsidR="001E66A6">
              <w:rPr>
                <w:noProof/>
                <w:webHidden/>
              </w:rPr>
            </w:r>
            <w:r w:rsidR="001E66A6">
              <w:rPr>
                <w:noProof/>
                <w:webHidden/>
              </w:rPr>
              <w:fldChar w:fldCharType="separate"/>
            </w:r>
            <w:r w:rsidR="001E66A6">
              <w:rPr>
                <w:noProof/>
                <w:webHidden/>
              </w:rPr>
              <w:t>40</w:t>
            </w:r>
            <w:r w:rsidR="001E66A6">
              <w:rPr>
                <w:noProof/>
                <w:webHidden/>
              </w:rPr>
              <w:fldChar w:fldCharType="end"/>
            </w:r>
          </w:hyperlink>
        </w:p>
        <w:p w14:paraId="29AF1707" w14:textId="77777777" w:rsidR="001E66A6" w:rsidRDefault="00F83AB6">
          <w:pPr>
            <w:pStyle w:val="TOC2"/>
            <w:tabs>
              <w:tab w:val="right" w:leader="dot" w:pos="9016"/>
            </w:tabs>
            <w:rPr>
              <w:rFonts w:cstheme="minorBidi"/>
              <w:noProof/>
            </w:rPr>
          </w:pPr>
          <w:hyperlink w:anchor="_Toc153454153" w:history="1">
            <w:r w:rsidR="001E66A6" w:rsidRPr="00EA639D">
              <w:rPr>
                <w:rStyle w:val="Hyperlink"/>
                <w:rFonts w:cs="Arial"/>
                <w:noProof/>
                <w:lang w:val="mk-MK"/>
              </w:rPr>
              <w:t>Иницијатива за дејствување во итни случаи на семејно насилство во коишто се вклучени луѓе со онеспособеност</w:t>
            </w:r>
            <w:r w:rsidR="001E66A6">
              <w:rPr>
                <w:noProof/>
                <w:webHidden/>
              </w:rPr>
              <w:tab/>
            </w:r>
            <w:r w:rsidR="001E66A6">
              <w:rPr>
                <w:noProof/>
                <w:webHidden/>
              </w:rPr>
              <w:fldChar w:fldCharType="begin"/>
            </w:r>
            <w:r w:rsidR="001E66A6">
              <w:rPr>
                <w:noProof/>
                <w:webHidden/>
              </w:rPr>
              <w:instrText xml:space="preserve"> PAGEREF _Toc153454153 \h </w:instrText>
            </w:r>
            <w:r w:rsidR="001E66A6">
              <w:rPr>
                <w:noProof/>
                <w:webHidden/>
              </w:rPr>
            </w:r>
            <w:r w:rsidR="001E66A6">
              <w:rPr>
                <w:noProof/>
                <w:webHidden/>
              </w:rPr>
              <w:fldChar w:fldCharType="separate"/>
            </w:r>
            <w:r w:rsidR="001E66A6">
              <w:rPr>
                <w:noProof/>
                <w:webHidden/>
              </w:rPr>
              <w:t>42</w:t>
            </w:r>
            <w:r w:rsidR="001E66A6">
              <w:rPr>
                <w:noProof/>
                <w:webHidden/>
              </w:rPr>
              <w:fldChar w:fldCharType="end"/>
            </w:r>
          </w:hyperlink>
        </w:p>
        <w:p w14:paraId="3D1338C4" w14:textId="77777777" w:rsidR="001E66A6" w:rsidRDefault="00F83AB6">
          <w:pPr>
            <w:pStyle w:val="TOC2"/>
            <w:tabs>
              <w:tab w:val="right" w:leader="dot" w:pos="9016"/>
            </w:tabs>
            <w:rPr>
              <w:rFonts w:cstheme="minorBidi"/>
              <w:noProof/>
            </w:rPr>
          </w:pPr>
          <w:hyperlink w:anchor="_Toc153454154" w:history="1">
            <w:r w:rsidR="001E66A6" w:rsidRPr="00EA639D">
              <w:rPr>
                <w:rStyle w:val="Hyperlink"/>
                <w:rFonts w:cs="Arial"/>
                <w:noProof/>
                <w:lang w:val="mk-MK"/>
              </w:rPr>
              <w:t>Достапни прифатилишта и поддршка</w:t>
            </w:r>
            <w:r w:rsidR="001E66A6">
              <w:rPr>
                <w:noProof/>
                <w:webHidden/>
              </w:rPr>
              <w:tab/>
            </w:r>
            <w:r w:rsidR="001E66A6">
              <w:rPr>
                <w:noProof/>
                <w:webHidden/>
              </w:rPr>
              <w:fldChar w:fldCharType="begin"/>
            </w:r>
            <w:r w:rsidR="001E66A6">
              <w:rPr>
                <w:noProof/>
                <w:webHidden/>
              </w:rPr>
              <w:instrText xml:space="preserve"> PAGEREF _Toc153454154 \h </w:instrText>
            </w:r>
            <w:r w:rsidR="001E66A6">
              <w:rPr>
                <w:noProof/>
                <w:webHidden/>
              </w:rPr>
            </w:r>
            <w:r w:rsidR="001E66A6">
              <w:rPr>
                <w:noProof/>
                <w:webHidden/>
              </w:rPr>
              <w:fldChar w:fldCharType="separate"/>
            </w:r>
            <w:r w:rsidR="001E66A6">
              <w:rPr>
                <w:noProof/>
                <w:webHidden/>
              </w:rPr>
              <w:t>44</w:t>
            </w:r>
            <w:r w:rsidR="001E66A6">
              <w:rPr>
                <w:noProof/>
                <w:webHidden/>
              </w:rPr>
              <w:fldChar w:fldCharType="end"/>
            </w:r>
          </w:hyperlink>
        </w:p>
        <w:p w14:paraId="25758D26" w14:textId="77777777" w:rsidR="001E66A6" w:rsidRDefault="00F83AB6">
          <w:pPr>
            <w:pStyle w:val="TOC2"/>
            <w:tabs>
              <w:tab w:val="right" w:leader="dot" w:pos="9016"/>
            </w:tabs>
            <w:rPr>
              <w:rFonts w:cstheme="minorBidi"/>
              <w:noProof/>
            </w:rPr>
          </w:pPr>
          <w:hyperlink w:anchor="_Toc153454155" w:history="1">
            <w:r w:rsidR="001E66A6" w:rsidRPr="00EA639D">
              <w:rPr>
                <w:rStyle w:val="Hyperlink"/>
                <w:rFonts w:cs="Arial"/>
                <w:noProof/>
                <w:lang w:val="mk-MK"/>
              </w:rPr>
              <w:t>Програма за посредување во Австралиската Престолнинска Територија</w:t>
            </w:r>
            <w:r w:rsidR="001E66A6">
              <w:rPr>
                <w:noProof/>
                <w:webHidden/>
              </w:rPr>
              <w:tab/>
            </w:r>
            <w:r w:rsidR="001E66A6">
              <w:rPr>
                <w:noProof/>
                <w:webHidden/>
              </w:rPr>
              <w:fldChar w:fldCharType="begin"/>
            </w:r>
            <w:r w:rsidR="001E66A6">
              <w:rPr>
                <w:noProof/>
                <w:webHidden/>
              </w:rPr>
              <w:instrText xml:space="preserve"> PAGEREF _Toc153454155 \h </w:instrText>
            </w:r>
            <w:r w:rsidR="001E66A6">
              <w:rPr>
                <w:noProof/>
                <w:webHidden/>
              </w:rPr>
            </w:r>
            <w:r w:rsidR="001E66A6">
              <w:rPr>
                <w:noProof/>
                <w:webHidden/>
              </w:rPr>
              <w:fldChar w:fldCharType="separate"/>
            </w:r>
            <w:r w:rsidR="001E66A6">
              <w:rPr>
                <w:noProof/>
                <w:webHidden/>
              </w:rPr>
              <w:t>45</w:t>
            </w:r>
            <w:r w:rsidR="001E66A6">
              <w:rPr>
                <w:noProof/>
                <w:webHidden/>
              </w:rPr>
              <w:fldChar w:fldCharType="end"/>
            </w:r>
          </w:hyperlink>
        </w:p>
        <w:p w14:paraId="29B4AB65" w14:textId="77777777" w:rsidR="001E66A6" w:rsidRDefault="00F83AB6">
          <w:pPr>
            <w:pStyle w:val="TOC2"/>
            <w:tabs>
              <w:tab w:val="right" w:leader="dot" w:pos="9016"/>
            </w:tabs>
            <w:rPr>
              <w:rFonts w:cstheme="minorBidi"/>
              <w:noProof/>
            </w:rPr>
          </w:pPr>
          <w:hyperlink w:anchor="_Toc153454156" w:history="1">
            <w:r w:rsidR="001E66A6" w:rsidRPr="00EA639D">
              <w:rPr>
                <w:rStyle w:val="Hyperlink"/>
                <w:rFonts w:cs="Arial"/>
                <w:noProof/>
                <w:lang w:val="mk-MK"/>
              </w:rPr>
              <w:t>Програма за намалување на опасноста при несреќи што ги вклучува и луѓето со онеспособеност</w:t>
            </w:r>
            <w:r w:rsidR="001E66A6">
              <w:rPr>
                <w:noProof/>
                <w:webHidden/>
              </w:rPr>
              <w:tab/>
            </w:r>
            <w:r w:rsidR="001E66A6">
              <w:rPr>
                <w:noProof/>
                <w:webHidden/>
              </w:rPr>
              <w:fldChar w:fldCharType="begin"/>
            </w:r>
            <w:r w:rsidR="001E66A6">
              <w:rPr>
                <w:noProof/>
                <w:webHidden/>
              </w:rPr>
              <w:instrText xml:space="preserve"> PAGEREF _Toc153454156 \h </w:instrText>
            </w:r>
            <w:r w:rsidR="001E66A6">
              <w:rPr>
                <w:noProof/>
                <w:webHidden/>
              </w:rPr>
            </w:r>
            <w:r w:rsidR="001E66A6">
              <w:rPr>
                <w:noProof/>
                <w:webHidden/>
              </w:rPr>
              <w:fldChar w:fldCharType="separate"/>
            </w:r>
            <w:r w:rsidR="001E66A6">
              <w:rPr>
                <w:noProof/>
                <w:webHidden/>
              </w:rPr>
              <w:t>46</w:t>
            </w:r>
            <w:r w:rsidR="001E66A6">
              <w:rPr>
                <w:noProof/>
                <w:webHidden/>
              </w:rPr>
              <w:fldChar w:fldCharType="end"/>
            </w:r>
          </w:hyperlink>
        </w:p>
        <w:p w14:paraId="13200B33" w14:textId="77777777" w:rsidR="001E66A6" w:rsidRDefault="00F83AB6" w:rsidP="001E66A6">
          <w:pPr>
            <w:pStyle w:val="TOC2"/>
            <w:tabs>
              <w:tab w:val="right" w:leader="dot" w:pos="9016"/>
            </w:tabs>
            <w:ind w:left="0"/>
            <w:rPr>
              <w:rFonts w:cstheme="minorBidi"/>
              <w:noProof/>
            </w:rPr>
          </w:pPr>
          <w:hyperlink w:anchor="_Toc153454157" w:history="1">
            <w:r w:rsidR="001E66A6" w:rsidRPr="00EA639D">
              <w:rPr>
                <w:rStyle w:val="Hyperlink"/>
                <w:rFonts w:cs="Arial"/>
                <w:noProof/>
                <w:lang w:val="mk-MK"/>
              </w:rPr>
              <w:t>Краток преглед на напредокот од 3 декември 2021 г.</w:t>
            </w:r>
            <w:r w:rsidR="001E66A6">
              <w:rPr>
                <w:noProof/>
                <w:webHidden/>
              </w:rPr>
              <w:tab/>
            </w:r>
            <w:r w:rsidR="001E66A6">
              <w:rPr>
                <w:noProof/>
                <w:webHidden/>
              </w:rPr>
              <w:fldChar w:fldCharType="begin"/>
            </w:r>
            <w:r w:rsidR="001E66A6">
              <w:rPr>
                <w:noProof/>
                <w:webHidden/>
              </w:rPr>
              <w:instrText xml:space="preserve"> PAGEREF _Toc153454157 \h </w:instrText>
            </w:r>
            <w:r w:rsidR="001E66A6">
              <w:rPr>
                <w:noProof/>
                <w:webHidden/>
              </w:rPr>
            </w:r>
            <w:r w:rsidR="001E66A6">
              <w:rPr>
                <w:noProof/>
                <w:webHidden/>
              </w:rPr>
              <w:fldChar w:fldCharType="separate"/>
            </w:r>
            <w:r w:rsidR="001E66A6">
              <w:rPr>
                <w:noProof/>
                <w:webHidden/>
              </w:rPr>
              <w:t>48</w:t>
            </w:r>
            <w:r w:rsidR="001E66A6">
              <w:rPr>
                <w:noProof/>
                <w:webHidden/>
              </w:rPr>
              <w:fldChar w:fldCharType="end"/>
            </w:r>
          </w:hyperlink>
        </w:p>
        <w:p w14:paraId="19B538F8" w14:textId="5EE02AD1" w:rsidR="008E5C12" w:rsidRPr="005114E7" w:rsidRDefault="008E5C12">
          <w:r w:rsidRPr="005114E7">
            <w:rPr>
              <w:b/>
              <w:bCs/>
              <w:noProof/>
            </w:rPr>
            <w:fldChar w:fldCharType="end"/>
          </w:r>
        </w:p>
      </w:sdtContent>
    </w:sdt>
    <w:p w14:paraId="384D5BE4" w14:textId="77777777" w:rsidR="00881AEF" w:rsidRPr="005114E7" w:rsidRDefault="00881AEF">
      <w:r w:rsidRPr="005114E7">
        <w:br w:type="page"/>
      </w:r>
    </w:p>
    <w:p w14:paraId="0ACB0E80" w14:textId="1481A581" w:rsidR="00881AEF" w:rsidRPr="005114E7" w:rsidRDefault="00F441F3" w:rsidP="008C13A0">
      <w:pPr>
        <w:pStyle w:val="Heading1"/>
      </w:pPr>
      <w:bookmarkStart w:id="1" w:name="_Toc153454128"/>
      <w:proofErr w:type="spellStart"/>
      <w:r w:rsidRPr="005114E7">
        <w:lastRenderedPageBreak/>
        <w:t>Вовед</w:t>
      </w:r>
      <w:bookmarkEnd w:id="1"/>
      <w:proofErr w:type="spellEnd"/>
    </w:p>
    <w:p w14:paraId="4B1F7B18" w14:textId="77777777" w:rsidR="00F441F3" w:rsidRPr="005114E7" w:rsidRDefault="00F441F3" w:rsidP="00F441F3">
      <w:pPr>
        <w:spacing w:before="240" w:after="240" w:line="240" w:lineRule="auto"/>
        <w:rPr>
          <w:rFonts w:cs="Arial"/>
          <w:color w:val="6C1740"/>
          <w:sz w:val="36"/>
          <w:szCs w:val="36"/>
        </w:rPr>
      </w:pPr>
      <w:r w:rsidRPr="005114E7">
        <w:rPr>
          <w:rFonts w:cs="Arial"/>
          <w:i/>
          <w:color w:val="6C1740"/>
          <w:sz w:val="36"/>
          <w:szCs w:val="36"/>
          <w:lang w:val="mk-MK"/>
        </w:rPr>
        <w:t>Австралиската стратегија за онеспособеност 2021-2031 (</w:t>
      </w:r>
      <w:r w:rsidRPr="005114E7">
        <w:rPr>
          <w:rFonts w:cs="Arial"/>
          <w:i/>
          <w:color w:val="6C1740"/>
          <w:sz w:val="36"/>
          <w:szCs w:val="36"/>
        </w:rPr>
        <w:t>Australia’s Disability Strategy 2021-2031</w:t>
      </w:r>
      <w:r w:rsidRPr="005114E7">
        <w:rPr>
          <w:rFonts w:cs="Arial"/>
          <w:color w:val="6C1740"/>
          <w:sz w:val="36"/>
          <w:szCs w:val="36"/>
        </w:rPr>
        <w:t xml:space="preserve"> </w:t>
      </w:r>
      <w:r w:rsidRPr="005114E7">
        <w:rPr>
          <w:rFonts w:cs="Arial"/>
          <w:color w:val="6C1740"/>
          <w:sz w:val="36"/>
          <w:szCs w:val="36"/>
          <w:lang w:val="mk-MK"/>
        </w:rPr>
        <w:t xml:space="preserve">- </w:t>
      </w:r>
      <w:r w:rsidRPr="005114E7">
        <w:rPr>
          <w:rFonts w:cs="Arial"/>
          <w:color w:val="6C1740"/>
          <w:sz w:val="36"/>
          <w:szCs w:val="36"/>
        </w:rPr>
        <w:t xml:space="preserve">ADS) </w:t>
      </w:r>
      <w:r w:rsidRPr="005114E7">
        <w:rPr>
          <w:rFonts w:cs="Arial"/>
          <w:color w:val="6C1740"/>
          <w:sz w:val="36"/>
          <w:szCs w:val="36"/>
          <w:lang w:val="mk-MK"/>
        </w:rPr>
        <w:t>утврдува план со кој ќе се променат животите на луѓето со онеспособеност во текот на десетгодишен период.</w:t>
      </w:r>
    </w:p>
    <w:p w14:paraId="11C21A25" w14:textId="77777777" w:rsidR="00F441F3" w:rsidRPr="005114E7" w:rsidRDefault="00F441F3" w:rsidP="00F441F3">
      <w:pPr>
        <w:spacing w:before="240" w:after="240" w:line="240" w:lineRule="auto"/>
        <w:rPr>
          <w:rFonts w:cs="Arial"/>
          <w:color w:val="6C1740"/>
          <w:sz w:val="36"/>
          <w:szCs w:val="36"/>
        </w:rPr>
      </w:pPr>
      <w:r w:rsidRPr="005114E7">
        <w:rPr>
          <w:rFonts w:cs="Arial"/>
          <w:color w:val="6C1740"/>
          <w:sz w:val="36"/>
          <w:szCs w:val="36"/>
          <w:lang w:val="mk-MK"/>
        </w:rPr>
        <w:t xml:space="preserve">Во склоп на Стратегијата </w:t>
      </w:r>
      <w:r w:rsidRPr="005114E7">
        <w:rPr>
          <w:rFonts w:cs="Arial"/>
          <w:color w:val="6C1740"/>
          <w:sz w:val="36"/>
          <w:szCs w:val="36"/>
        </w:rPr>
        <w:t>ADS,</w:t>
      </w:r>
      <w:r w:rsidRPr="005114E7">
        <w:rPr>
          <w:rFonts w:cs="Arial"/>
          <w:color w:val="6C1740"/>
          <w:sz w:val="36"/>
          <w:szCs w:val="36"/>
          <w:lang w:val="mk-MK"/>
        </w:rPr>
        <w:t xml:space="preserve"> Плановите за насочена акција (</w:t>
      </w:r>
      <w:r w:rsidRPr="005114E7">
        <w:rPr>
          <w:rFonts w:cs="Arial"/>
          <w:color w:val="6C1740"/>
          <w:sz w:val="36"/>
          <w:szCs w:val="36"/>
        </w:rPr>
        <w:t>Targeted Action Plans</w:t>
      </w:r>
      <w:r w:rsidRPr="005114E7">
        <w:rPr>
          <w:rFonts w:cs="Arial"/>
          <w:color w:val="6C1740"/>
          <w:sz w:val="36"/>
          <w:szCs w:val="36"/>
          <w:lang w:val="mk-MK"/>
        </w:rPr>
        <w:t xml:space="preserve"> - </w:t>
      </w:r>
      <w:r w:rsidRPr="005114E7">
        <w:rPr>
          <w:rFonts w:cs="Arial"/>
          <w:color w:val="6C1740"/>
          <w:sz w:val="36"/>
          <w:szCs w:val="36"/>
        </w:rPr>
        <w:t>TAPs)</w:t>
      </w:r>
      <w:r w:rsidRPr="005114E7">
        <w:rPr>
          <w:rFonts w:cs="Arial"/>
          <w:color w:val="6C1740"/>
          <w:sz w:val="36"/>
          <w:szCs w:val="36"/>
          <w:lang w:val="mk-MK"/>
        </w:rPr>
        <w:t xml:space="preserve"> засилено се сосредоточуваат да постигнат специфични цели во текот на тригодишен период со што ќе се подобрат резултатите за луѓето со онеспособеност</w:t>
      </w:r>
      <w:r w:rsidRPr="005114E7">
        <w:rPr>
          <w:rFonts w:cs="Arial"/>
          <w:color w:val="6C1740"/>
          <w:sz w:val="36"/>
          <w:szCs w:val="36"/>
        </w:rPr>
        <w:t xml:space="preserve">. </w:t>
      </w:r>
    </w:p>
    <w:p w14:paraId="5E71A96C" w14:textId="77777777" w:rsidR="00F441F3" w:rsidRPr="005114E7" w:rsidRDefault="00F441F3" w:rsidP="00F441F3">
      <w:pPr>
        <w:spacing w:before="240" w:after="240" w:line="240" w:lineRule="auto"/>
        <w:rPr>
          <w:rFonts w:cs="Arial"/>
          <w:color w:val="6C1740"/>
          <w:sz w:val="36"/>
          <w:szCs w:val="36"/>
        </w:rPr>
      </w:pPr>
      <w:r w:rsidRPr="005114E7">
        <w:rPr>
          <w:rFonts w:cs="Arial"/>
          <w:color w:val="6C1740"/>
          <w:sz w:val="36"/>
          <w:szCs w:val="36"/>
          <w:lang w:val="mk-MK"/>
        </w:rPr>
        <w:t>Секој план</w:t>
      </w:r>
      <w:r w:rsidRPr="005114E7">
        <w:rPr>
          <w:rFonts w:cs="Arial"/>
          <w:color w:val="6C1740"/>
          <w:sz w:val="36"/>
          <w:szCs w:val="36"/>
        </w:rPr>
        <w:t xml:space="preserve"> TAP</w:t>
      </w:r>
      <w:r w:rsidRPr="005114E7">
        <w:rPr>
          <w:rFonts w:cs="Arial"/>
          <w:color w:val="6C1740"/>
          <w:sz w:val="36"/>
          <w:szCs w:val="36"/>
          <w:lang w:val="mk-MK"/>
        </w:rPr>
        <w:t xml:space="preserve"> е порачан и поткрепен од сите австралиски министри за онеспособеност и вклучува низа насочени и усогласени акции од страна на владите на државите и териториите.</w:t>
      </w:r>
    </w:p>
    <w:p w14:paraId="497D85FA" w14:textId="77777777" w:rsidR="00F441F3" w:rsidRPr="005114E7" w:rsidRDefault="00F441F3" w:rsidP="00F441F3">
      <w:pPr>
        <w:spacing w:before="240" w:after="240" w:line="240" w:lineRule="auto"/>
        <w:rPr>
          <w:rFonts w:cs="Arial"/>
          <w:color w:val="6C1740"/>
          <w:sz w:val="36"/>
          <w:szCs w:val="36"/>
        </w:rPr>
      </w:pPr>
      <w:r w:rsidRPr="005114E7">
        <w:rPr>
          <w:rFonts w:cs="Arial"/>
          <w:color w:val="6C1740"/>
          <w:sz w:val="36"/>
          <w:szCs w:val="36"/>
          <w:lang w:val="mk-MK"/>
        </w:rPr>
        <w:t>Ова е втор годишен извештај за плановите</w:t>
      </w:r>
      <w:r w:rsidRPr="005114E7">
        <w:rPr>
          <w:rFonts w:cs="Arial"/>
          <w:color w:val="6C1740"/>
          <w:sz w:val="36"/>
          <w:szCs w:val="36"/>
        </w:rPr>
        <w:t xml:space="preserve"> TAP. </w:t>
      </w:r>
      <w:r w:rsidRPr="005114E7">
        <w:rPr>
          <w:rFonts w:cs="Arial"/>
          <w:color w:val="6C1740"/>
          <w:sz w:val="36"/>
          <w:szCs w:val="36"/>
          <w:lang w:val="mk-MK"/>
        </w:rPr>
        <w:t>Тој се надоврзува на напредокот за којшто беше известено по истекот на првата година од Стратегијата</w:t>
      </w:r>
      <w:r w:rsidRPr="005114E7">
        <w:rPr>
          <w:rFonts w:cs="Arial"/>
          <w:color w:val="6C1740"/>
          <w:sz w:val="36"/>
          <w:szCs w:val="36"/>
        </w:rPr>
        <w:t xml:space="preserve"> ADS</w:t>
      </w:r>
      <w:r w:rsidRPr="005114E7">
        <w:rPr>
          <w:rFonts w:cs="Arial"/>
          <w:color w:val="6C1740"/>
          <w:sz w:val="36"/>
          <w:szCs w:val="36"/>
          <w:lang w:val="mk-MK"/>
        </w:rPr>
        <w:t xml:space="preserve"> и го опфаќа периодот од 1 јули 2022 г. до 30 јуни 2023 г.</w:t>
      </w:r>
    </w:p>
    <w:p w14:paraId="6F899751" w14:textId="77777777" w:rsidR="00F441F3" w:rsidRPr="005114E7" w:rsidRDefault="00F441F3" w:rsidP="00F441F3">
      <w:pPr>
        <w:spacing w:before="240" w:after="240" w:line="240" w:lineRule="auto"/>
        <w:rPr>
          <w:rFonts w:cs="Arial"/>
          <w:color w:val="6C1740"/>
          <w:sz w:val="36"/>
          <w:szCs w:val="36"/>
        </w:rPr>
      </w:pPr>
      <w:r w:rsidRPr="005114E7">
        <w:rPr>
          <w:rFonts w:cs="Arial"/>
          <w:color w:val="6C1740"/>
          <w:sz w:val="36"/>
          <w:szCs w:val="36"/>
          <w:lang w:val="mk-MK"/>
        </w:rPr>
        <w:t>Иако оваа група на планови</w:t>
      </w:r>
      <w:r w:rsidRPr="005114E7">
        <w:rPr>
          <w:rFonts w:cs="Arial"/>
          <w:color w:val="6C1740"/>
          <w:sz w:val="36"/>
          <w:szCs w:val="36"/>
        </w:rPr>
        <w:t xml:space="preserve"> TAP </w:t>
      </w:r>
      <w:r w:rsidRPr="005114E7">
        <w:rPr>
          <w:rFonts w:cs="Arial"/>
          <w:color w:val="6C1740"/>
          <w:sz w:val="36"/>
          <w:szCs w:val="36"/>
          <w:lang w:val="mk-MK"/>
        </w:rPr>
        <w:t>постигна голем број позитивни резултати, има повеќе акции за коишто извештајот покажува дека доцнат со спроведувањето</w:t>
      </w:r>
      <w:r w:rsidRPr="005114E7">
        <w:rPr>
          <w:rFonts w:cs="Arial"/>
          <w:color w:val="6C1740"/>
          <w:sz w:val="36"/>
          <w:szCs w:val="36"/>
        </w:rPr>
        <w:t>.</w:t>
      </w:r>
    </w:p>
    <w:p w14:paraId="6A181D70" w14:textId="0C7EF3EB" w:rsidR="00F441F3" w:rsidRPr="005114E7" w:rsidRDefault="00F441F3" w:rsidP="00F441F3">
      <w:pPr>
        <w:tabs>
          <w:tab w:val="left" w:pos="1072"/>
        </w:tabs>
        <w:spacing w:before="240" w:after="240" w:line="240" w:lineRule="auto"/>
        <w:rPr>
          <w:color w:val="6C1740"/>
          <w:sz w:val="36"/>
          <w:szCs w:val="36"/>
        </w:rPr>
      </w:pPr>
      <w:r w:rsidRPr="005114E7">
        <w:rPr>
          <w:rFonts w:cs="Arial"/>
          <w:color w:val="6C1740"/>
          <w:sz w:val="36"/>
          <w:szCs w:val="36"/>
          <w:lang w:val="mk-MK"/>
        </w:rPr>
        <w:t>Следниот извештај за плановите</w:t>
      </w:r>
      <w:r w:rsidRPr="005114E7">
        <w:rPr>
          <w:rFonts w:cs="Arial"/>
          <w:color w:val="6C1740"/>
          <w:sz w:val="36"/>
          <w:szCs w:val="36"/>
        </w:rPr>
        <w:t xml:space="preserve"> TAP</w:t>
      </w:r>
      <w:r w:rsidRPr="005114E7">
        <w:rPr>
          <w:rFonts w:cs="Arial"/>
          <w:color w:val="6C1740"/>
          <w:sz w:val="36"/>
          <w:szCs w:val="36"/>
          <w:lang w:val="mk-MK"/>
        </w:rPr>
        <w:t xml:space="preserve"> ќе биде последен за оваа група планови</w:t>
      </w:r>
      <w:r w:rsidRPr="005114E7">
        <w:rPr>
          <w:rFonts w:cs="Arial"/>
          <w:color w:val="6C1740"/>
          <w:sz w:val="36"/>
          <w:szCs w:val="36"/>
        </w:rPr>
        <w:t xml:space="preserve"> TAP.</w:t>
      </w:r>
      <w:r w:rsidRPr="005114E7">
        <w:rPr>
          <w:rFonts w:cs="Arial"/>
          <w:color w:val="6C1740"/>
          <w:sz w:val="36"/>
          <w:szCs w:val="36"/>
          <w:lang w:val="mk-MK"/>
        </w:rPr>
        <w:t xml:space="preserve"> Австралиската </w:t>
      </w:r>
      <w:r w:rsidRPr="005114E7">
        <w:rPr>
          <w:rFonts w:cs="Arial"/>
          <w:color w:val="6C1740"/>
          <w:sz w:val="36"/>
          <w:szCs w:val="36"/>
          <w:lang w:val="mk-MK"/>
        </w:rPr>
        <w:lastRenderedPageBreak/>
        <w:t>влада, во соработка со владите на државите и териториите, почна да работи на утврдувањето на следната група планови TAP.</w:t>
      </w:r>
      <w:r w:rsidRPr="005114E7">
        <w:rPr>
          <w:color w:val="6C1740"/>
          <w:sz w:val="36"/>
          <w:szCs w:val="36"/>
        </w:rPr>
        <w:tab/>
      </w:r>
    </w:p>
    <w:p w14:paraId="084F5A5F" w14:textId="54A38A3A" w:rsidR="00881AEF" w:rsidRPr="005114E7" w:rsidRDefault="009F397E">
      <w:r w:rsidRPr="005114E7">
        <w:br w:type="page"/>
      </w:r>
    </w:p>
    <w:p w14:paraId="674AAF8C" w14:textId="72EF3E15" w:rsidR="00881AEF" w:rsidRPr="005114E7" w:rsidRDefault="00F441F3" w:rsidP="007E700B">
      <w:proofErr w:type="spellStart"/>
      <w:r w:rsidRPr="005114E7">
        <w:lastRenderedPageBreak/>
        <w:t>Петте</w:t>
      </w:r>
      <w:proofErr w:type="spellEnd"/>
      <w:r w:rsidRPr="005114E7">
        <w:t xml:space="preserve"> </w:t>
      </w:r>
      <w:proofErr w:type="spellStart"/>
      <w:r w:rsidRPr="005114E7">
        <w:t>Планови</w:t>
      </w:r>
      <w:proofErr w:type="spellEnd"/>
      <w:r w:rsidRPr="005114E7">
        <w:t xml:space="preserve"> </w:t>
      </w:r>
      <w:proofErr w:type="spellStart"/>
      <w:r w:rsidRPr="005114E7">
        <w:t>за</w:t>
      </w:r>
      <w:proofErr w:type="spellEnd"/>
      <w:r w:rsidRPr="005114E7">
        <w:t xml:space="preserve"> </w:t>
      </w:r>
      <w:proofErr w:type="spellStart"/>
      <w:r w:rsidRPr="005114E7">
        <w:t>насочена</w:t>
      </w:r>
      <w:proofErr w:type="spellEnd"/>
      <w:r w:rsidRPr="005114E7">
        <w:t xml:space="preserve"> </w:t>
      </w:r>
      <w:proofErr w:type="spellStart"/>
      <w:r w:rsidRPr="005114E7">
        <w:t>акција</w:t>
      </w:r>
      <w:proofErr w:type="spellEnd"/>
      <w:r w:rsidRPr="005114E7">
        <w:t xml:space="preserve"> (TAP) </w:t>
      </w:r>
      <w:proofErr w:type="spellStart"/>
      <w:r w:rsidRPr="005114E7">
        <w:t>отпочнати</w:t>
      </w:r>
      <w:proofErr w:type="spellEnd"/>
      <w:r w:rsidRPr="005114E7">
        <w:t xml:space="preserve"> </w:t>
      </w:r>
      <w:proofErr w:type="spellStart"/>
      <w:r w:rsidRPr="005114E7">
        <w:t>со</w:t>
      </w:r>
      <w:proofErr w:type="spellEnd"/>
      <w:r w:rsidRPr="005114E7">
        <w:t xml:space="preserve"> </w:t>
      </w:r>
      <w:proofErr w:type="spellStart"/>
      <w:r w:rsidRPr="005114E7">
        <w:t>Стратегијата</w:t>
      </w:r>
      <w:proofErr w:type="spellEnd"/>
      <w:r w:rsidRPr="005114E7">
        <w:t xml:space="preserve"> ADS </w:t>
      </w:r>
      <w:proofErr w:type="spellStart"/>
      <w:r w:rsidRPr="005114E7">
        <w:t>на</w:t>
      </w:r>
      <w:proofErr w:type="spellEnd"/>
      <w:r w:rsidRPr="005114E7">
        <w:t xml:space="preserve"> 3 </w:t>
      </w:r>
      <w:proofErr w:type="spellStart"/>
      <w:r w:rsidRPr="005114E7">
        <w:t>септември</w:t>
      </w:r>
      <w:proofErr w:type="spellEnd"/>
      <w:r w:rsidRPr="005114E7">
        <w:t xml:space="preserve"> 2021 г. </w:t>
      </w:r>
      <w:proofErr w:type="spellStart"/>
      <w:r w:rsidRPr="005114E7">
        <w:t>се</w:t>
      </w:r>
      <w:proofErr w:type="spellEnd"/>
      <w:r w:rsidRPr="005114E7">
        <w:t xml:space="preserve"> </w:t>
      </w:r>
      <w:proofErr w:type="spellStart"/>
      <w:r w:rsidRPr="005114E7">
        <w:t>однесуваат</w:t>
      </w:r>
      <w:proofErr w:type="spellEnd"/>
      <w:r w:rsidRPr="005114E7">
        <w:t xml:space="preserve"> </w:t>
      </w:r>
      <w:proofErr w:type="spellStart"/>
      <w:r w:rsidRPr="005114E7">
        <w:t>на</w:t>
      </w:r>
      <w:proofErr w:type="spellEnd"/>
      <w:r w:rsidRPr="005114E7">
        <w:t>:</w:t>
      </w:r>
    </w:p>
    <w:p w14:paraId="373D812D" w14:textId="1FBD0CBB" w:rsidR="00881AEF" w:rsidRPr="005114E7" w:rsidRDefault="00F83AB6" w:rsidP="008B50BE">
      <w:pPr>
        <w:pStyle w:val="ListParagraph"/>
        <w:numPr>
          <w:ilvl w:val="0"/>
          <w:numId w:val="17"/>
        </w:numPr>
        <w:spacing w:before="120" w:after="120" w:line="240" w:lineRule="auto"/>
        <w:contextualSpacing w:val="0"/>
      </w:pPr>
      <w:hyperlink r:id="rId12" w:history="1">
        <w:proofErr w:type="spellStart"/>
        <w:r w:rsidR="002C7281" w:rsidRPr="005114E7">
          <w:rPr>
            <w:b/>
            <w:bCs/>
          </w:rPr>
          <w:t>Вработувањето</w:t>
        </w:r>
        <w:proofErr w:type="spellEnd"/>
      </w:hyperlink>
    </w:p>
    <w:p w14:paraId="4D9163BA" w14:textId="6834C705" w:rsidR="00881AEF" w:rsidRPr="005114E7" w:rsidRDefault="00F83AB6" w:rsidP="008B50BE">
      <w:pPr>
        <w:pStyle w:val="ListParagraph"/>
        <w:numPr>
          <w:ilvl w:val="0"/>
          <w:numId w:val="17"/>
        </w:numPr>
        <w:spacing w:before="120" w:after="120" w:line="240" w:lineRule="auto"/>
        <w:contextualSpacing w:val="0"/>
      </w:pPr>
      <w:hyperlink r:id="rId13" w:history="1">
        <w:proofErr w:type="spellStart"/>
        <w:r w:rsidR="002C7281" w:rsidRPr="005114E7">
          <w:rPr>
            <w:b/>
            <w:bCs/>
          </w:rPr>
          <w:t>Односот</w:t>
        </w:r>
        <w:proofErr w:type="spellEnd"/>
        <w:r w:rsidR="002C7281" w:rsidRPr="005114E7">
          <w:rPr>
            <w:b/>
            <w:bCs/>
          </w:rPr>
          <w:t xml:space="preserve"> </w:t>
        </w:r>
        <w:proofErr w:type="spellStart"/>
        <w:r w:rsidR="002C7281" w:rsidRPr="005114E7">
          <w:rPr>
            <w:b/>
            <w:bCs/>
          </w:rPr>
          <w:t>на</w:t>
        </w:r>
        <w:proofErr w:type="spellEnd"/>
        <w:r w:rsidR="002C7281" w:rsidRPr="005114E7">
          <w:rPr>
            <w:b/>
            <w:bCs/>
          </w:rPr>
          <w:t xml:space="preserve"> </w:t>
        </w:r>
        <w:proofErr w:type="spellStart"/>
        <w:r w:rsidR="002C7281" w:rsidRPr="005114E7">
          <w:rPr>
            <w:b/>
            <w:bCs/>
          </w:rPr>
          <w:t>заедницата</w:t>
        </w:r>
        <w:proofErr w:type="spellEnd"/>
      </w:hyperlink>
    </w:p>
    <w:p w14:paraId="5DABC23E" w14:textId="349CD284" w:rsidR="00881AEF" w:rsidRPr="005114E7" w:rsidRDefault="00F83AB6" w:rsidP="008B50BE">
      <w:pPr>
        <w:pStyle w:val="ListParagraph"/>
        <w:numPr>
          <w:ilvl w:val="0"/>
          <w:numId w:val="17"/>
        </w:numPr>
        <w:spacing w:before="120" w:after="120" w:line="240" w:lineRule="auto"/>
        <w:contextualSpacing w:val="0"/>
      </w:pPr>
      <w:hyperlink r:id="rId14" w:history="1">
        <w:proofErr w:type="spellStart"/>
        <w:r w:rsidR="002C7281" w:rsidRPr="005114E7">
          <w:rPr>
            <w:b/>
            <w:bCs/>
          </w:rPr>
          <w:t>Раното</w:t>
        </w:r>
        <w:proofErr w:type="spellEnd"/>
        <w:r w:rsidR="002C7281" w:rsidRPr="005114E7">
          <w:rPr>
            <w:b/>
            <w:bCs/>
          </w:rPr>
          <w:t xml:space="preserve"> </w:t>
        </w:r>
        <w:proofErr w:type="spellStart"/>
        <w:r w:rsidR="002C7281" w:rsidRPr="005114E7">
          <w:rPr>
            <w:b/>
            <w:bCs/>
          </w:rPr>
          <w:t>детство</w:t>
        </w:r>
        <w:proofErr w:type="spellEnd"/>
      </w:hyperlink>
    </w:p>
    <w:p w14:paraId="21479F0A" w14:textId="7E1F2730" w:rsidR="00881AEF" w:rsidRPr="005114E7" w:rsidRDefault="00F83AB6" w:rsidP="008B50BE">
      <w:pPr>
        <w:pStyle w:val="ListParagraph"/>
        <w:numPr>
          <w:ilvl w:val="0"/>
          <w:numId w:val="17"/>
        </w:numPr>
        <w:spacing w:before="120" w:after="120" w:line="240" w:lineRule="auto"/>
        <w:contextualSpacing w:val="0"/>
      </w:pPr>
      <w:hyperlink r:id="rId15" w:history="1">
        <w:proofErr w:type="spellStart"/>
        <w:r w:rsidR="002C7281" w:rsidRPr="005114E7">
          <w:rPr>
            <w:b/>
            <w:bCs/>
          </w:rPr>
          <w:t>Безбедноста</w:t>
        </w:r>
        <w:proofErr w:type="spellEnd"/>
      </w:hyperlink>
    </w:p>
    <w:p w14:paraId="53AD064B" w14:textId="3093CF05" w:rsidR="00881AEF" w:rsidRPr="005114E7" w:rsidRDefault="00F83AB6" w:rsidP="008B50BE">
      <w:pPr>
        <w:pStyle w:val="ListParagraph"/>
        <w:numPr>
          <w:ilvl w:val="0"/>
          <w:numId w:val="17"/>
        </w:numPr>
        <w:spacing w:before="120" w:after="120" w:line="240" w:lineRule="auto"/>
        <w:contextualSpacing w:val="0"/>
      </w:pPr>
      <w:hyperlink r:id="rId16" w:history="1">
        <w:proofErr w:type="spellStart"/>
        <w:r w:rsidR="002C7281" w:rsidRPr="005114E7">
          <w:rPr>
            <w:b/>
            <w:bCs/>
          </w:rPr>
          <w:t>Постапувањето</w:t>
        </w:r>
        <w:proofErr w:type="spellEnd"/>
        <w:r w:rsidR="002C7281" w:rsidRPr="005114E7">
          <w:rPr>
            <w:b/>
            <w:bCs/>
          </w:rPr>
          <w:t xml:space="preserve"> </w:t>
        </w:r>
        <w:proofErr w:type="spellStart"/>
        <w:r w:rsidR="002C7281" w:rsidRPr="005114E7">
          <w:rPr>
            <w:b/>
            <w:bCs/>
          </w:rPr>
          <w:t>во</w:t>
        </w:r>
        <w:proofErr w:type="spellEnd"/>
        <w:r w:rsidR="002C7281" w:rsidRPr="005114E7">
          <w:rPr>
            <w:b/>
            <w:bCs/>
          </w:rPr>
          <w:t xml:space="preserve"> </w:t>
        </w:r>
        <w:proofErr w:type="spellStart"/>
        <w:r w:rsidR="002C7281" w:rsidRPr="005114E7">
          <w:rPr>
            <w:b/>
            <w:bCs/>
          </w:rPr>
          <w:t>итни</w:t>
        </w:r>
        <w:proofErr w:type="spellEnd"/>
        <w:r w:rsidR="002C7281" w:rsidRPr="005114E7">
          <w:rPr>
            <w:b/>
            <w:bCs/>
          </w:rPr>
          <w:t xml:space="preserve"> </w:t>
        </w:r>
        <w:proofErr w:type="spellStart"/>
        <w:r w:rsidR="002C7281" w:rsidRPr="005114E7">
          <w:rPr>
            <w:b/>
            <w:bCs/>
          </w:rPr>
          <w:t>случаи</w:t>
        </w:r>
        <w:proofErr w:type="spellEnd"/>
      </w:hyperlink>
    </w:p>
    <w:p w14:paraId="71D541A9" w14:textId="77777777" w:rsidR="002C7281" w:rsidRPr="005114E7" w:rsidRDefault="002C7281" w:rsidP="002C7281">
      <w:pPr>
        <w:spacing w:before="240" w:after="120" w:line="240" w:lineRule="auto"/>
        <w:rPr>
          <w:rFonts w:cs="Arial"/>
          <w:b/>
        </w:rPr>
      </w:pPr>
      <w:r w:rsidRPr="005114E7">
        <w:rPr>
          <w:rFonts w:cs="Arial"/>
          <w:b/>
          <w:lang w:val="mk-MK"/>
        </w:rPr>
        <w:t>Поднесување извештаи за плановите</w:t>
      </w:r>
      <w:r w:rsidRPr="005114E7">
        <w:rPr>
          <w:rFonts w:cs="Arial"/>
          <w:b/>
        </w:rPr>
        <w:t xml:space="preserve"> TAP</w:t>
      </w:r>
    </w:p>
    <w:p w14:paraId="1D44E4DF" w14:textId="77777777" w:rsidR="002C7281" w:rsidRPr="005114E7" w:rsidRDefault="002C7281" w:rsidP="002C7281">
      <w:pPr>
        <w:spacing w:before="240" w:after="120" w:line="240" w:lineRule="auto"/>
        <w:rPr>
          <w:rFonts w:cs="Arial"/>
        </w:rPr>
      </w:pPr>
      <w:r w:rsidRPr="005114E7">
        <w:rPr>
          <w:rFonts w:cs="Arial"/>
          <w:lang w:val="mk-MK"/>
        </w:rPr>
        <w:t>Во склоп на Стратегијата</w:t>
      </w:r>
      <w:r w:rsidRPr="005114E7">
        <w:rPr>
          <w:rFonts w:cs="Arial"/>
        </w:rPr>
        <w:t xml:space="preserve"> ADS</w:t>
      </w:r>
      <w:r w:rsidRPr="005114E7">
        <w:rPr>
          <w:rFonts w:cs="Arial"/>
          <w:lang w:val="mk-MK"/>
        </w:rPr>
        <w:t>, владите на сите држави и територии се обврзаа да поднесуваат посеопфатни и повидливи извештаи за да осигурат подобар увид и поголема одговорност при подобрувањето на животот на луѓето со онеспособеност.</w:t>
      </w:r>
      <w:r w:rsidRPr="005114E7">
        <w:rPr>
          <w:rFonts w:cs="Arial"/>
        </w:rPr>
        <w:t xml:space="preserve"> </w:t>
      </w:r>
    </w:p>
    <w:p w14:paraId="770D1374" w14:textId="77777777" w:rsidR="002C7281" w:rsidRPr="005114E7" w:rsidRDefault="002C7281" w:rsidP="002C7281">
      <w:pPr>
        <w:spacing w:before="240" w:after="120" w:line="240" w:lineRule="auto"/>
        <w:rPr>
          <w:rFonts w:cs="Arial"/>
          <w:lang w:val="mk-MK"/>
        </w:rPr>
      </w:pPr>
      <w:r w:rsidRPr="005114E7">
        <w:rPr>
          <w:rFonts w:cs="Arial"/>
          <w:lang w:val="mk-MK"/>
        </w:rPr>
        <w:t>Годишниот извештај за плановите</w:t>
      </w:r>
      <w:r w:rsidRPr="005114E7">
        <w:rPr>
          <w:rFonts w:cs="Arial"/>
        </w:rPr>
        <w:t xml:space="preserve"> TAP</w:t>
      </w:r>
      <w:r w:rsidRPr="005114E7">
        <w:rPr>
          <w:rFonts w:cs="Arial"/>
          <w:lang w:val="mk-MK"/>
        </w:rPr>
        <w:t xml:space="preserve"> дава најнови информации за напредокот на тоа што го работат владите за да ги применат и унапредат акциите и успесите предвидени со плановите</w:t>
      </w:r>
      <w:r w:rsidRPr="005114E7">
        <w:rPr>
          <w:rFonts w:cs="Arial"/>
        </w:rPr>
        <w:t xml:space="preserve"> TAP</w:t>
      </w:r>
      <w:r w:rsidRPr="005114E7">
        <w:rPr>
          <w:rFonts w:cs="Arial"/>
          <w:lang w:val="mk-MK"/>
        </w:rPr>
        <w:t xml:space="preserve">. Извештаите за плановите TAP се објавуваат еднаш годишно врз основа на финансиската година, а во согласност со барањата за подобрен начин на известување во склоп на Стратегијата ADS. </w:t>
      </w:r>
    </w:p>
    <w:p w14:paraId="4BB03E2E" w14:textId="77777777" w:rsidR="002C7281" w:rsidRPr="005114E7" w:rsidRDefault="002C7281" w:rsidP="002C7281">
      <w:pPr>
        <w:spacing w:before="240" w:after="120" w:line="240" w:lineRule="auto"/>
        <w:rPr>
          <w:rFonts w:cs="Arial"/>
          <w:b/>
        </w:rPr>
      </w:pPr>
      <w:r w:rsidRPr="005114E7">
        <w:rPr>
          <w:rFonts w:cs="Arial"/>
          <w:lang w:val="mk-MK"/>
        </w:rPr>
        <w:t>Првиот годишен извештај за плановите</w:t>
      </w:r>
      <w:r w:rsidRPr="005114E7">
        <w:rPr>
          <w:rFonts w:cs="Arial"/>
        </w:rPr>
        <w:t xml:space="preserve"> TAP (</w:t>
      </w:r>
      <w:r w:rsidRPr="005114E7">
        <w:rPr>
          <w:rFonts w:cs="Arial"/>
          <w:lang w:val="mk-MK"/>
        </w:rPr>
        <w:t xml:space="preserve">Прв извештај </w:t>
      </w:r>
      <w:r w:rsidRPr="005114E7">
        <w:rPr>
          <w:rFonts w:cs="Arial"/>
        </w:rPr>
        <w:t>TAP)</w:t>
      </w:r>
      <w:r w:rsidRPr="005114E7">
        <w:rPr>
          <w:rFonts w:cs="Arial"/>
          <w:lang w:val="mk-MK"/>
        </w:rPr>
        <w:t xml:space="preserve"> беше објавен на 25 ноември 2022 г. и го опфаќа периодот од почнувањето на 3 декември 2021 г. до 30 јуни 2022 г.</w:t>
      </w:r>
      <w:r w:rsidRPr="005114E7">
        <w:rPr>
          <w:rFonts w:cs="Arial"/>
        </w:rPr>
        <w:t xml:space="preserve"> </w:t>
      </w:r>
    </w:p>
    <w:p w14:paraId="434E39E9" w14:textId="77777777" w:rsidR="002C7281" w:rsidRPr="005114E7" w:rsidRDefault="002C7281" w:rsidP="002C7281">
      <w:pPr>
        <w:spacing w:before="240" w:after="120" w:line="240" w:lineRule="auto"/>
        <w:rPr>
          <w:rFonts w:cs="Arial"/>
          <w:b/>
          <w:lang w:val="mk-MK"/>
        </w:rPr>
      </w:pPr>
      <w:r w:rsidRPr="005114E7">
        <w:rPr>
          <w:rFonts w:cs="Arial"/>
          <w:b/>
          <w:lang w:val="mk-MK"/>
        </w:rPr>
        <w:t>Сегашниот извештај</w:t>
      </w:r>
    </w:p>
    <w:p w14:paraId="2B107943" w14:textId="77777777" w:rsidR="002C7281" w:rsidRPr="005114E7" w:rsidRDefault="002C7281" w:rsidP="002C7281">
      <w:pPr>
        <w:spacing w:before="240" w:after="120" w:line="240" w:lineRule="auto"/>
        <w:rPr>
          <w:rFonts w:cs="Arial"/>
        </w:rPr>
      </w:pPr>
      <w:r w:rsidRPr="005114E7">
        <w:rPr>
          <w:rFonts w:cs="Arial"/>
          <w:lang w:val="mk-MK"/>
        </w:rPr>
        <w:t>Вториот годишен извештај за плановите</w:t>
      </w:r>
      <w:r w:rsidRPr="005114E7">
        <w:rPr>
          <w:rFonts w:cs="Arial"/>
        </w:rPr>
        <w:t xml:space="preserve"> TAP (</w:t>
      </w:r>
      <w:r w:rsidRPr="005114E7">
        <w:rPr>
          <w:rFonts w:cs="Arial"/>
          <w:lang w:val="mk-MK"/>
        </w:rPr>
        <w:t xml:space="preserve">Втор извештај </w:t>
      </w:r>
      <w:r w:rsidRPr="005114E7">
        <w:rPr>
          <w:rFonts w:cs="Arial"/>
        </w:rPr>
        <w:t>TAP)</w:t>
      </w:r>
      <w:r w:rsidRPr="005114E7">
        <w:rPr>
          <w:rFonts w:cs="Arial"/>
          <w:lang w:val="mk-MK"/>
        </w:rPr>
        <w:t xml:space="preserve"> се надоврзува на напредокот за којшто беше известено во првата година од Стратегијата</w:t>
      </w:r>
      <w:r w:rsidRPr="005114E7">
        <w:rPr>
          <w:rFonts w:cs="Arial"/>
        </w:rPr>
        <w:t xml:space="preserve"> ADS</w:t>
      </w:r>
      <w:r w:rsidRPr="005114E7">
        <w:rPr>
          <w:rFonts w:cs="Arial"/>
          <w:lang w:val="mk-MK"/>
        </w:rPr>
        <w:t xml:space="preserve"> и го опфаќа периодот од 1 јули 2022 г. до 30 јуни 2023 г. Внесени се најновите информации од сите влади: австралиската влада и владите на државите и териториите, со посебен осврт на повеќе преземени акции.</w:t>
      </w:r>
      <w:r w:rsidRPr="005114E7">
        <w:rPr>
          <w:rFonts w:cs="Arial"/>
        </w:rPr>
        <w:t xml:space="preserve"> </w:t>
      </w:r>
    </w:p>
    <w:p w14:paraId="3208BC1C" w14:textId="77777777" w:rsidR="002C7281" w:rsidRPr="005114E7" w:rsidRDefault="002C7281" w:rsidP="002C7281">
      <w:pPr>
        <w:spacing w:before="240" w:after="120" w:line="240" w:lineRule="auto"/>
        <w:rPr>
          <w:rFonts w:cs="Arial"/>
        </w:rPr>
      </w:pPr>
      <w:r w:rsidRPr="005114E7">
        <w:rPr>
          <w:rFonts w:cs="Arial"/>
          <w:lang w:val="mk-MK"/>
        </w:rPr>
        <w:t xml:space="preserve">Извештајот се состои од два документи; Втор извештај </w:t>
      </w:r>
      <w:r w:rsidRPr="005114E7">
        <w:rPr>
          <w:rFonts w:cs="Arial"/>
        </w:rPr>
        <w:t>TAP</w:t>
      </w:r>
      <w:r w:rsidRPr="005114E7">
        <w:rPr>
          <w:rFonts w:cs="Arial"/>
          <w:lang w:val="mk-MK"/>
        </w:rPr>
        <w:t xml:space="preserve"> и прилог</w:t>
      </w:r>
      <w:r w:rsidRPr="005114E7">
        <w:rPr>
          <w:rFonts w:cs="Arial"/>
        </w:rPr>
        <w:t>.</w:t>
      </w:r>
    </w:p>
    <w:p w14:paraId="14253D90" w14:textId="77777777" w:rsidR="002C7281" w:rsidRPr="005114E7" w:rsidRDefault="002C7281" w:rsidP="002C7281">
      <w:pPr>
        <w:autoSpaceDE w:val="0"/>
        <w:autoSpaceDN w:val="0"/>
        <w:adjustRightInd w:val="0"/>
        <w:spacing w:before="240" w:after="120" w:line="240" w:lineRule="auto"/>
        <w:rPr>
          <w:rFonts w:cs="Arial"/>
          <w:color w:val="000000"/>
          <w:sz w:val="20"/>
          <w:szCs w:val="20"/>
        </w:rPr>
      </w:pPr>
      <w:r w:rsidRPr="005114E7">
        <w:rPr>
          <w:rFonts w:cs="Arial"/>
          <w:lang w:val="mk-MK"/>
        </w:rPr>
        <w:t>Вториот извештај</w:t>
      </w:r>
      <w:r w:rsidRPr="005114E7">
        <w:rPr>
          <w:rFonts w:cs="Arial"/>
        </w:rPr>
        <w:t xml:space="preserve"> TAP</w:t>
      </w:r>
      <w:r w:rsidRPr="005114E7">
        <w:rPr>
          <w:rFonts w:cs="Arial"/>
          <w:lang w:val="mk-MK"/>
        </w:rPr>
        <w:t xml:space="preserve"> содржи кус преглед, податоци и графикони. Исто така содржи и поголем број примери за да покаже како се спроведуваат и како напредуваат акциите. Извештајот исто така содржи и краток преглед на напредокот постигнат откако започна Стратегијата </w:t>
      </w:r>
      <w:r w:rsidRPr="005114E7">
        <w:rPr>
          <w:rFonts w:cs="Arial"/>
          <w:color w:val="000000"/>
          <w:lang w:val="mk-MK"/>
        </w:rPr>
        <w:t>ADS (декември 2021 г. – јуни 2023 г.</w:t>
      </w:r>
      <w:r w:rsidRPr="005114E7">
        <w:rPr>
          <w:rFonts w:cs="Arial"/>
          <w:color w:val="000000"/>
          <w:sz w:val="20"/>
          <w:szCs w:val="20"/>
        </w:rPr>
        <w:t>)</w:t>
      </w:r>
    </w:p>
    <w:p w14:paraId="73B78A69" w14:textId="77777777" w:rsidR="002C7281" w:rsidRPr="005114E7" w:rsidRDefault="002C7281" w:rsidP="002C7281">
      <w:pPr>
        <w:spacing w:before="240" w:after="120" w:line="240" w:lineRule="auto"/>
        <w:rPr>
          <w:rFonts w:cs="Arial"/>
        </w:rPr>
      </w:pPr>
      <w:r w:rsidRPr="005114E7">
        <w:rPr>
          <w:rFonts w:cs="Arial"/>
          <w:lang w:val="mk-MK"/>
        </w:rPr>
        <w:t>Во Прилогот е прикажана состојбата на напредувањето на 30 јуни 2023, а дадени се и најнови информации за секоја од вкупно 374 преостанати акции за да се покаже како напредува односната акција</w:t>
      </w:r>
      <w:r w:rsidRPr="005114E7">
        <w:rPr>
          <w:rFonts w:cs="Arial"/>
        </w:rPr>
        <w:t>:</w:t>
      </w:r>
    </w:p>
    <w:p w14:paraId="6345DAD3" w14:textId="77777777" w:rsidR="002C7281" w:rsidRPr="005114E7" w:rsidRDefault="002C7281" w:rsidP="002C7281">
      <w:pPr>
        <w:tabs>
          <w:tab w:val="left" w:pos="2880"/>
        </w:tabs>
        <w:spacing w:before="240" w:after="120" w:line="240" w:lineRule="auto"/>
        <w:ind w:left="2880" w:hanging="2880"/>
        <w:rPr>
          <w:rFonts w:cs="Arial"/>
        </w:rPr>
      </w:pPr>
      <w:r w:rsidRPr="005114E7">
        <w:rPr>
          <w:rFonts w:cs="Arial"/>
          <w:b/>
          <w:lang w:val="mk-MK"/>
        </w:rPr>
        <w:t>Завршено</w:t>
      </w:r>
      <w:r w:rsidRPr="005114E7">
        <w:rPr>
          <w:rFonts w:cs="Arial"/>
        </w:rPr>
        <w:tab/>
      </w:r>
      <w:r w:rsidRPr="005114E7">
        <w:rPr>
          <w:rFonts w:cs="Arial"/>
          <w:lang w:val="mk-MK"/>
        </w:rPr>
        <w:t>Акцијата била завршена во периодот меѓу 1 јули 2022 г. и 30 јуни 2023 г.</w:t>
      </w:r>
    </w:p>
    <w:p w14:paraId="09E8B416" w14:textId="2F5512FB" w:rsidR="002C7281" w:rsidRPr="005114E7" w:rsidRDefault="002C7281" w:rsidP="002C7281">
      <w:pPr>
        <w:tabs>
          <w:tab w:val="left" w:pos="2880"/>
        </w:tabs>
        <w:spacing w:before="240" w:after="120" w:line="240" w:lineRule="auto"/>
        <w:ind w:left="2880" w:hanging="2880"/>
        <w:rPr>
          <w:rFonts w:cs="Arial"/>
        </w:rPr>
      </w:pPr>
      <w:r w:rsidRPr="005114E7">
        <w:rPr>
          <w:rFonts w:cs="Arial"/>
          <w:b/>
          <w:lang w:val="mk-MK"/>
        </w:rPr>
        <w:t>Во тек</w:t>
      </w:r>
      <w:r w:rsidRPr="005114E7">
        <w:rPr>
          <w:rFonts w:cs="Arial"/>
        </w:rPr>
        <w:tab/>
      </w:r>
      <w:r w:rsidRPr="005114E7">
        <w:rPr>
          <w:rFonts w:cs="Arial"/>
          <w:lang w:val="mk-MK"/>
        </w:rPr>
        <w:t>Акцијата се одвива во согласност со плановите</w:t>
      </w:r>
      <w:r w:rsidRPr="005114E7">
        <w:rPr>
          <w:rFonts w:cs="Arial"/>
        </w:rPr>
        <w:t>.</w:t>
      </w:r>
    </w:p>
    <w:p w14:paraId="3F5164E4" w14:textId="77777777" w:rsidR="002C7281" w:rsidRPr="005114E7" w:rsidRDefault="002C7281" w:rsidP="002C7281">
      <w:pPr>
        <w:tabs>
          <w:tab w:val="left" w:pos="2880"/>
        </w:tabs>
        <w:spacing w:before="240" w:after="120" w:line="240" w:lineRule="auto"/>
        <w:ind w:left="2880" w:hanging="2880"/>
        <w:rPr>
          <w:rFonts w:cs="Arial"/>
        </w:rPr>
      </w:pPr>
      <w:r w:rsidRPr="005114E7">
        <w:rPr>
          <w:rFonts w:cs="Arial"/>
          <w:b/>
          <w:lang w:val="mk-MK"/>
        </w:rPr>
        <w:t>Извесно доцнење</w:t>
      </w:r>
      <w:r w:rsidRPr="005114E7">
        <w:rPr>
          <w:rFonts w:cs="Arial"/>
        </w:rPr>
        <w:tab/>
      </w:r>
      <w:r w:rsidRPr="005114E7">
        <w:rPr>
          <w:rFonts w:cs="Arial"/>
          <w:lang w:val="mk-MK"/>
        </w:rPr>
        <w:t>Акцијата е во тек, меѓутоа малку доцни во однос на првичниот временски распоред</w:t>
      </w:r>
      <w:r w:rsidRPr="005114E7">
        <w:rPr>
          <w:rFonts w:cs="Arial"/>
        </w:rPr>
        <w:t>.</w:t>
      </w:r>
    </w:p>
    <w:p w14:paraId="309861CF" w14:textId="77777777" w:rsidR="002C7281" w:rsidRPr="005114E7" w:rsidRDefault="002C7281" w:rsidP="002C7281">
      <w:pPr>
        <w:tabs>
          <w:tab w:val="left" w:pos="2880"/>
        </w:tabs>
        <w:spacing w:before="240" w:after="120" w:line="240" w:lineRule="auto"/>
        <w:ind w:left="2880" w:hanging="2880"/>
        <w:rPr>
          <w:rFonts w:cs="Arial"/>
        </w:rPr>
      </w:pPr>
      <w:r w:rsidRPr="005114E7">
        <w:rPr>
          <w:rFonts w:cs="Arial"/>
          <w:b/>
          <w:lang w:val="mk-MK"/>
        </w:rPr>
        <w:lastRenderedPageBreak/>
        <w:t>Привремено прекината</w:t>
      </w:r>
      <w:r w:rsidRPr="005114E7">
        <w:rPr>
          <w:rFonts w:cs="Arial"/>
        </w:rPr>
        <w:tab/>
      </w:r>
      <w:r w:rsidRPr="005114E7">
        <w:rPr>
          <w:rFonts w:cs="Arial"/>
          <w:lang w:val="mk-MK"/>
        </w:rPr>
        <w:t>Акцијата или почнала, или требало да почне, но била привремено прекината</w:t>
      </w:r>
      <w:r w:rsidRPr="005114E7">
        <w:rPr>
          <w:rFonts w:cs="Arial"/>
        </w:rPr>
        <w:t>.</w:t>
      </w:r>
    </w:p>
    <w:p w14:paraId="60ED1A03" w14:textId="77777777" w:rsidR="002C7281" w:rsidRPr="005114E7" w:rsidRDefault="002C7281" w:rsidP="002C7281">
      <w:pPr>
        <w:tabs>
          <w:tab w:val="left" w:pos="2880"/>
        </w:tabs>
        <w:spacing w:before="240" w:after="120" w:line="240" w:lineRule="auto"/>
        <w:ind w:left="2880" w:hanging="2880"/>
        <w:rPr>
          <w:rFonts w:cs="Arial"/>
        </w:rPr>
      </w:pPr>
      <w:r w:rsidRPr="005114E7">
        <w:rPr>
          <w:rFonts w:cs="Arial"/>
          <w:b/>
          <w:lang w:val="mk-MK"/>
        </w:rPr>
        <w:t xml:space="preserve">Почнува во иднина </w:t>
      </w:r>
      <w:r w:rsidRPr="005114E7">
        <w:rPr>
          <w:rFonts w:cs="Arial"/>
        </w:rPr>
        <w:tab/>
      </w:r>
      <w:r w:rsidRPr="005114E7">
        <w:rPr>
          <w:rFonts w:cs="Arial"/>
          <w:lang w:val="mk-MK"/>
        </w:rPr>
        <w:t>Акцијата треба да почне по 30 јуни 2023 г.</w:t>
      </w:r>
    </w:p>
    <w:p w14:paraId="030BE0CD" w14:textId="77777777" w:rsidR="002C7281" w:rsidRPr="005114E7" w:rsidRDefault="002C7281" w:rsidP="002C7281">
      <w:pPr>
        <w:tabs>
          <w:tab w:val="left" w:pos="2880"/>
        </w:tabs>
        <w:spacing w:before="240" w:after="120" w:line="240" w:lineRule="auto"/>
        <w:ind w:left="2880" w:hanging="2880"/>
        <w:rPr>
          <w:rFonts w:cs="Arial"/>
        </w:rPr>
      </w:pPr>
      <w:r w:rsidRPr="005114E7">
        <w:rPr>
          <w:rFonts w:cs="Arial"/>
          <w:b/>
          <w:lang w:val="mk-MK"/>
        </w:rPr>
        <w:t>Не се однесува на оваа акција</w:t>
      </w:r>
      <w:r w:rsidRPr="005114E7">
        <w:rPr>
          <w:rFonts w:cs="Arial"/>
        </w:rPr>
        <w:tab/>
      </w:r>
      <w:r w:rsidRPr="005114E7">
        <w:rPr>
          <w:rFonts w:cs="Arial"/>
          <w:lang w:val="mk-MK"/>
        </w:rPr>
        <w:t>Акцијата била завршена до 30 јуни 2022 г.</w:t>
      </w:r>
    </w:p>
    <w:p w14:paraId="79BBC7AD" w14:textId="77777777" w:rsidR="002C7281" w:rsidRPr="005114E7" w:rsidRDefault="002C7281" w:rsidP="002C7281">
      <w:pPr>
        <w:spacing w:before="240" w:after="120" w:line="240" w:lineRule="auto"/>
        <w:rPr>
          <w:rFonts w:cs="Arial"/>
          <w:lang w:val="mk-MK"/>
        </w:rPr>
      </w:pPr>
      <w:r w:rsidRPr="005114E7">
        <w:rPr>
          <w:rFonts w:cs="Arial"/>
          <w:lang w:val="mk-MK"/>
        </w:rPr>
        <w:t xml:space="preserve">Прилогот исто така ја содржи и состојбата на акциите од Првиот извештај </w:t>
      </w:r>
      <w:r w:rsidRPr="005114E7">
        <w:rPr>
          <w:rFonts w:cs="Arial"/>
        </w:rPr>
        <w:t>TAP</w:t>
      </w:r>
      <w:r w:rsidRPr="005114E7">
        <w:rPr>
          <w:rFonts w:cs="Arial"/>
          <w:lang w:val="mk-MK"/>
        </w:rPr>
        <w:t xml:space="preserve"> за да може да се направи споредба. За сите акции е прикажана врска до соодветниот Приоритет од Правилникот на Стратегијата ADS.</w:t>
      </w:r>
    </w:p>
    <w:p w14:paraId="1CF1584D" w14:textId="33E82253" w:rsidR="002C7281" w:rsidRPr="005114E7" w:rsidRDefault="002C7281" w:rsidP="002C7281">
      <w:pPr>
        <w:spacing w:before="240" w:after="120" w:line="240" w:lineRule="auto"/>
        <w:rPr>
          <w:rStyle w:val="Hyperlink"/>
          <w:b w:val="0"/>
        </w:rPr>
      </w:pPr>
      <w:r w:rsidRPr="005114E7">
        <w:rPr>
          <w:rFonts w:cs="Arial"/>
          <w:lang w:val="mk-MK"/>
        </w:rPr>
        <w:t>Повеќе информации за Стратегијата</w:t>
      </w:r>
      <w:r w:rsidRPr="005114E7">
        <w:rPr>
          <w:rFonts w:cs="Arial"/>
        </w:rPr>
        <w:t xml:space="preserve"> ADS,</w:t>
      </w:r>
      <w:r w:rsidRPr="005114E7">
        <w:rPr>
          <w:rFonts w:cs="Arial"/>
          <w:lang w:val="mk-MK"/>
        </w:rPr>
        <w:t xml:space="preserve"> вклучувајќи ги и плановите</w:t>
      </w:r>
      <w:r w:rsidRPr="005114E7">
        <w:rPr>
          <w:rFonts w:cs="Arial"/>
        </w:rPr>
        <w:t xml:space="preserve"> TAP</w:t>
      </w:r>
      <w:r w:rsidRPr="005114E7">
        <w:rPr>
          <w:rFonts w:cs="Arial"/>
          <w:lang w:val="mk-MK"/>
        </w:rPr>
        <w:t>, може да се најдат на</w:t>
      </w:r>
      <w:r w:rsidRPr="005114E7">
        <w:rPr>
          <w:rFonts w:cs="Arial"/>
        </w:rPr>
        <w:t xml:space="preserve"> </w:t>
      </w:r>
      <w:hyperlink r:id="rId17" w:history="1">
        <w:r w:rsidRPr="005114E7">
          <w:rPr>
            <w:rStyle w:val="Hyperlink"/>
            <w:rFonts w:cs="Arial"/>
          </w:rPr>
          <w:t>www.disabilitygateway.gov.au/ads</w:t>
        </w:r>
      </w:hyperlink>
      <w:r w:rsidRPr="005114E7">
        <w:rPr>
          <w:rFonts w:cs="Arial"/>
          <w:lang w:val="mk-MK"/>
        </w:rPr>
        <w:t>.</w:t>
      </w:r>
    </w:p>
    <w:p w14:paraId="717D5B5F" w14:textId="77777777" w:rsidR="007F1217" w:rsidRPr="005114E7" w:rsidRDefault="007F1217" w:rsidP="007F1217">
      <w:pPr>
        <w:rPr>
          <w:rStyle w:val="Hyperlink"/>
          <w:b w:val="0"/>
        </w:rPr>
      </w:pPr>
      <w:r w:rsidRPr="005114E7">
        <w:rPr>
          <w:rStyle w:val="Hyperlink"/>
          <w:b w:val="0"/>
        </w:rPr>
        <w:br w:type="page"/>
      </w:r>
    </w:p>
    <w:p w14:paraId="19B1C08E" w14:textId="67796ADA" w:rsidR="00396DD5" w:rsidRPr="005114E7" w:rsidRDefault="00A87E38" w:rsidP="00F36AAD">
      <w:pPr>
        <w:pStyle w:val="Heading1"/>
      </w:pPr>
      <w:bookmarkStart w:id="2" w:name="_Toc153454129"/>
      <w:proofErr w:type="spellStart"/>
      <w:r w:rsidRPr="005114E7">
        <w:lastRenderedPageBreak/>
        <w:t>Напредок</w:t>
      </w:r>
      <w:proofErr w:type="spellEnd"/>
      <w:r w:rsidRPr="005114E7">
        <w:t xml:space="preserve"> </w:t>
      </w:r>
      <w:proofErr w:type="spellStart"/>
      <w:r w:rsidRPr="005114E7">
        <w:t>на</w:t>
      </w:r>
      <w:proofErr w:type="spellEnd"/>
      <w:r w:rsidRPr="005114E7">
        <w:t xml:space="preserve"> </w:t>
      </w:r>
      <w:proofErr w:type="spellStart"/>
      <w:r w:rsidRPr="005114E7">
        <w:t>национално</w:t>
      </w:r>
      <w:proofErr w:type="spellEnd"/>
      <w:r w:rsidRPr="005114E7">
        <w:t xml:space="preserve"> </w:t>
      </w:r>
      <w:proofErr w:type="spellStart"/>
      <w:r w:rsidRPr="005114E7">
        <w:t>ниво</w:t>
      </w:r>
      <w:bookmarkEnd w:id="2"/>
      <w:proofErr w:type="spellEnd"/>
    </w:p>
    <w:p w14:paraId="7CC4BFFB" w14:textId="77777777" w:rsidR="00A87E38" w:rsidRPr="005114E7" w:rsidRDefault="00A87E38" w:rsidP="00A87E38">
      <w:pPr>
        <w:spacing w:before="240" w:after="240" w:line="240" w:lineRule="auto"/>
        <w:rPr>
          <w:rFonts w:cs="Arial"/>
        </w:rPr>
      </w:pPr>
      <w:r w:rsidRPr="005114E7">
        <w:rPr>
          <w:rFonts w:cs="Arial"/>
          <w:lang w:val="mk-MK"/>
        </w:rPr>
        <w:t xml:space="preserve">Извештајот се однесува на периодот 2022-2023 г. и се сосредоточува на напредувањето на 374 акции што беа преостанати (недовршени) од периодот за известување </w:t>
      </w:r>
      <w:r w:rsidRPr="005114E7">
        <w:rPr>
          <w:rFonts w:cs="Arial"/>
        </w:rPr>
        <w:t>2021-2022</w:t>
      </w:r>
      <w:r w:rsidRPr="005114E7">
        <w:rPr>
          <w:rFonts w:cs="Arial"/>
          <w:lang w:val="mk-MK"/>
        </w:rPr>
        <w:t xml:space="preserve"> г. Иако напредувањето на акциите во овој период за известување покажува зголемување на бројот на завршени акции во споредба со периодот за известување</w:t>
      </w:r>
      <w:r w:rsidRPr="005114E7">
        <w:rPr>
          <w:rFonts w:cs="Arial"/>
        </w:rPr>
        <w:t xml:space="preserve"> 2021-2022</w:t>
      </w:r>
      <w:r w:rsidRPr="005114E7">
        <w:rPr>
          <w:rFonts w:cs="Arial"/>
          <w:lang w:val="mk-MK"/>
        </w:rPr>
        <w:t xml:space="preserve"> г., има неколку планови</w:t>
      </w:r>
      <w:r w:rsidRPr="005114E7">
        <w:rPr>
          <w:rFonts w:cs="Arial"/>
        </w:rPr>
        <w:t xml:space="preserve"> TAP</w:t>
      </w:r>
      <w:r w:rsidRPr="005114E7">
        <w:rPr>
          <w:rFonts w:cs="Arial"/>
          <w:lang w:val="mk-MK"/>
        </w:rPr>
        <w:t xml:space="preserve"> со поголем број акции што малку доцнат или се привремено прекинати.</w:t>
      </w:r>
      <w:r w:rsidRPr="005114E7">
        <w:rPr>
          <w:rFonts w:cs="Arial"/>
        </w:rPr>
        <w:t xml:space="preserve"> </w:t>
      </w:r>
    </w:p>
    <w:p w14:paraId="2305F227" w14:textId="77777777" w:rsidR="00A87E38" w:rsidRPr="005114E7" w:rsidRDefault="00A87E38" w:rsidP="00A87E38">
      <w:pPr>
        <w:spacing w:before="240" w:after="240" w:line="240" w:lineRule="auto"/>
        <w:rPr>
          <w:rFonts w:cs="Arial"/>
        </w:rPr>
      </w:pPr>
      <w:r w:rsidRPr="005114E7">
        <w:rPr>
          <w:rFonts w:cs="Arial"/>
          <w:lang w:val="mk-MK"/>
        </w:rPr>
        <w:t>На прв поглед, напредокот на национално ниво во сите пет планови</w:t>
      </w:r>
      <w:r w:rsidRPr="005114E7">
        <w:rPr>
          <w:rFonts w:cs="Arial"/>
        </w:rPr>
        <w:t>TAP</w:t>
      </w:r>
      <w:r w:rsidRPr="005114E7">
        <w:rPr>
          <w:rFonts w:cs="Arial"/>
          <w:lang w:val="mk-MK"/>
        </w:rPr>
        <w:t xml:space="preserve"> што се состојат од 374 преостанати акции во периодот за известување</w:t>
      </w:r>
      <w:r w:rsidRPr="005114E7">
        <w:rPr>
          <w:rFonts w:cs="Arial"/>
        </w:rPr>
        <w:t xml:space="preserve"> 2022-2023</w:t>
      </w:r>
      <w:r w:rsidRPr="005114E7">
        <w:rPr>
          <w:rFonts w:cs="Arial"/>
          <w:lang w:val="mk-MK"/>
        </w:rPr>
        <w:t xml:space="preserve"> г. го покажува следното:</w:t>
      </w:r>
    </w:p>
    <w:p w14:paraId="36278049" w14:textId="77777777" w:rsidR="00A87E38" w:rsidRPr="005114E7" w:rsidRDefault="00A87E38" w:rsidP="008B50BE">
      <w:pPr>
        <w:pStyle w:val="ListParagraph"/>
        <w:numPr>
          <w:ilvl w:val="0"/>
          <w:numId w:val="1"/>
        </w:numPr>
        <w:spacing w:before="240" w:after="240" w:line="240" w:lineRule="auto"/>
        <w:ind w:left="567" w:hanging="425"/>
        <w:contextualSpacing w:val="0"/>
        <w:rPr>
          <w:rFonts w:cs="Arial"/>
        </w:rPr>
      </w:pPr>
      <w:r w:rsidRPr="005114E7">
        <w:rPr>
          <w:rFonts w:cs="Arial"/>
          <w:b/>
        </w:rPr>
        <w:t>310 (83%)</w:t>
      </w:r>
      <w:r w:rsidRPr="005114E7">
        <w:rPr>
          <w:rFonts w:cs="Arial"/>
        </w:rPr>
        <w:t xml:space="preserve"> </w:t>
      </w:r>
      <w:r w:rsidRPr="005114E7">
        <w:rPr>
          <w:rFonts w:cs="Arial"/>
          <w:lang w:val="mk-MK"/>
        </w:rPr>
        <w:t>од акциите се пријавени како завршени или во тек, при што</w:t>
      </w:r>
    </w:p>
    <w:p w14:paraId="24713A40" w14:textId="77777777" w:rsidR="00A87E38" w:rsidRPr="005114E7" w:rsidRDefault="00A87E38" w:rsidP="008B50BE">
      <w:pPr>
        <w:pStyle w:val="ListParagraph"/>
        <w:numPr>
          <w:ilvl w:val="1"/>
          <w:numId w:val="1"/>
        </w:numPr>
        <w:spacing w:before="240" w:after="240" w:line="240" w:lineRule="auto"/>
        <w:ind w:left="993" w:hanging="426"/>
        <w:contextualSpacing w:val="0"/>
        <w:rPr>
          <w:rFonts w:cs="Arial"/>
        </w:rPr>
      </w:pPr>
      <w:r w:rsidRPr="005114E7">
        <w:rPr>
          <w:rFonts w:cs="Arial"/>
          <w:b/>
        </w:rPr>
        <w:t xml:space="preserve">101 (27%) </w:t>
      </w:r>
      <w:r w:rsidRPr="005114E7">
        <w:rPr>
          <w:rFonts w:cs="Arial"/>
          <w:lang w:val="mk-MK"/>
        </w:rPr>
        <w:t>акции се завршени, а</w:t>
      </w:r>
      <w:r w:rsidRPr="005114E7">
        <w:rPr>
          <w:rFonts w:cs="Arial"/>
        </w:rPr>
        <w:t xml:space="preserve"> </w:t>
      </w:r>
    </w:p>
    <w:p w14:paraId="26D478E7" w14:textId="77777777" w:rsidR="00A87E38" w:rsidRPr="005114E7" w:rsidRDefault="00A87E38" w:rsidP="008B50BE">
      <w:pPr>
        <w:pStyle w:val="ListParagraph"/>
        <w:numPr>
          <w:ilvl w:val="1"/>
          <w:numId w:val="1"/>
        </w:numPr>
        <w:spacing w:before="240" w:after="240" w:line="240" w:lineRule="auto"/>
        <w:ind w:left="993" w:hanging="426"/>
        <w:contextualSpacing w:val="0"/>
        <w:rPr>
          <w:rFonts w:cs="Arial"/>
        </w:rPr>
      </w:pPr>
      <w:r w:rsidRPr="005114E7">
        <w:rPr>
          <w:rFonts w:cs="Arial"/>
          <w:b/>
        </w:rPr>
        <w:t xml:space="preserve">209 (56%) </w:t>
      </w:r>
      <w:r w:rsidRPr="005114E7">
        <w:rPr>
          <w:rFonts w:cs="Arial"/>
          <w:lang w:val="mk-MK"/>
        </w:rPr>
        <w:t>акции се во тек</w:t>
      </w:r>
      <w:r w:rsidRPr="005114E7">
        <w:rPr>
          <w:rFonts w:cs="Arial"/>
        </w:rPr>
        <w:t>.</w:t>
      </w:r>
    </w:p>
    <w:p w14:paraId="402EEC9E" w14:textId="77777777" w:rsidR="00A87E38" w:rsidRPr="005114E7" w:rsidRDefault="00A87E38" w:rsidP="008B50BE">
      <w:pPr>
        <w:pStyle w:val="ListParagraph"/>
        <w:numPr>
          <w:ilvl w:val="0"/>
          <w:numId w:val="1"/>
        </w:numPr>
        <w:spacing w:before="240" w:after="240" w:line="240" w:lineRule="auto"/>
        <w:ind w:left="567" w:hanging="425"/>
        <w:contextualSpacing w:val="0"/>
        <w:rPr>
          <w:rFonts w:cs="Arial"/>
        </w:rPr>
      </w:pPr>
      <w:r w:rsidRPr="005114E7">
        <w:rPr>
          <w:rFonts w:cs="Arial"/>
          <w:lang w:val="mk-MK"/>
        </w:rPr>
        <w:t xml:space="preserve">За </w:t>
      </w:r>
      <w:r w:rsidRPr="005114E7">
        <w:rPr>
          <w:rFonts w:cs="Arial"/>
          <w:b/>
        </w:rPr>
        <w:t>64 (17%)</w:t>
      </w:r>
      <w:r w:rsidRPr="005114E7">
        <w:rPr>
          <w:rFonts w:cs="Arial"/>
        </w:rPr>
        <w:t xml:space="preserve"> </w:t>
      </w:r>
      <w:r w:rsidRPr="005114E7">
        <w:rPr>
          <w:rFonts w:cs="Arial"/>
          <w:lang w:val="mk-MK"/>
        </w:rPr>
        <w:t>акции е известено дека малку доцнат, дека се привремено прекинати или дека треба да почнат во иднина.</w:t>
      </w:r>
    </w:p>
    <w:p w14:paraId="633833CD" w14:textId="77777777" w:rsidR="00A87E38" w:rsidRPr="005114E7" w:rsidRDefault="00A87E38" w:rsidP="00A87E38">
      <w:pPr>
        <w:spacing w:before="240" w:after="240" w:line="240" w:lineRule="auto"/>
        <w:rPr>
          <w:rFonts w:cs="Arial"/>
        </w:rPr>
      </w:pPr>
      <w:r w:rsidRPr="005114E7">
        <w:rPr>
          <w:rFonts w:cs="Arial"/>
          <w:lang w:val="mk-MK"/>
        </w:rPr>
        <w:t>Еве какви се резултатите на национално ниво и на ниво на одделните држави и територии</w:t>
      </w:r>
      <w:r w:rsidRPr="005114E7">
        <w:rPr>
          <w:rFonts w:cs="Arial"/>
        </w:rPr>
        <w:t>:</w:t>
      </w:r>
    </w:p>
    <w:p w14:paraId="7E282778" w14:textId="77777777" w:rsidR="00A87E38" w:rsidRPr="005114E7" w:rsidRDefault="00A87E38" w:rsidP="008B50BE">
      <w:pPr>
        <w:pStyle w:val="ListParagraph"/>
        <w:numPr>
          <w:ilvl w:val="0"/>
          <w:numId w:val="10"/>
        </w:numPr>
        <w:spacing w:before="240" w:after="240" w:line="240" w:lineRule="auto"/>
        <w:contextualSpacing w:val="0"/>
        <w:rPr>
          <w:rFonts w:cs="Arial"/>
        </w:rPr>
      </w:pPr>
      <w:r w:rsidRPr="005114E7">
        <w:rPr>
          <w:rFonts w:cs="Arial"/>
          <w:lang w:val="mk-MK"/>
        </w:rPr>
        <w:t>Австралиската Престолнинска Територија има најголем процент завршени акции со</w:t>
      </w:r>
      <w:r w:rsidRPr="005114E7">
        <w:rPr>
          <w:rFonts w:cs="Arial"/>
        </w:rPr>
        <w:t xml:space="preserve"> </w:t>
      </w:r>
      <w:r w:rsidRPr="005114E7">
        <w:rPr>
          <w:rFonts w:cs="Arial"/>
          <w:b/>
        </w:rPr>
        <w:t>58%</w:t>
      </w:r>
    </w:p>
    <w:p w14:paraId="657F2B4A" w14:textId="77777777" w:rsidR="00A87E38" w:rsidRPr="005114E7" w:rsidRDefault="00A87E38" w:rsidP="008B50BE">
      <w:pPr>
        <w:pStyle w:val="ListParagraph"/>
        <w:numPr>
          <w:ilvl w:val="0"/>
          <w:numId w:val="10"/>
        </w:numPr>
        <w:spacing w:before="240" w:after="240" w:line="240" w:lineRule="auto"/>
        <w:contextualSpacing w:val="0"/>
        <w:rPr>
          <w:rFonts w:cs="Arial"/>
        </w:rPr>
      </w:pPr>
      <w:r w:rsidRPr="005114E7">
        <w:rPr>
          <w:rFonts w:cs="Arial"/>
          <w:lang w:val="mk-MK"/>
        </w:rPr>
        <w:t>Северната Територија има највисок процент акции што се во тек со</w:t>
      </w:r>
      <w:r w:rsidRPr="005114E7">
        <w:rPr>
          <w:rFonts w:cs="Arial"/>
        </w:rPr>
        <w:t xml:space="preserve"> </w:t>
      </w:r>
      <w:r w:rsidRPr="005114E7">
        <w:rPr>
          <w:rFonts w:cs="Arial"/>
          <w:b/>
        </w:rPr>
        <w:t>79%</w:t>
      </w:r>
    </w:p>
    <w:p w14:paraId="5AACAA18" w14:textId="77777777" w:rsidR="00A87E38" w:rsidRPr="005114E7" w:rsidRDefault="00A87E38" w:rsidP="008B50BE">
      <w:pPr>
        <w:pStyle w:val="ListParagraph"/>
        <w:numPr>
          <w:ilvl w:val="0"/>
          <w:numId w:val="10"/>
        </w:numPr>
        <w:spacing w:before="240" w:after="240" w:line="240" w:lineRule="auto"/>
        <w:contextualSpacing w:val="0"/>
        <w:rPr>
          <w:rFonts w:cs="Arial"/>
        </w:rPr>
      </w:pPr>
      <w:r w:rsidRPr="005114E7">
        <w:rPr>
          <w:rFonts w:cs="Arial"/>
          <w:lang w:val="mk-MK"/>
        </w:rPr>
        <w:t>Процентот на завршени акции или акции во тек во Викторија е</w:t>
      </w:r>
      <w:r w:rsidRPr="005114E7">
        <w:rPr>
          <w:rFonts w:cs="Arial"/>
        </w:rPr>
        <w:t xml:space="preserve"> </w:t>
      </w:r>
      <w:r w:rsidRPr="005114E7">
        <w:rPr>
          <w:rFonts w:cs="Arial"/>
          <w:b/>
        </w:rPr>
        <w:t>96%</w:t>
      </w:r>
      <w:r w:rsidRPr="005114E7">
        <w:rPr>
          <w:rFonts w:cs="Arial"/>
          <w:b/>
          <w:lang w:val="mk-MK"/>
        </w:rPr>
        <w:t xml:space="preserve">, </w:t>
      </w:r>
      <w:r w:rsidRPr="005114E7">
        <w:rPr>
          <w:rFonts w:cs="Arial"/>
          <w:lang w:val="mk-MK"/>
        </w:rPr>
        <w:t>а во Западна Австралија е</w:t>
      </w:r>
      <w:r w:rsidRPr="005114E7">
        <w:rPr>
          <w:rFonts w:cs="Arial"/>
        </w:rPr>
        <w:t xml:space="preserve"> </w:t>
      </w:r>
      <w:r w:rsidRPr="005114E7">
        <w:rPr>
          <w:rFonts w:cs="Arial"/>
          <w:b/>
        </w:rPr>
        <w:t xml:space="preserve">97% </w:t>
      </w:r>
      <w:r w:rsidRPr="005114E7">
        <w:rPr>
          <w:rFonts w:cs="Arial"/>
        </w:rPr>
        <w:t xml:space="preserve"> </w:t>
      </w:r>
    </w:p>
    <w:p w14:paraId="664593A4" w14:textId="4A4CFC16" w:rsidR="00A87E38" w:rsidRPr="005114E7" w:rsidRDefault="00A87E38" w:rsidP="008B50BE">
      <w:pPr>
        <w:pStyle w:val="ListParagraph"/>
        <w:numPr>
          <w:ilvl w:val="0"/>
          <w:numId w:val="10"/>
        </w:numPr>
        <w:spacing w:before="240" w:after="240" w:line="240" w:lineRule="auto"/>
        <w:contextualSpacing w:val="0"/>
        <w:rPr>
          <w:rFonts w:cs="Arial"/>
        </w:rPr>
      </w:pPr>
      <w:r w:rsidRPr="005114E7">
        <w:rPr>
          <w:rFonts w:cs="Arial"/>
          <w:lang w:val="mk-MK"/>
        </w:rPr>
        <w:t xml:space="preserve">Австралиската влада и Нов Јужен Велс имаат највисок процент на акции што доцнат, односно </w:t>
      </w:r>
      <w:r w:rsidRPr="005114E7">
        <w:rPr>
          <w:rFonts w:cs="Arial"/>
          <w:b/>
        </w:rPr>
        <w:t>3</w:t>
      </w:r>
      <w:r w:rsidR="00F83AB6">
        <w:rPr>
          <w:rFonts w:cs="Arial"/>
          <w:b/>
        </w:rPr>
        <w:t>1</w:t>
      </w:r>
      <w:bookmarkStart w:id="3" w:name="_GoBack"/>
      <w:bookmarkEnd w:id="3"/>
      <w:r w:rsidRPr="005114E7">
        <w:rPr>
          <w:rFonts w:cs="Arial"/>
          <w:b/>
        </w:rPr>
        <w:t>%</w:t>
      </w:r>
      <w:r w:rsidRPr="005114E7">
        <w:rPr>
          <w:rFonts w:cs="Arial"/>
          <w:b/>
          <w:lang w:val="mk-MK"/>
        </w:rPr>
        <w:t>,</w:t>
      </w:r>
      <w:r w:rsidRPr="005114E7">
        <w:rPr>
          <w:rFonts w:cs="Arial"/>
        </w:rPr>
        <w:t xml:space="preserve"> </w:t>
      </w:r>
      <w:r w:rsidRPr="005114E7">
        <w:rPr>
          <w:rFonts w:cs="Arial"/>
          <w:lang w:val="mk-MK"/>
        </w:rPr>
        <w:t xml:space="preserve">и акции што се привремено прекинати, односно </w:t>
      </w:r>
      <w:r w:rsidRPr="005114E7">
        <w:rPr>
          <w:rFonts w:cs="Arial"/>
          <w:b/>
        </w:rPr>
        <w:t>35%</w:t>
      </w:r>
      <w:r w:rsidRPr="005114E7">
        <w:rPr>
          <w:rFonts w:cs="Arial"/>
        </w:rPr>
        <w:t xml:space="preserve">. </w:t>
      </w:r>
    </w:p>
    <w:p w14:paraId="42B1EED9" w14:textId="163DD997" w:rsidR="00A87E38" w:rsidRPr="005114E7" w:rsidRDefault="00A87E38" w:rsidP="00A87E38">
      <w:pPr>
        <w:spacing w:before="240" w:after="240" w:line="240" w:lineRule="auto"/>
      </w:pPr>
      <w:r w:rsidRPr="005114E7">
        <w:rPr>
          <w:rFonts w:cs="Arial"/>
          <w:lang w:val="mk-MK"/>
        </w:rPr>
        <w:t>Владите напоменаа дека некои доцнења или привремени прекини се продолжителни дејствија од претходни проблеми што предизвикале доцнење, како што е КОВИД-19 или чекањето резултати од ревизиите, на пример, ревизијата на Кралската комисија за насилство, злоупотребување, запоставување и искористување на луѓето со онеспособеност (</w:t>
      </w:r>
      <w:r w:rsidRPr="005114E7">
        <w:rPr>
          <w:rFonts w:cs="Arial"/>
        </w:rPr>
        <w:t>Royal Commission into Violence, Abuse, Neglect and Exploitation of People with Disability</w:t>
      </w:r>
      <w:r w:rsidRPr="005114E7">
        <w:rPr>
          <w:rFonts w:cs="Arial"/>
          <w:lang w:val="mk-MK"/>
        </w:rPr>
        <w:t>) и ревизијата на Програмата</w:t>
      </w:r>
      <w:r w:rsidRPr="005114E7">
        <w:rPr>
          <w:rFonts w:cs="Arial"/>
        </w:rPr>
        <w:t xml:space="preserve"> NDIS. </w:t>
      </w:r>
      <w:r w:rsidRPr="005114E7">
        <w:rPr>
          <w:rFonts w:cs="Arial"/>
          <w:lang w:val="mk-MK"/>
        </w:rPr>
        <w:t>Други причини за доцнењето на акциите може да се припишат на ревизии на временските рокови заради усогласување со други работи што ги спроведува владата, како што е Националната стратегија за аутизам (</w:t>
      </w:r>
      <w:r w:rsidRPr="005114E7">
        <w:rPr>
          <w:rFonts w:cs="Arial"/>
        </w:rPr>
        <w:t>National Autism Strategy</w:t>
      </w:r>
      <w:r w:rsidRPr="005114E7">
        <w:rPr>
          <w:rFonts w:cs="Arial"/>
          <w:lang w:val="mk-MK"/>
        </w:rPr>
        <w:t>) и Стратегијата за раното детство (</w:t>
      </w:r>
      <w:r w:rsidRPr="005114E7">
        <w:rPr>
          <w:rFonts w:cs="Arial"/>
        </w:rPr>
        <w:t xml:space="preserve">Early </w:t>
      </w:r>
      <w:r w:rsidRPr="005114E7">
        <w:rPr>
          <w:rFonts w:cs="Arial"/>
        </w:rPr>
        <w:lastRenderedPageBreak/>
        <w:t>Years Strategy</w:t>
      </w:r>
      <w:r w:rsidRPr="005114E7">
        <w:rPr>
          <w:rFonts w:cs="Arial"/>
          <w:lang w:val="mk-MK"/>
        </w:rPr>
        <w:t>)</w:t>
      </w:r>
      <w:r w:rsidRPr="005114E7">
        <w:rPr>
          <w:rFonts w:cs="Arial"/>
        </w:rPr>
        <w:t>;</w:t>
      </w:r>
      <w:r w:rsidRPr="005114E7">
        <w:rPr>
          <w:rFonts w:cs="Arial"/>
          <w:lang w:val="mk-MK"/>
        </w:rPr>
        <w:t xml:space="preserve"> а во некои случаи преговорите околу ставовите и постигнувањето согласност за споделување на податоци меѓу владите трае подолго од очекуваното.</w:t>
      </w:r>
    </w:p>
    <w:p w14:paraId="0482E5CE" w14:textId="2CB6C590" w:rsidR="00A54DB9" w:rsidRPr="005114E7" w:rsidRDefault="00A54DB9">
      <w:pPr>
        <w:rPr>
          <w:b/>
        </w:rPr>
      </w:pPr>
      <w:r w:rsidRPr="005114E7">
        <w:rPr>
          <w:b/>
        </w:rPr>
        <w:br w:type="page"/>
      </w:r>
    </w:p>
    <w:p w14:paraId="1C36F253" w14:textId="722700AD" w:rsidR="00A54DB9" w:rsidRPr="005114E7" w:rsidRDefault="00487563" w:rsidP="0066071F">
      <w:pPr>
        <w:rPr>
          <w:b/>
          <w:bCs/>
          <w:color w:val="6C1740"/>
          <w:sz w:val="94"/>
          <w:szCs w:val="94"/>
        </w:rPr>
      </w:pPr>
      <w:proofErr w:type="spellStart"/>
      <w:r w:rsidRPr="005114E7">
        <w:rPr>
          <w:b/>
          <w:bCs/>
          <w:color w:val="6C1740"/>
          <w:sz w:val="94"/>
          <w:szCs w:val="94"/>
        </w:rPr>
        <w:lastRenderedPageBreak/>
        <w:t>Напредок</w:t>
      </w:r>
      <w:proofErr w:type="spellEnd"/>
      <w:r w:rsidRPr="005114E7">
        <w:rPr>
          <w:b/>
          <w:bCs/>
          <w:color w:val="6C1740"/>
          <w:sz w:val="94"/>
          <w:szCs w:val="94"/>
        </w:rPr>
        <w:t xml:space="preserve"> </w:t>
      </w:r>
      <w:proofErr w:type="spellStart"/>
      <w:r w:rsidRPr="005114E7">
        <w:rPr>
          <w:b/>
          <w:bCs/>
          <w:color w:val="6C1740"/>
          <w:sz w:val="94"/>
          <w:szCs w:val="94"/>
        </w:rPr>
        <w:t>на</w:t>
      </w:r>
      <w:proofErr w:type="spellEnd"/>
      <w:r w:rsidRPr="005114E7">
        <w:rPr>
          <w:b/>
          <w:bCs/>
          <w:color w:val="6C1740"/>
          <w:sz w:val="94"/>
          <w:szCs w:val="94"/>
        </w:rPr>
        <w:t xml:space="preserve"> </w:t>
      </w:r>
      <w:proofErr w:type="spellStart"/>
      <w:r w:rsidRPr="005114E7">
        <w:rPr>
          <w:b/>
          <w:bCs/>
          <w:color w:val="6C1740"/>
          <w:sz w:val="94"/>
          <w:szCs w:val="94"/>
        </w:rPr>
        <w:t>национално</w:t>
      </w:r>
      <w:proofErr w:type="spellEnd"/>
      <w:r w:rsidRPr="005114E7">
        <w:rPr>
          <w:b/>
          <w:bCs/>
          <w:color w:val="6C1740"/>
          <w:sz w:val="94"/>
          <w:szCs w:val="94"/>
        </w:rPr>
        <w:t xml:space="preserve"> </w:t>
      </w:r>
      <w:proofErr w:type="spellStart"/>
      <w:r w:rsidRPr="005114E7">
        <w:rPr>
          <w:b/>
          <w:bCs/>
          <w:color w:val="6C1740"/>
          <w:sz w:val="94"/>
          <w:szCs w:val="94"/>
        </w:rPr>
        <w:t>ниво</w:t>
      </w:r>
      <w:proofErr w:type="spellEnd"/>
    </w:p>
    <w:p w14:paraId="66441F99" w14:textId="3A12B607" w:rsidR="00CC1683" w:rsidRPr="005114E7" w:rsidRDefault="00487563" w:rsidP="00F36AAD">
      <w:pPr>
        <w:spacing w:before="240" w:after="240" w:line="240" w:lineRule="auto"/>
      </w:pPr>
      <w:r w:rsidRPr="005114E7">
        <w:rPr>
          <w:rFonts w:cs="Arial"/>
          <w:lang w:val="mk-MK"/>
        </w:rPr>
        <w:t xml:space="preserve">За периодот од 1 јули 2022 г. до 30 јуни 2023 г., за повеќето планови </w:t>
      </w:r>
      <w:r w:rsidRPr="005114E7">
        <w:rPr>
          <w:rFonts w:cs="Arial"/>
        </w:rPr>
        <w:t>TAP</w:t>
      </w:r>
      <w:r w:rsidRPr="005114E7">
        <w:rPr>
          <w:rFonts w:cs="Arial"/>
          <w:lang w:val="mk-MK"/>
        </w:rPr>
        <w:t xml:space="preserve"> беше известено дека </w:t>
      </w:r>
      <w:r w:rsidRPr="005114E7">
        <w:rPr>
          <w:rFonts w:cs="Arial"/>
        </w:rPr>
        <w:t xml:space="preserve">80% </w:t>
      </w:r>
      <w:r w:rsidRPr="005114E7">
        <w:rPr>
          <w:rFonts w:cs="Arial"/>
          <w:lang w:val="mk-MK"/>
        </w:rPr>
        <w:t>или повеќе од акциите опфатени со плановите се завршени или се во тек во периодот за којшто се известува. Планот TAP за постапување во итни случаи има највисок сооднос на завршени акции и акции што се во тек, со 93%. Иако Планот TAP за безбедност има најнизок сооднос на завршени акции и акции што се во тек, тој е на второ место според соодносот на завршени акции со 29%.</w:t>
      </w:r>
    </w:p>
    <w:p w14:paraId="276FB7F2" w14:textId="09F3FCFC" w:rsidR="006B3368" w:rsidRPr="005114E7" w:rsidRDefault="00487563" w:rsidP="00F36AAD">
      <w:pPr>
        <w:spacing w:before="240" w:after="240"/>
        <w:rPr>
          <w:b/>
          <w:color w:val="6C1740"/>
        </w:rPr>
      </w:pPr>
      <w:r w:rsidRPr="005114E7">
        <w:rPr>
          <w:rFonts w:cs="Arial"/>
          <w:b/>
          <w:color w:val="6C1740"/>
          <w:lang w:val="mk-MK"/>
        </w:rPr>
        <w:t>Табела</w:t>
      </w:r>
      <w:r w:rsidRPr="005114E7">
        <w:rPr>
          <w:rFonts w:cs="Arial"/>
          <w:b/>
          <w:color w:val="6C1740"/>
        </w:rPr>
        <w:t xml:space="preserve"> 1: </w:t>
      </w:r>
      <w:r w:rsidRPr="005114E7">
        <w:rPr>
          <w:rFonts w:cs="Arial"/>
          <w:b/>
          <w:color w:val="6C1740"/>
          <w:lang w:val="mk-MK"/>
        </w:rPr>
        <w:t xml:space="preserve">Напредувањето на акциите од плановите </w:t>
      </w:r>
      <w:r w:rsidRPr="005114E7">
        <w:rPr>
          <w:rFonts w:cs="Arial"/>
          <w:b/>
          <w:color w:val="6C1740"/>
        </w:rPr>
        <w:t>TAP</w:t>
      </w:r>
      <w:r w:rsidRPr="005114E7">
        <w:rPr>
          <w:rFonts w:cs="Arial"/>
          <w:b/>
          <w:color w:val="6C1740"/>
          <w:lang w:val="mk-MK"/>
        </w:rPr>
        <w:t xml:space="preserve"> за периодот за којшто се известува, </w:t>
      </w:r>
      <w:r w:rsidRPr="005114E7">
        <w:rPr>
          <w:rFonts w:cs="Arial"/>
          <w:b/>
          <w:color w:val="6C1740"/>
        </w:rPr>
        <w:t>2022-2023</w:t>
      </w:r>
      <w:r w:rsidRPr="005114E7">
        <w:rPr>
          <w:rFonts w:cs="Arial"/>
          <w:b/>
          <w:color w:val="6C1740"/>
          <w:lang w:val="mk-MK"/>
        </w:rPr>
        <w:t xml:space="preserve"> г.</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658"/>
        <w:gridCol w:w="1319"/>
        <w:gridCol w:w="1227"/>
        <w:gridCol w:w="1259"/>
        <w:gridCol w:w="1259"/>
        <w:gridCol w:w="1260"/>
        <w:gridCol w:w="1260"/>
      </w:tblGrid>
      <w:tr w:rsidR="00752358" w:rsidRPr="005114E7" w14:paraId="640E416C" w14:textId="77777777" w:rsidTr="00487563">
        <w:tc>
          <w:tcPr>
            <w:tcW w:w="797" w:type="pct"/>
            <w:tcBorders>
              <w:top w:val="single" w:sz="4" w:space="0" w:color="auto"/>
              <w:bottom w:val="single" w:sz="4" w:space="0" w:color="auto"/>
              <w:right w:val="single" w:sz="4" w:space="0" w:color="FFFFFF" w:themeColor="background1"/>
            </w:tcBorders>
            <w:shd w:val="clear" w:color="auto" w:fill="6C1740"/>
          </w:tcPr>
          <w:p w14:paraId="2549FB2D" w14:textId="558C66F2" w:rsidR="00752358" w:rsidRPr="005114E7" w:rsidRDefault="00487563" w:rsidP="006877D0">
            <w:pPr>
              <w:rPr>
                <w:b/>
                <w:color w:val="FFFFFF" w:themeColor="background1"/>
                <w:sz w:val="20"/>
                <w:szCs w:val="20"/>
              </w:rPr>
            </w:pPr>
            <w:bookmarkStart w:id="4" w:name="Title_01"/>
            <w:bookmarkEnd w:id="4"/>
            <w:r w:rsidRPr="005114E7">
              <w:rPr>
                <w:rFonts w:eastAsia="Times New Roman" w:cs="Calibri"/>
                <w:b/>
                <w:bCs/>
                <w:color w:val="FFFFFF" w:themeColor="background1"/>
                <w:lang w:val="mk" w:eastAsia="en-AU"/>
              </w:rPr>
              <w:t>Влада</w:t>
            </w:r>
          </w:p>
        </w:tc>
        <w:tc>
          <w:tcPr>
            <w:tcW w:w="7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4C67750B" w:rsidR="00752358" w:rsidRPr="005114E7" w:rsidRDefault="00487563" w:rsidP="00F36AAD">
            <w:pPr>
              <w:jc w:val="right"/>
              <w:rPr>
                <w:b/>
                <w:color w:val="FFFFFF" w:themeColor="background1"/>
                <w:sz w:val="20"/>
                <w:szCs w:val="20"/>
              </w:rPr>
            </w:pPr>
            <w:r w:rsidRPr="005114E7">
              <w:rPr>
                <w:rFonts w:eastAsia="Times New Roman" w:cs="Calibri"/>
                <w:b/>
                <w:bCs/>
                <w:color w:val="FFFFFF" w:themeColor="background1"/>
                <w:lang w:val="mk" w:eastAsia="en-AU"/>
              </w:rPr>
              <w:t>Завршено</w:t>
            </w:r>
          </w:p>
        </w:tc>
        <w:tc>
          <w:tcPr>
            <w:tcW w:w="69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433140C6" w:rsidR="00752358" w:rsidRPr="005114E7" w:rsidRDefault="00487563" w:rsidP="00F36AAD">
            <w:pPr>
              <w:jc w:val="right"/>
              <w:rPr>
                <w:b/>
                <w:color w:val="FFFFFF" w:themeColor="background1"/>
                <w:sz w:val="20"/>
                <w:szCs w:val="20"/>
              </w:rPr>
            </w:pPr>
            <w:r w:rsidRPr="005114E7">
              <w:rPr>
                <w:rFonts w:eastAsia="Times New Roman" w:cs="Calibri"/>
                <w:b/>
                <w:bCs/>
                <w:color w:val="FFFFFF" w:themeColor="background1"/>
                <w:lang w:val="mk" w:eastAsia="en-AU"/>
              </w:rPr>
              <w:t>Навреме</w:t>
            </w:r>
          </w:p>
        </w:tc>
        <w:tc>
          <w:tcPr>
            <w:tcW w:w="69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0ED44CA7" w:rsidR="00752358" w:rsidRPr="005114E7" w:rsidRDefault="00487563" w:rsidP="00F36AAD">
            <w:pPr>
              <w:jc w:val="right"/>
              <w:rPr>
                <w:b/>
                <w:color w:val="FFFFFF" w:themeColor="background1"/>
                <w:sz w:val="20"/>
                <w:szCs w:val="20"/>
              </w:rPr>
            </w:pPr>
            <w:r w:rsidRPr="005114E7">
              <w:rPr>
                <w:rFonts w:eastAsia="Times New Roman" w:cs="Calibri"/>
                <w:b/>
                <w:bCs/>
                <w:color w:val="FFFFFF" w:themeColor="background1"/>
                <w:lang w:val="mk" w:eastAsia="en-AU"/>
              </w:rPr>
              <w:t>Доцнење</w:t>
            </w:r>
          </w:p>
        </w:tc>
        <w:tc>
          <w:tcPr>
            <w:tcW w:w="69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1E877E4E" w:rsidR="00752358" w:rsidRPr="005114E7" w:rsidRDefault="00487563" w:rsidP="00F36AAD">
            <w:pPr>
              <w:jc w:val="right"/>
              <w:rPr>
                <w:b/>
                <w:color w:val="FFFFFF" w:themeColor="background1"/>
                <w:sz w:val="20"/>
                <w:szCs w:val="20"/>
              </w:rPr>
            </w:pPr>
            <w:r w:rsidRPr="005114E7">
              <w:rPr>
                <w:rFonts w:eastAsia="Times New Roman" w:cs="Calibri"/>
                <w:b/>
                <w:bCs/>
                <w:color w:val="FFFFFF" w:themeColor="background1"/>
                <w:lang w:val="mk" w:eastAsia="en-AU"/>
              </w:rPr>
              <w:t>Паузира</w:t>
            </w:r>
          </w:p>
        </w:tc>
        <w:tc>
          <w:tcPr>
            <w:tcW w:w="69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102DC23C" w:rsidR="00752358" w:rsidRPr="005114E7" w:rsidRDefault="00487563" w:rsidP="00F36AAD">
            <w:pPr>
              <w:jc w:val="right"/>
              <w:rPr>
                <w:b/>
                <w:color w:val="FFFFFF" w:themeColor="background1"/>
                <w:sz w:val="20"/>
                <w:szCs w:val="20"/>
              </w:rPr>
            </w:pPr>
            <w:r w:rsidRPr="005114E7">
              <w:rPr>
                <w:rFonts w:eastAsia="Times New Roman" w:cs="Calibri"/>
                <w:b/>
                <w:bCs/>
                <w:color w:val="FFFFFF" w:themeColor="background1"/>
                <w:lang w:val="mk" w:eastAsia="en-AU"/>
              </w:rPr>
              <w:t>Ќе започне во иднина</w:t>
            </w:r>
          </w:p>
        </w:tc>
        <w:tc>
          <w:tcPr>
            <w:tcW w:w="698" w:type="pct"/>
            <w:tcBorders>
              <w:top w:val="single" w:sz="4" w:space="0" w:color="auto"/>
              <w:left w:val="single" w:sz="4" w:space="0" w:color="FFFFFF" w:themeColor="background1"/>
              <w:bottom w:val="single" w:sz="4" w:space="0" w:color="auto"/>
            </w:tcBorders>
            <w:shd w:val="clear" w:color="auto" w:fill="6C1740"/>
          </w:tcPr>
          <w:p w14:paraId="6904466A" w14:textId="611AD904" w:rsidR="00752358" w:rsidRPr="005114E7" w:rsidRDefault="00487563" w:rsidP="00F36AAD">
            <w:pPr>
              <w:jc w:val="right"/>
              <w:rPr>
                <w:b/>
                <w:color w:val="FFFFFF" w:themeColor="background1"/>
                <w:sz w:val="20"/>
                <w:szCs w:val="20"/>
              </w:rPr>
            </w:pPr>
            <w:r w:rsidRPr="005114E7">
              <w:rPr>
                <w:rFonts w:eastAsia="Times New Roman" w:cs="Calibri"/>
                <w:b/>
                <w:bCs/>
                <w:color w:val="FFFFFF" w:themeColor="background1"/>
                <w:lang w:val="mk" w:eastAsia="en-AU"/>
              </w:rPr>
              <w:t>Вкупно</w:t>
            </w:r>
          </w:p>
        </w:tc>
      </w:tr>
      <w:tr w:rsidR="00487563" w:rsidRPr="005114E7" w14:paraId="7C32DC8E" w14:textId="77777777" w:rsidTr="00487563">
        <w:tc>
          <w:tcPr>
            <w:tcW w:w="797" w:type="pct"/>
            <w:tcBorders>
              <w:top w:val="single" w:sz="4" w:space="0" w:color="auto"/>
            </w:tcBorders>
            <w:vAlign w:val="bottom"/>
          </w:tcPr>
          <w:p w14:paraId="11F0C22D" w14:textId="0649D6FB" w:rsidR="00487563" w:rsidRPr="005114E7" w:rsidRDefault="00487563" w:rsidP="006877D0">
            <w:pPr>
              <w:rPr>
                <w:sz w:val="20"/>
                <w:szCs w:val="20"/>
              </w:rPr>
            </w:pPr>
            <w:r w:rsidRPr="005114E7">
              <w:rPr>
                <w:rFonts w:eastAsia="Times New Roman" w:cs="Calibri"/>
                <w:color w:val="000000"/>
                <w:lang w:val="mk" w:eastAsia="en-AU"/>
              </w:rPr>
              <w:t>Австралиска влада</w:t>
            </w:r>
          </w:p>
        </w:tc>
        <w:tc>
          <w:tcPr>
            <w:tcW w:w="714" w:type="pct"/>
            <w:tcBorders>
              <w:top w:val="single" w:sz="4" w:space="0" w:color="auto"/>
            </w:tcBorders>
          </w:tcPr>
          <w:p w14:paraId="5C55E813" w14:textId="15D5BD1F" w:rsidR="00487563" w:rsidRPr="005114E7" w:rsidRDefault="00487563" w:rsidP="00F36AAD">
            <w:pPr>
              <w:jc w:val="right"/>
              <w:rPr>
                <w:sz w:val="20"/>
                <w:szCs w:val="20"/>
              </w:rPr>
            </w:pPr>
            <w:r w:rsidRPr="005114E7">
              <w:rPr>
                <w:sz w:val="20"/>
                <w:szCs w:val="20"/>
              </w:rPr>
              <w:t>12</w:t>
            </w:r>
          </w:p>
        </w:tc>
        <w:tc>
          <w:tcPr>
            <w:tcW w:w="697" w:type="pct"/>
            <w:tcBorders>
              <w:top w:val="single" w:sz="4" w:space="0" w:color="auto"/>
            </w:tcBorders>
          </w:tcPr>
          <w:p w14:paraId="66B515CA" w14:textId="63BE37D8" w:rsidR="00487563" w:rsidRPr="005114E7" w:rsidRDefault="00487563" w:rsidP="00F36AAD">
            <w:pPr>
              <w:jc w:val="right"/>
              <w:rPr>
                <w:sz w:val="20"/>
                <w:szCs w:val="20"/>
              </w:rPr>
            </w:pPr>
            <w:r w:rsidRPr="005114E7">
              <w:rPr>
                <w:sz w:val="20"/>
                <w:szCs w:val="20"/>
              </w:rPr>
              <w:t>23</w:t>
            </w:r>
          </w:p>
        </w:tc>
        <w:tc>
          <w:tcPr>
            <w:tcW w:w="698" w:type="pct"/>
            <w:tcBorders>
              <w:top w:val="single" w:sz="4" w:space="0" w:color="auto"/>
            </w:tcBorders>
          </w:tcPr>
          <w:p w14:paraId="4C11CE02" w14:textId="1371394E" w:rsidR="00487563" w:rsidRPr="005114E7" w:rsidRDefault="00487563" w:rsidP="00F36AAD">
            <w:pPr>
              <w:jc w:val="right"/>
              <w:rPr>
                <w:sz w:val="20"/>
                <w:szCs w:val="20"/>
              </w:rPr>
            </w:pPr>
            <w:r w:rsidRPr="005114E7">
              <w:rPr>
                <w:sz w:val="20"/>
                <w:szCs w:val="20"/>
              </w:rPr>
              <w:t>16</w:t>
            </w:r>
          </w:p>
        </w:tc>
        <w:tc>
          <w:tcPr>
            <w:tcW w:w="698" w:type="pct"/>
            <w:tcBorders>
              <w:top w:val="single" w:sz="4" w:space="0" w:color="auto"/>
            </w:tcBorders>
          </w:tcPr>
          <w:p w14:paraId="62190495" w14:textId="77777777" w:rsidR="00487563" w:rsidRPr="005114E7" w:rsidRDefault="00487563" w:rsidP="00F36AAD">
            <w:pPr>
              <w:jc w:val="right"/>
              <w:rPr>
                <w:sz w:val="20"/>
                <w:szCs w:val="20"/>
              </w:rPr>
            </w:pPr>
            <w:r w:rsidRPr="005114E7">
              <w:rPr>
                <w:sz w:val="20"/>
                <w:szCs w:val="20"/>
              </w:rPr>
              <w:t>1</w:t>
            </w:r>
          </w:p>
        </w:tc>
        <w:tc>
          <w:tcPr>
            <w:tcW w:w="698" w:type="pct"/>
            <w:tcBorders>
              <w:top w:val="single" w:sz="4" w:space="0" w:color="auto"/>
            </w:tcBorders>
          </w:tcPr>
          <w:p w14:paraId="74D1AA82" w14:textId="77777777" w:rsidR="00487563" w:rsidRPr="005114E7" w:rsidRDefault="00487563" w:rsidP="00F36AAD">
            <w:pPr>
              <w:jc w:val="right"/>
              <w:rPr>
                <w:sz w:val="20"/>
                <w:szCs w:val="20"/>
              </w:rPr>
            </w:pPr>
            <w:r w:rsidRPr="005114E7">
              <w:rPr>
                <w:sz w:val="20"/>
                <w:szCs w:val="20"/>
              </w:rPr>
              <w:t>2</w:t>
            </w:r>
          </w:p>
        </w:tc>
        <w:tc>
          <w:tcPr>
            <w:tcW w:w="698" w:type="pct"/>
            <w:tcBorders>
              <w:top w:val="single" w:sz="4" w:space="0" w:color="auto"/>
            </w:tcBorders>
          </w:tcPr>
          <w:p w14:paraId="1E63F821" w14:textId="2F14D76B" w:rsidR="00487563" w:rsidRPr="005114E7" w:rsidRDefault="00487563" w:rsidP="00F36AAD">
            <w:pPr>
              <w:jc w:val="right"/>
              <w:rPr>
                <w:sz w:val="20"/>
                <w:szCs w:val="20"/>
              </w:rPr>
            </w:pPr>
            <w:r w:rsidRPr="005114E7">
              <w:rPr>
                <w:sz w:val="20"/>
                <w:szCs w:val="20"/>
              </w:rPr>
              <w:t>54</w:t>
            </w:r>
          </w:p>
        </w:tc>
      </w:tr>
      <w:tr w:rsidR="00487563" w:rsidRPr="005114E7" w14:paraId="7F4E5126" w14:textId="77777777" w:rsidTr="00487563">
        <w:tc>
          <w:tcPr>
            <w:tcW w:w="797" w:type="pct"/>
            <w:shd w:val="clear" w:color="auto" w:fill="FAF9F8"/>
            <w:vAlign w:val="bottom"/>
          </w:tcPr>
          <w:p w14:paraId="46443A3B" w14:textId="100DC909" w:rsidR="00487563" w:rsidRPr="005114E7" w:rsidRDefault="00487563" w:rsidP="006877D0">
            <w:pPr>
              <w:rPr>
                <w:sz w:val="20"/>
                <w:szCs w:val="20"/>
              </w:rPr>
            </w:pPr>
            <w:r w:rsidRPr="005114E7">
              <w:rPr>
                <w:rFonts w:eastAsia="Times New Roman" w:cs="Calibri"/>
                <w:color w:val="000000"/>
                <w:lang w:val="mk" w:eastAsia="en-AU"/>
              </w:rPr>
              <w:t>Нов Јужен Велс</w:t>
            </w:r>
          </w:p>
        </w:tc>
        <w:tc>
          <w:tcPr>
            <w:tcW w:w="714" w:type="pct"/>
            <w:shd w:val="clear" w:color="auto" w:fill="FAF9F8"/>
          </w:tcPr>
          <w:p w14:paraId="427AD302" w14:textId="77777777" w:rsidR="00487563" w:rsidRPr="005114E7" w:rsidRDefault="00487563" w:rsidP="00F36AAD">
            <w:pPr>
              <w:jc w:val="right"/>
              <w:rPr>
                <w:sz w:val="20"/>
                <w:szCs w:val="20"/>
              </w:rPr>
            </w:pPr>
            <w:r w:rsidRPr="005114E7">
              <w:rPr>
                <w:sz w:val="20"/>
                <w:szCs w:val="20"/>
              </w:rPr>
              <w:t>3</w:t>
            </w:r>
          </w:p>
        </w:tc>
        <w:tc>
          <w:tcPr>
            <w:tcW w:w="697" w:type="pct"/>
            <w:shd w:val="clear" w:color="auto" w:fill="FAF9F8"/>
          </w:tcPr>
          <w:p w14:paraId="7CFDCAF1" w14:textId="77777777" w:rsidR="00487563" w:rsidRPr="005114E7" w:rsidRDefault="00487563" w:rsidP="00F36AAD">
            <w:pPr>
              <w:jc w:val="right"/>
              <w:rPr>
                <w:sz w:val="20"/>
                <w:szCs w:val="20"/>
                <w:lang w:val="en-US"/>
              </w:rPr>
            </w:pPr>
            <w:r w:rsidRPr="005114E7">
              <w:rPr>
                <w:sz w:val="20"/>
                <w:szCs w:val="20"/>
              </w:rPr>
              <w:t>25</w:t>
            </w:r>
          </w:p>
        </w:tc>
        <w:tc>
          <w:tcPr>
            <w:tcW w:w="698" w:type="pct"/>
            <w:shd w:val="clear" w:color="auto" w:fill="FAF9F8"/>
          </w:tcPr>
          <w:p w14:paraId="2F5F69E0" w14:textId="77777777" w:rsidR="00487563" w:rsidRPr="005114E7" w:rsidRDefault="00487563" w:rsidP="00F36AAD">
            <w:pPr>
              <w:jc w:val="right"/>
              <w:rPr>
                <w:sz w:val="20"/>
                <w:szCs w:val="20"/>
              </w:rPr>
            </w:pPr>
            <w:r w:rsidRPr="005114E7">
              <w:rPr>
                <w:sz w:val="20"/>
                <w:szCs w:val="20"/>
              </w:rPr>
              <w:t>12</w:t>
            </w:r>
          </w:p>
        </w:tc>
        <w:tc>
          <w:tcPr>
            <w:tcW w:w="698" w:type="pct"/>
            <w:shd w:val="clear" w:color="auto" w:fill="FAF9F8"/>
          </w:tcPr>
          <w:p w14:paraId="7A6D869F" w14:textId="77777777" w:rsidR="00487563" w:rsidRPr="005114E7" w:rsidRDefault="00487563" w:rsidP="00F36AAD">
            <w:pPr>
              <w:jc w:val="right"/>
              <w:rPr>
                <w:sz w:val="20"/>
                <w:szCs w:val="20"/>
              </w:rPr>
            </w:pPr>
            <w:r w:rsidRPr="005114E7">
              <w:rPr>
                <w:sz w:val="20"/>
                <w:szCs w:val="20"/>
              </w:rPr>
              <w:t>3</w:t>
            </w:r>
          </w:p>
        </w:tc>
        <w:tc>
          <w:tcPr>
            <w:tcW w:w="698" w:type="pct"/>
            <w:shd w:val="clear" w:color="auto" w:fill="FAF9F8"/>
          </w:tcPr>
          <w:p w14:paraId="56D27034" w14:textId="77777777" w:rsidR="00487563" w:rsidRPr="005114E7" w:rsidRDefault="00487563" w:rsidP="00F36AAD">
            <w:pPr>
              <w:jc w:val="right"/>
              <w:rPr>
                <w:sz w:val="20"/>
                <w:szCs w:val="20"/>
              </w:rPr>
            </w:pPr>
            <w:r w:rsidRPr="005114E7">
              <w:rPr>
                <w:sz w:val="20"/>
                <w:szCs w:val="20"/>
              </w:rPr>
              <w:t>0</w:t>
            </w:r>
          </w:p>
        </w:tc>
        <w:tc>
          <w:tcPr>
            <w:tcW w:w="698" w:type="pct"/>
            <w:shd w:val="clear" w:color="auto" w:fill="FAF9F8"/>
          </w:tcPr>
          <w:p w14:paraId="1E2EAA77" w14:textId="5B9FE22D" w:rsidR="00487563" w:rsidRPr="005114E7" w:rsidRDefault="00487563" w:rsidP="00F36AAD">
            <w:pPr>
              <w:jc w:val="right"/>
              <w:rPr>
                <w:sz w:val="20"/>
                <w:szCs w:val="20"/>
              </w:rPr>
            </w:pPr>
            <w:r w:rsidRPr="005114E7">
              <w:rPr>
                <w:sz w:val="20"/>
                <w:szCs w:val="20"/>
              </w:rPr>
              <w:t>43</w:t>
            </w:r>
          </w:p>
        </w:tc>
      </w:tr>
      <w:tr w:rsidR="00487563" w:rsidRPr="005114E7" w14:paraId="6873084C" w14:textId="77777777" w:rsidTr="00487563">
        <w:tc>
          <w:tcPr>
            <w:tcW w:w="797" w:type="pct"/>
            <w:vAlign w:val="bottom"/>
          </w:tcPr>
          <w:p w14:paraId="7A8C084D" w14:textId="47A7B701" w:rsidR="00487563" w:rsidRPr="005114E7" w:rsidRDefault="00487563" w:rsidP="006877D0">
            <w:pPr>
              <w:rPr>
                <w:sz w:val="20"/>
                <w:szCs w:val="20"/>
              </w:rPr>
            </w:pPr>
            <w:r w:rsidRPr="005114E7">
              <w:rPr>
                <w:rFonts w:eastAsia="Times New Roman" w:cs="Calibri"/>
                <w:color w:val="000000"/>
                <w:lang w:val="mk" w:eastAsia="en-AU"/>
              </w:rPr>
              <w:t>Викторија</w:t>
            </w:r>
          </w:p>
        </w:tc>
        <w:tc>
          <w:tcPr>
            <w:tcW w:w="714" w:type="pct"/>
          </w:tcPr>
          <w:p w14:paraId="69276895" w14:textId="77777777" w:rsidR="00487563" w:rsidRPr="005114E7" w:rsidRDefault="00487563" w:rsidP="00F36AAD">
            <w:pPr>
              <w:jc w:val="right"/>
              <w:rPr>
                <w:sz w:val="20"/>
                <w:szCs w:val="20"/>
              </w:rPr>
            </w:pPr>
            <w:r w:rsidRPr="005114E7">
              <w:rPr>
                <w:sz w:val="20"/>
                <w:szCs w:val="20"/>
              </w:rPr>
              <w:t>18</w:t>
            </w:r>
          </w:p>
        </w:tc>
        <w:tc>
          <w:tcPr>
            <w:tcW w:w="697" w:type="pct"/>
          </w:tcPr>
          <w:p w14:paraId="27E40AA6" w14:textId="77777777" w:rsidR="00487563" w:rsidRPr="005114E7" w:rsidRDefault="00487563" w:rsidP="00F36AAD">
            <w:pPr>
              <w:jc w:val="right"/>
              <w:rPr>
                <w:sz w:val="20"/>
                <w:szCs w:val="20"/>
              </w:rPr>
            </w:pPr>
            <w:r w:rsidRPr="005114E7">
              <w:rPr>
                <w:sz w:val="20"/>
                <w:szCs w:val="20"/>
              </w:rPr>
              <w:t>30</w:t>
            </w:r>
          </w:p>
        </w:tc>
        <w:tc>
          <w:tcPr>
            <w:tcW w:w="698" w:type="pct"/>
          </w:tcPr>
          <w:p w14:paraId="72795912" w14:textId="77777777" w:rsidR="00487563" w:rsidRPr="005114E7" w:rsidRDefault="00487563" w:rsidP="00F36AAD">
            <w:pPr>
              <w:jc w:val="right"/>
              <w:rPr>
                <w:sz w:val="20"/>
                <w:szCs w:val="20"/>
              </w:rPr>
            </w:pPr>
            <w:r w:rsidRPr="005114E7">
              <w:rPr>
                <w:sz w:val="20"/>
                <w:szCs w:val="20"/>
              </w:rPr>
              <w:t>2</w:t>
            </w:r>
          </w:p>
        </w:tc>
        <w:tc>
          <w:tcPr>
            <w:tcW w:w="698" w:type="pct"/>
          </w:tcPr>
          <w:p w14:paraId="345AEE6B" w14:textId="77777777" w:rsidR="00487563" w:rsidRPr="005114E7" w:rsidRDefault="00487563" w:rsidP="00F36AAD">
            <w:pPr>
              <w:jc w:val="right"/>
              <w:rPr>
                <w:sz w:val="20"/>
                <w:szCs w:val="20"/>
              </w:rPr>
            </w:pPr>
            <w:r w:rsidRPr="005114E7">
              <w:rPr>
                <w:sz w:val="20"/>
                <w:szCs w:val="20"/>
              </w:rPr>
              <w:t>0</w:t>
            </w:r>
          </w:p>
        </w:tc>
        <w:tc>
          <w:tcPr>
            <w:tcW w:w="698" w:type="pct"/>
          </w:tcPr>
          <w:p w14:paraId="1F79417C" w14:textId="77777777" w:rsidR="00487563" w:rsidRPr="005114E7" w:rsidRDefault="00487563" w:rsidP="00F36AAD">
            <w:pPr>
              <w:jc w:val="right"/>
              <w:rPr>
                <w:sz w:val="20"/>
                <w:szCs w:val="20"/>
              </w:rPr>
            </w:pPr>
            <w:r w:rsidRPr="005114E7">
              <w:rPr>
                <w:sz w:val="20"/>
                <w:szCs w:val="20"/>
              </w:rPr>
              <w:t>0</w:t>
            </w:r>
          </w:p>
        </w:tc>
        <w:tc>
          <w:tcPr>
            <w:tcW w:w="698" w:type="pct"/>
          </w:tcPr>
          <w:p w14:paraId="571F57AA" w14:textId="7293703B" w:rsidR="00487563" w:rsidRPr="005114E7" w:rsidRDefault="00487563" w:rsidP="00F36AAD">
            <w:pPr>
              <w:jc w:val="right"/>
              <w:rPr>
                <w:sz w:val="20"/>
                <w:szCs w:val="20"/>
              </w:rPr>
            </w:pPr>
            <w:r w:rsidRPr="005114E7">
              <w:rPr>
                <w:sz w:val="20"/>
                <w:szCs w:val="20"/>
              </w:rPr>
              <w:t>50</w:t>
            </w:r>
          </w:p>
        </w:tc>
      </w:tr>
      <w:tr w:rsidR="00487563" w:rsidRPr="005114E7" w14:paraId="7901D185" w14:textId="77777777" w:rsidTr="00487563">
        <w:tc>
          <w:tcPr>
            <w:tcW w:w="797" w:type="pct"/>
            <w:shd w:val="clear" w:color="auto" w:fill="FAF9F8"/>
            <w:vAlign w:val="bottom"/>
          </w:tcPr>
          <w:p w14:paraId="201228E6" w14:textId="77FC6990" w:rsidR="00487563" w:rsidRPr="005114E7" w:rsidRDefault="00487563" w:rsidP="006877D0">
            <w:pPr>
              <w:rPr>
                <w:sz w:val="20"/>
                <w:szCs w:val="20"/>
              </w:rPr>
            </w:pPr>
            <w:r w:rsidRPr="005114E7">
              <w:rPr>
                <w:rFonts w:eastAsia="Times New Roman" w:cs="Calibri"/>
                <w:color w:val="000000"/>
                <w:lang w:val="mk" w:eastAsia="en-AU"/>
              </w:rPr>
              <w:t>Квинсленд</w:t>
            </w:r>
          </w:p>
        </w:tc>
        <w:tc>
          <w:tcPr>
            <w:tcW w:w="714" w:type="pct"/>
            <w:shd w:val="clear" w:color="auto" w:fill="FAF9F8"/>
          </w:tcPr>
          <w:p w14:paraId="73B7B87F" w14:textId="77777777" w:rsidR="00487563" w:rsidRPr="005114E7" w:rsidRDefault="00487563" w:rsidP="00F36AAD">
            <w:pPr>
              <w:jc w:val="right"/>
              <w:rPr>
                <w:sz w:val="20"/>
                <w:szCs w:val="20"/>
              </w:rPr>
            </w:pPr>
            <w:r w:rsidRPr="005114E7">
              <w:rPr>
                <w:sz w:val="20"/>
                <w:szCs w:val="20"/>
              </w:rPr>
              <w:t>14</w:t>
            </w:r>
          </w:p>
        </w:tc>
        <w:tc>
          <w:tcPr>
            <w:tcW w:w="697" w:type="pct"/>
            <w:shd w:val="clear" w:color="auto" w:fill="FAF9F8"/>
          </w:tcPr>
          <w:p w14:paraId="6A2DE223" w14:textId="77777777" w:rsidR="00487563" w:rsidRPr="005114E7" w:rsidRDefault="00487563" w:rsidP="00F36AAD">
            <w:pPr>
              <w:jc w:val="right"/>
              <w:rPr>
                <w:sz w:val="20"/>
                <w:szCs w:val="20"/>
              </w:rPr>
            </w:pPr>
            <w:r w:rsidRPr="005114E7">
              <w:rPr>
                <w:sz w:val="20"/>
                <w:szCs w:val="20"/>
              </w:rPr>
              <w:t>28</w:t>
            </w:r>
          </w:p>
        </w:tc>
        <w:tc>
          <w:tcPr>
            <w:tcW w:w="698" w:type="pct"/>
            <w:shd w:val="clear" w:color="auto" w:fill="FAF9F8"/>
          </w:tcPr>
          <w:p w14:paraId="7D49383F" w14:textId="77777777" w:rsidR="00487563" w:rsidRPr="005114E7" w:rsidRDefault="00487563" w:rsidP="00F36AAD">
            <w:pPr>
              <w:jc w:val="right"/>
              <w:rPr>
                <w:sz w:val="20"/>
                <w:szCs w:val="20"/>
              </w:rPr>
            </w:pPr>
            <w:r w:rsidRPr="005114E7">
              <w:rPr>
                <w:sz w:val="20"/>
                <w:szCs w:val="20"/>
              </w:rPr>
              <w:t>4</w:t>
            </w:r>
          </w:p>
        </w:tc>
        <w:tc>
          <w:tcPr>
            <w:tcW w:w="698" w:type="pct"/>
            <w:shd w:val="clear" w:color="auto" w:fill="FAF9F8"/>
          </w:tcPr>
          <w:p w14:paraId="7CFFB96D" w14:textId="77777777" w:rsidR="00487563" w:rsidRPr="005114E7" w:rsidRDefault="00487563" w:rsidP="00F36AAD">
            <w:pPr>
              <w:jc w:val="right"/>
              <w:rPr>
                <w:sz w:val="20"/>
                <w:szCs w:val="20"/>
              </w:rPr>
            </w:pPr>
            <w:r w:rsidRPr="005114E7">
              <w:rPr>
                <w:sz w:val="20"/>
                <w:szCs w:val="20"/>
              </w:rPr>
              <w:t>0</w:t>
            </w:r>
          </w:p>
        </w:tc>
        <w:tc>
          <w:tcPr>
            <w:tcW w:w="698" w:type="pct"/>
            <w:shd w:val="clear" w:color="auto" w:fill="FAF9F8"/>
          </w:tcPr>
          <w:p w14:paraId="79798434" w14:textId="77777777" w:rsidR="00487563" w:rsidRPr="005114E7" w:rsidRDefault="00487563" w:rsidP="00F36AAD">
            <w:pPr>
              <w:jc w:val="right"/>
              <w:rPr>
                <w:sz w:val="20"/>
                <w:szCs w:val="20"/>
              </w:rPr>
            </w:pPr>
            <w:r w:rsidRPr="005114E7">
              <w:rPr>
                <w:sz w:val="20"/>
                <w:szCs w:val="20"/>
              </w:rPr>
              <w:t>0</w:t>
            </w:r>
          </w:p>
        </w:tc>
        <w:tc>
          <w:tcPr>
            <w:tcW w:w="698" w:type="pct"/>
            <w:shd w:val="clear" w:color="auto" w:fill="FAF9F8"/>
          </w:tcPr>
          <w:p w14:paraId="197D5A67" w14:textId="0FB5C204" w:rsidR="00487563" w:rsidRPr="005114E7" w:rsidRDefault="00487563" w:rsidP="00F36AAD">
            <w:pPr>
              <w:jc w:val="right"/>
              <w:rPr>
                <w:sz w:val="20"/>
                <w:szCs w:val="20"/>
              </w:rPr>
            </w:pPr>
            <w:r w:rsidRPr="005114E7">
              <w:rPr>
                <w:sz w:val="20"/>
                <w:szCs w:val="20"/>
              </w:rPr>
              <w:t>46</w:t>
            </w:r>
          </w:p>
        </w:tc>
      </w:tr>
      <w:tr w:rsidR="00487563" w:rsidRPr="005114E7" w14:paraId="2D0D5C2C" w14:textId="77777777" w:rsidTr="00487563">
        <w:tc>
          <w:tcPr>
            <w:tcW w:w="797" w:type="pct"/>
            <w:vAlign w:val="bottom"/>
          </w:tcPr>
          <w:p w14:paraId="55CFCCAF" w14:textId="7DD794A5" w:rsidR="00487563" w:rsidRPr="005114E7" w:rsidRDefault="00487563" w:rsidP="006877D0">
            <w:pPr>
              <w:rPr>
                <w:sz w:val="20"/>
                <w:szCs w:val="20"/>
              </w:rPr>
            </w:pPr>
            <w:r w:rsidRPr="005114E7">
              <w:rPr>
                <w:rFonts w:eastAsia="Times New Roman" w:cs="Calibri"/>
                <w:color w:val="000000"/>
                <w:lang w:val="mk" w:eastAsia="en-AU"/>
              </w:rPr>
              <w:t>Западна Австралија</w:t>
            </w:r>
          </w:p>
        </w:tc>
        <w:tc>
          <w:tcPr>
            <w:tcW w:w="714" w:type="pct"/>
          </w:tcPr>
          <w:p w14:paraId="1FEC28AC" w14:textId="77777777" w:rsidR="00487563" w:rsidRPr="005114E7" w:rsidRDefault="00487563" w:rsidP="00F36AAD">
            <w:pPr>
              <w:jc w:val="right"/>
              <w:rPr>
                <w:sz w:val="20"/>
                <w:szCs w:val="20"/>
              </w:rPr>
            </w:pPr>
            <w:r w:rsidRPr="005114E7">
              <w:rPr>
                <w:sz w:val="20"/>
                <w:szCs w:val="20"/>
              </w:rPr>
              <w:t>10</w:t>
            </w:r>
          </w:p>
        </w:tc>
        <w:tc>
          <w:tcPr>
            <w:tcW w:w="697" w:type="pct"/>
          </w:tcPr>
          <w:p w14:paraId="41E112D2" w14:textId="77777777" w:rsidR="00487563" w:rsidRPr="005114E7" w:rsidRDefault="00487563" w:rsidP="00F36AAD">
            <w:pPr>
              <w:jc w:val="right"/>
              <w:rPr>
                <w:sz w:val="20"/>
                <w:szCs w:val="20"/>
              </w:rPr>
            </w:pPr>
            <w:r w:rsidRPr="005114E7">
              <w:rPr>
                <w:sz w:val="20"/>
                <w:szCs w:val="20"/>
              </w:rPr>
              <w:t>20</w:t>
            </w:r>
          </w:p>
        </w:tc>
        <w:tc>
          <w:tcPr>
            <w:tcW w:w="698" w:type="pct"/>
          </w:tcPr>
          <w:p w14:paraId="729BCEF0" w14:textId="77777777" w:rsidR="00487563" w:rsidRPr="005114E7" w:rsidRDefault="00487563" w:rsidP="00F36AAD">
            <w:pPr>
              <w:jc w:val="right"/>
              <w:rPr>
                <w:sz w:val="20"/>
                <w:szCs w:val="20"/>
              </w:rPr>
            </w:pPr>
            <w:r w:rsidRPr="005114E7">
              <w:rPr>
                <w:sz w:val="20"/>
                <w:szCs w:val="20"/>
              </w:rPr>
              <w:t>1</w:t>
            </w:r>
          </w:p>
        </w:tc>
        <w:tc>
          <w:tcPr>
            <w:tcW w:w="698" w:type="pct"/>
          </w:tcPr>
          <w:p w14:paraId="5E5EC66C" w14:textId="77777777" w:rsidR="00487563" w:rsidRPr="005114E7" w:rsidRDefault="00487563" w:rsidP="00F36AAD">
            <w:pPr>
              <w:jc w:val="right"/>
              <w:rPr>
                <w:sz w:val="20"/>
                <w:szCs w:val="20"/>
              </w:rPr>
            </w:pPr>
            <w:r w:rsidRPr="005114E7">
              <w:rPr>
                <w:sz w:val="20"/>
                <w:szCs w:val="20"/>
              </w:rPr>
              <w:t>0</w:t>
            </w:r>
          </w:p>
        </w:tc>
        <w:tc>
          <w:tcPr>
            <w:tcW w:w="698" w:type="pct"/>
          </w:tcPr>
          <w:p w14:paraId="74EEF32D" w14:textId="77777777" w:rsidR="00487563" w:rsidRPr="005114E7" w:rsidRDefault="00487563" w:rsidP="00F36AAD">
            <w:pPr>
              <w:jc w:val="right"/>
              <w:rPr>
                <w:sz w:val="20"/>
                <w:szCs w:val="20"/>
              </w:rPr>
            </w:pPr>
            <w:r w:rsidRPr="005114E7">
              <w:rPr>
                <w:sz w:val="20"/>
                <w:szCs w:val="20"/>
              </w:rPr>
              <w:t>0</w:t>
            </w:r>
          </w:p>
        </w:tc>
        <w:tc>
          <w:tcPr>
            <w:tcW w:w="698" w:type="pct"/>
          </w:tcPr>
          <w:p w14:paraId="61BD0FA0" w14:textId="065E98FA" w:rsidR="00487563" w:rsidRPr="005114E7" w:rsidRDefault="00487563" w:rsidP="00F36AAD">
            <w:pPr>
              <w:jc w:val="right"/>
              <w:rPr>
                <w:sz w:val="20"/>
                <w:szCs w:val="20"/>
              </w:rPr>
            </w:pPr>
            <w:r w:rsidRPr="005114E7">
              <w:rPr>
                <w:sz w:val="20"/>
                <w:szCs w:val="20"/>
              </w:rPr>
              <w:t>31</w:t>
            </w:r>
          </w:p>
        </w:tc>
      </w:tr>
      <w:tr w:rsidR="00487563" w:rsidRPr="005114E7" w14:paraId="7894ADD2" w14:textId="77777777" w:rsidTr="00487563">
        <w:tc>
          <w:tcPr>
            <w:tcW w:w="797" w:type="pct"/>
            <w:shd w:val="clear" w:color="auto" w:fill="FAF9F8"/>
            <w:vAlign w:val="bottom"/>
          </w:tcPr>
          <w:p w14:paraId="7495BECD" w14:textId="748DFBBD" w:rsidR="00487563" w:rsidRPr="005114E7" w:rsidRDefault="00487563" w:rsidP="006877D0">
            <w:pPr>
              <w:rPr>
                <w:sz w:val="20"/>
                <w:szCs w:val="20"/>
              </w:rPr>
            </w:pPr>
            <w:r w:rsidRPr="005114E7">
              <w:rPr>
                <w:rFonts w:eastAsia="Times New Roman" w:cs="Calibri"/>
                <w:color w:val="000000"/>
                <w:lang w:val="mk" w:eastAsia="en-AU"/>
              </w:rPr>
              <w:t>Јужна Австралија</w:t>
            </w:r>
          </w:p>
        </w:tc>
        <w:tc>
          <w:tcPr>
            <w:tcW w:w="714" w:type="pct"/>
            <w:shd w:val="clear" w:color="auto" w:fill="FAF9F8"/>
          </w:tcPr>
          <w:p w14:paraId="2FC5AEDE" w14:textId="77777777" w:rsidR="00487563" w:rsidRPr="005114E7" w:rsidRDefault="00487563" w:rsidP="00F36AAD">
            <w:pPr>
              <w:jc w:val="right"/>
              <w:rPr>
                <w:sz w:val="20"/>
                <w:szCs w:val="20"/>
              </w:rPr>
            </w:pPr>
            <w:r w:rsidRPr="005114E7">
              <w:rPr>
                <w:sz w:val="20"/>
                <w:szCs w:val="20"/>
              </w:rPr>
              <w:t>13</w:t>
            </w:r>
          </w:p>
        </w:tc>
        <w:tc>
          <w:tcPr>
            <w:tcW w:w="697" w:type="pct"/>
            <w:shd w:val="clear" w:color="auto" w:fill="FAF9F8"/>
          </w:tcPr>
          <w:p w14:paraId="4DD23FCF" w14:textId="77777777" w:rsidR="00487563" w:rsidRPr="005114E7" w:rsidRDefault="00487563" w:rsidP="00F36AAD">
            <w:pPr>
              <w:jc w:val="right"/>
              <w:rPr>
                <w:sz w:val="20"/>
                <w:szCs w:val="20"/>
              </w:rPr>
            </w:pPr>
            <w:r w:rsidRPr="005114E7">
              <w:rPr>
                <w:sz w:val="20"/>
                <w:szCs w:val="20"/>
              </w:rPr>
              <w:t>31</w:t>
            </w:r>
          </w:p>
        </w:tc>
        <w:tc>
          <w:tcPr>
            <w:tcW w:w="698" w:type="pct"/>
            <w:shd w:val="clear" w:color="auto" w:fill="FAF9F8"/>
          </w:tcPr>
          <w:p w14:paraId="15E6B4C7" w14:textId="77777777" w:rsidR="00487563" w:rsidRPr="005114E7" w:rsidRDefault="00487563" w:rsidP="00F36AAD">
            <w:pPr>
              <w:jc w:val="right"/>
              <w:rPr>
                <w:sz w:val="20"/>
                <w:szCs w:val="20"/>
              </w:rPr>
            </w:pPr>
            <w:r w:rsidRPr="005114E7">
              <w:rPr>
                <w:sz w:val="20"/>
                <w:szCs w:val="20"/>
              </w:rPr>
              <w:t>7</w:t>
            </w:r>
          </w:p>
        </w:tc>
        <w:tc>
          <w:tcPr>
            <w:tcW w:w="698" w:type="pct"/>
            <w:shd w:val="clear" w:color="auto" w:fill="FAF9F8"/>
          </w:tcPr>
          <w:p w14:paraId="4EB20232" w14:textId="77777777" w:rsidR="00487563" w:rsidRPr="005114E7" w:rsidRDefault="00487563" w:rsidP="00F36AAD">
            <w:pPr>
              <w:jc w:val="right"/>
              <w:rPr>
                <w:sz w:val="20"/>
                <w:szCs w:val="20"/>
              </w:rPr>
            </w:pPr>
            <w:r w:rsidRPr="005114E7">
              <w:rPr>
                <w:sz w:val="20"/>
                <w:szCs w:val="20"/>
              </w:rPr>
              <w:t>2</w:t>
            </w:r>
          </w:p>
        </w:tc>
        <w:tc>
          <w:tcPr>
            <w:tcW w:w="698" w:type="pct"/>
            <w:shd w:val="clear" w:color="auto" w:fill="FAF9F8"/>
          </w:tcPr>
          <w:p w14:paraId="1E0B1215" w14:textId="77777777" w:rsidR="00487563" w:rsidRPr="005114E7" w:rsidRDefault="00487563" w:rsidP="00F36AAD">
            <w:pPr>
              <w:jc w:val="right"/>
              <w:rPr>
                <w:sz w:val="20"/>
                <w:szCs w:val="20"/>
              </w:rPr>
            </w:pPr>
            <w:r w:rsidRPr="005114E7">
              <w:rPr>
                <w:sz w:val="20"/>
                <w:szCs w:val="20"/>
              </w:rPr>
              <w:t>1</w:t>
            </w:r>
          </w:p>
        </w:tc>
        <w:tc>
          <w:tcPr>
            <w:tcW w:w="698" w:type="pct"/>
            <w:shd w:val="clear" w:color="auto" w:fill="FAF9F8"/>
          </w:tcPr>
          <w:p w14:paraId="7AD5D68C" w14:textId="7BCCB44F" w:rsidR="00487563" w:rsidRPr="005114E7" w:rsidRDefault="00487563" w:rsidP="00F36AAD">
            <w:pPr>
              <w:jc w:val="right"/>
              <w:rPr>
                <w:sz w:val="20"/>
                <w:szCs w:val="20"/>
              </w:rPr>
            </w:pPr>
            <w:r w:rsidRPr="005114E7">
              <w:rPr>
                <w:sz w:val="20"/>
                <w:szCs w:val="20"/>
              </w:rPr>
              <w:t>54</w:t>
            </w:r>
          </w:p>
        </w:tc>
      </w:tr>
      <w:tr w:rsidR="00487563" w:rsidRPr="005114E7" w14:paraId="0805B50E" w14:textId="77777777" w:rsidTr="00487563">
        <w:tc>
          <w:tcPr>
            <w:tcW w:w="797" w:type="pct"/>
            <w:vAlign w:val="bottom"/>
          </w:tcPr>
          <w:p w14:paraId="7ADD3FF4" w14:textId="355F75E2" w:rsidR="00487563" w:rsidRPr="005114E7" w:rsidRDefault="00487563" w:rsidP="006877D0">
            <w:pPr>
              <w:rPr>
                <w:sz w:val="20"/>
                <w:szCs w:val="20"/>
              </w:rPr>
            </w:pPr>
            <w:r w:rsidRPr="005114E7">
              <w:rPr>
                <w:rFonts w:eastAsia="Times New Roman" w:cs="Calibri"/>
                <w:color w:val="000000"/>
                <w:lang w:val="mk" w:eastAsia="en-AU"/>
              </w:rPr>
              <w:t>Тасманија</w:t>
            </w:r>
          </w:p>
        </w:tc>
        <w:tc>
          <w:tcPr>
            <w:tcW w:w="714" w:type="pct"/>
          </w:tcPr>
          <w:p w14:paraId="14EB7EC9" w14:textId="77777777" w:rsidR="00487563" w:rsidRPr="005114E7" w:rsidRDefault="00487563" w:rsidP="00F36AAD">
            <w:pPr>
              <w:jc w:val="right"/>
              <w:rPr>
                <w:sz w:val="20"/>
                <w:szCs w:val="20"/>
              </w:rPr>
            </w:pPr>
            <w:r w:rsidRPr="005114E7">
              <w:rPr>
                <w:sz w:val="20"/>
                <w:szCs w:val="20"/>
              </w:rPr>
              <w:t>5</w:t>
            </w:r>
          </w:p>
        </w:tc>
        <w:tc>
          <w:tcPr>
            <w:tcW w:w="697" w:type="pct"/>
          </w:tcPr>
          <w:p w14:paraId="296BA456" w14:textId="77777777" w:rsidR="00487563" w:rsidRPr="005114E7" w:rsidRDefault="00487563" w:rsidP="00F36AAD">
            <w:pPr>
              <w:jc w:val="right"/>
              <w:rPr>
                <w:sz w:val="20"/>
                <w:szCs w:val="20"/>
              </w:rPr>
            </w:pPr>
            <w:r w:rsidRPr="005114E7">
              <w:rPr>
                <w:sz w:val="20"/>
                <w:szCs w:val="20"/>
              </w:rPr>
              <w:t>13</w:t>
            </w:r>
          </w:p>
        </w:tc>
        <w:tc>
          <w:tcPr>
            <w:tcW w:w="698" w:type="pct"/>
          </w:tcPr>
          <w:p w14:paraId="218C3D61" w14:textId="77777777" w:rsidR="00487563" w:rsidRPr="005114E7" w:rsidRDefault="00487563" w:rsidP="00F36AAD">
            <w:pPr>
              <w:jc w:val="right"/>
              <w:rPr>
                <w:sz w:val="20"/>
                <w:szCs w:val="20"/>
              </w:rPr>
            </w:pPr>
            <w:r w:rsidRPr="005114E7">
              <w:rPr>
                <w:sz w:val="20"/>
                <w:szCs w:val="20"/>
              </w:rPr>
              <w:t>8</w:t>
            </w:r>
          </w:p>
        </w:tc>
        <w:tc>
          <w:tcPr>
            <w:tcW w:w="698" w:type="pct"/>
          </w:tcPr>
          <w:p w14:paraId="1C1B6651" w14:textId="77777777" w:rsidR="00487563" w:rsidRPr="005114E7" w:rsidRDefault="00487563" w:rsidP="00F36AAD">
            <w:pPr>
              <w:jc w:val="right"/>
              <w:rPr>
                <w:sz w:val="20"/>
                <w:szCs w:val="20"/>
              </w:rPr>
            </w:pPr>
            <w:r w:rsidRPr="005114E7">
              <w:rPr>
                <w:sz w:val="20"/>
                <w:szCs w:val="20"/>
              </w:rPr>
              <w:t>0</w:t>
            </w:r>
          </w:p>
        </w:tc>
        <w:tc>
          <w:tcPr>
            <w:tcW w:w="698" w:type="pct"/>
          </w:tcPr>
          <w:p w14:paraId="6230EE1E" w14:textId="77777777" w:rsidR="00487563" w:rsidRPr="005114E7" w:rsidRDefault="00487563" w:rsidP="00F36AAD">
            <w:pPr>
              <w:jc w:val="right"/>
              <w:rPr>
                <w:sz w:val="20"/>
                <w:szCs w:val="20"/>
              </w:rPr>
            </w:pPr>
            <w:r w:rsidRPr="005114E7">
              <w:rPr>
                <w:sz w:val="20"/>
                <w:szCs w:val="20"/>
              </w:rPr>
              <w:t>0</w:t>
            </w:r>
          </w:p>
        </w:tc>
        <w:tc>
          <w:tcPr>
            <w:tcW w:w="698" w:type="pct"/>
          </w:tcPr>
          <w:p w14:paraId="4E64B1CC" w14:textId="6F203834" w:rsidR="00487563" w:rsidRPr="005114E7" w:rsidRDefault="00487563" w:rsidP="00F36AAD">
            <w:pPr>
              <w:jc w:val="right"/>
              <w:rPr>
                <w:sz w:val="20"/>
                <w:szCs w:val="20"/>
              </w:rPr>
            </w:pPr>
            <w:r w:rsidRPr="005114E7">
              <w:rPr>
                <w:sz w:val="20"/>
                <w:szCs w:val="20"/>
              </w:rPr>
              <w:t>26</w:t>
            </w:r>
          </w:p>
        </w:tc>
      </w:tr>
      <w:tr w:rsidR="00487563" w:rsidRPr="005114E7" w14:paraId="18FC710A" w14:textId="77777777" w:rsidTr="00487563">
        <w:tc>
          <w:tcPr>
            <w:tcW w:w="797" w:type="pct"/>
            <w:shd w:val="clear" w:color="auto" w:fill="FAF9F8"/>
            <w:vAlign w:val="bottom"/>
          </w:tcPr>
          <w:p w14:paraId="5DFF9AAC" w14:textId="1334CEEE" w:rsidR="00487563" w:rsidRPr="005114E7" w:rsidRDefault="00487563" w:rsidP="006877D0">
            <w:pPr>
              <w:rPr>
                <w:sz w:val="20"/>
                <w:szCs w:val="20"/>
              </w:rPr>
            </w:pPr>
            <w:r w:rsidRPr="005114E7">
              <w:rPr>
                <w:rFonts w:eastAsia="Times New Roman" w:cs="Calibri"/>
                <w:color w:val="000000"/>
                <w:lang w:val="mk" w:eastAsia="en-AU"/>
              </w:rPr>
              <w:t>Австралиска Престолничка Територија</w:t>
            </w:r>
          </w:p>
        </w:tc>
        <w:tc>
          <w:tcPr>
            <w:tcW w:w="714" w:type="pct"/>
            <w:shd w:val="clear" w:color="auto" w:fill="FAF9F8"/>
          </w:tcPr>
          <w:p w14:paraId="31DDA85A" w14:textId="77777777" w:rsidR="00487563" w:rsidRPr="005114E7" w:rsidRDefault="00487563" w:rsidP="00F36AAD">
            <w:pPr>
              <w:jc w:val="right"/>
              <w:rPr>
                <w:sz w:val="20"/>
                <w:szCs w:val="20"/>
              </w:rPr>
            </w:pPr>
            <w:r w:rsidRPr="005114E7">
              <w:rPr>
                <w:sz w:val="20"/>
                <w:szCs w:val="20"/>
              </w:rPr>
              <w:t>21</w:t>
            </w:r>
          </w:p>
        </w:tc>
        <w:tc>
          <w:tcPr>
            <w:tcW w:w="697" w:type="pct"/>
            <w:shd w:val="clear" w:color="auto" w:fill="FAF9F8"/>
          </w:tcPr>
          <w:p w14:paraId="1F9065CE" w14:textId="77777777" w:rsidR="00487563" w:rsidRPr="005114E7" w:rsidRDefault="00487563" w:rsidP="00F36AAD">
            <w:pPr>
              <w:jc w:val="right"/>
              <w:rPr>
                <w:sz w:val="20"/>
                <w:szCs w:val="20"/>
              </w:rPr>
            </w:pPr>
            <w:r w:rsidRPr="005114E7">
              <w:rPr>
                <w:sz w:val="20"/>
                <w:szCs w:val="20"/>
              </w:rPr>
              <w:t>12</w:t>
            </w:r>
          </w:p>
        </w:tc>
        <w:tc>
          <w:tcPr>
            <w:tcW w:w="698" w:type="pct"/>
            <w:shd w:val="clear" w:color="auto" w:fill="FAF9F8"/>
          </w:tcPr>
          <w:p w14:paraId="019E52E7" w14:textId="77777777" w:rsidR="00487563" w:rsidRPr="005114E7" w:rsidRDefault="00487563" w:rsidP="00F36AAD">
            <w:pPr>
              <w:jc w:val="right"/>
              <w:rPr>
                <w:sz w:val="20"/>
                <w:szCs w:val="20"/>
              </w:rPr>
            </w:pPr>
            <w:r w:rsidRPr="005114E7">
              <w:rPr>
                <w:sz w:val="20"/>
                <w:szCs w:val="20"/>
              </w:rPr>
              <w:t>3</w:t>
            </w:r>
          </w:p>
        </w:tc>
        <w:tc>
          <w:tcPr>
            <w:tcW w:w="698" w:type="pct"/>
            <w:shd w:val="clear" w:color="auto" w:fill="FAF9F8"/>
          </w:tcPr>
          <w:p w14:paraId="31DF0AD6" w14:textId="77777777" w:rsidR="00487563" w:rsidRPr="005114E7" w:rsidRDefault="00487563" w:rsidP="00F36AAD">
            <w:pPr>
              <w:jc w:val="right"/>
              <w:rPr>
                <w:sz w:val="20"/>
                <w:szCs w:val="20"/>
              </w:rPr>
            </w:pPr>
            <w:r w:rsidRPr="005114E7">
              <w:rPr>
                <w:sz w:val="20"/>
                <w:szCs w:val="20"/>
              </w:rPr>
              <w:t>0</w:t>
            </w:r>
          </w:p>
        </w:tc>
        <w:tc>
          <w:tcPr>
            <w:tcW w:w="698" w:type="pct"/>
            <w:shd w:val="clear" w:color="auto" w:fill="FAF9F8"/>
          </w:tcPr>
          <w:p w14:paraId="54AF7FF2" w14:textId="77777777" w:rsidR="00487563" w:rsidRPr="005114E7" w:rsidRDefault="00487563" w:rsidP="00F36AAD">
            <w:pPr>
              <w:jc w:val="right"/>
              <w:rPr>
                <w:sz w:val="20"/>
                <w:szCs w:val="20"/>
              </w:rPr>
            </w:pPr>
            <w:r w:rsidRPr="005114E7">
              <w:rPr>
                <w:sz w:val="20"/>
                <w:szCs w:val="20"/>
              </w:rPr>
              <w:t>0</w:t>
            </w:r>
          </w:p>
        </w:tc>
        <w:tc>
          <w:tcPr>
            <w:tcW w:w="698" w:type="pct"/>
            <w:shd w:val="clear" w:color="auto" w:fill="FAF9F8"/>
          </w:tcPr>
          <w:p w14:paraId="1606ABE0" w14:textId="5E08201B" w:rsidR="00487563" w:rsidRPr="005114E7" w:rsidRDefault="00487563" w:rsidP="00F36AAD">
            <w:pPr>
              <w:jc w:val="right"/>
              <w:rPr>
                <w:sz w:val="20"/>
                <w:szCs w:val="20"/>
              </w:rPr>
            </w:pPr>
            <w:r w:rsidRPr="005114E7">
              <w:rPr>
                <w:sz w:val="20"/>
                <w:szCs w:val="20"/>
              </w:rPr>
              <w:t>36</w:t>
            </w:r>
          </w:p>
        </w:tc>
      </w:tr>
      <w:tr w:rsidR="00487563" w:rsidRPr="005114E7" w14:paraId="2237BA33" w14:textId="77777777" w:rsidTr="00487563">
        <w:tc>
          <w:tcPr>
            <w:tcW w:w="797" w:type="pct"/>
            <w:vAlign w:val="bottom"/>
          </w:tcPr>
          <w:p w14:paraId="27895D1C" w14:textId="6BEB720E" w:rsidR="00487563" w:rsidRPr="005114E7" w:rsidRDefault="00487563" w:rsidP="006877D0">
            <w:pPr>
              <w:rPr>
                <w:sz w:val="20"/>
                <w:szCs w:val="20"/>
              </w:rPr>
            </w:pPr>
            <w:r w:rsidRPr="005114E7">
              <w:rPr>
                <w:rFonts w:eastAsia="Times New Roman" w:cs="Calibri"/>
                <w:color w:val="000000"/>
                <w:lang w:val="mk" w:eastAsia="en-AU"/>
              </w:rPr>
              <w:t>Северна Територија</w:t>
            </w:r>
          </w:p>
        </w:tc>
        <w:tc>
          <w:tcPr>
            <w:tcW w:w="714" w:type="pct"/>
          </w:tcPr>
          <w:p w14:paraId="5BC5B1CB" w14:textId="77777777" w:rsidR="00487563" w:rsidRPr="005114E7" w:rsidRDefault="00487563" w:rsidP="00F36AAD">
            <w:pPr>
              <w:jc w:val="right"/>
              <w:rPr>
                <w:sz w:val="20"/>
                <w:szCs w:val="20"/>
              </w:rPr>
            </w:pPr>
            <w:r w:rsidRPr="005114E7">
              <w:rPr>
                <w:sz w:val="20"/>
                <w:szCs w:val="20"/>
              </w:rPr>
              <w:t>5</w:t>
            </w:r>
          </w:p>
        </w:tc>
        <w:tc>
          <w:tcPr>
            <w:tcW w:w="697" w:type="pct"/>
          </w:tcPr>
          <w:p w14:paraId="4A42A28B" w14:textId="77777777" w:rsidR="00487563" w:rsidRPr="005114E7" w:rsidRDefault="00487563" w:rsidP="00F36AAD">
            <w:pPr>
              <w:jc w:val="right"/>
              <w:rPr>
                <w:sz w:val="20"/>
                <w:szCs w:val="20"/>
              </w:rPr>
            </w:pPr>
            <w:r w:rsidRPr="005114E7">
              <w:rPr>
                <w:sz w:val="20"/>
                <w:szCs w:val="20"/>
              </w:rPr>
              <w:t>27</w:t>
            </w:r>
          </w:p>
        </w:tc>
        <w:tc>
          <w:tcPr>
            <w:tcW w:w="698" w:type="pct"/>
          </w:tcPr>
          <w:p w14:paraId="79629A9D" w14:textId="77777777" w:rsidR="00487563" w:rsidRPr="005114E7" w:rsidRDefault="00487563" w:rsidP="00F36AAD">
            <w:pPr>
              <w:jc w:val="right"/>
              <w:rPr>
                <w:sz w:val="20"/>
                <w:szCs w:val="20"/>
              </w:rPr>
            </w:pPr>
            <w:r w:rsidRPr="005114E7">
              <w:rPr>
                <w:sz w:val="20"/>
                <w:szCs w:val="20"/>
              </w:rPr>
              <w:t>1</w:t>
            </w:r>
          </w:p>
        </w:tc>
        <w:tc>
          <w:tcPr>
            <w:tcW w:w="698" w:type="pct"/>
          </w:tcPr>
          <w:p w14:paraId="56D27D5C" w14:textId="77777777" w:rsidR="00487563" w:rsidRPr="005114E7" w:rsidRDefault="00487563" w:rsidP="00F36AAD">
            <w:pPr>
              <w:jc w:val="right"/>
              <w:rPr>
                <w:sz w:val="20"/>
                <w:szCs w:val="20"/>
              </w:rPr>
            </w:pPr>
            <w:r w:rsidRPr="005114E7">
              <w:rPr>
                <w:sz w:val="20"/>
                <w:szCs w:val="20"/>
              </w:rPr>
              <w:t>1</w:t>
            </w:r>
          </w:p>
        </w:tc>
        <w:tc>
          <w:tcPr>
            <w:tcW w:w="698" w:type="pct"/>
          </w:tcPr>
          <w:p w14:paraId="642003DE" w14:textId="77777777" w:rsidR="00487563" w:rsidRPr="005114E7" w:rsidRDefault="00487563" w:rsidP="00F36AAD">
            <w:pPr>
              <w:jc w:val="right"/>
              <w:rPr>
                <w:sz w:val="20"/>
                <w:szCs w:val="20"/>
              </w:rPr>
            </w:pPr>
            <w:r w:rsidRPr="005114E7">
              <w:rPr>
                <w:sz w:val="20"/>
                <w:szCs w:val="20"/>
              </w:rPr>
              <w:t>0</w:t>
            </w:r>
          </w:p>
        </w:tc>
        <w:tc>
          <w:tcPr>
            <w:tcW w:w="698" w:type="pct"/>
          </w:tcPr>
          <w:p w14:paraId="523A50B9" w14:textId="222C2A5C" w:rsidR="00487563" w:rsidRPr="005114E7" w:rsidRDefault="00487563" w:rsidP="00F36AAD">
            <w:pPr>
              <w:jc w:val="right"/>
              <w:rPr>
                <w:sz w:val="20"/>
                <w:szCs w:val="20"/>
              </w:rPr>
            </w:pPr>
            <w:r w:rsidRPr="005114E7">
              <w:rPr>
                <w:sz w:val="20"/>
                <w:szCs w:val="20"/>
              </w:rPr>
              <w:t>34</w:t>
            </w:r>
          </w:p>
        </w:tc>
      </w:tr>
      <w:tr w:rsidR="00487563" w:rsidRPr="005114E7" w14:paraId="2E3630A4" w14:textId="77777777" w:rsidTr="00487563">
        <w:tc>
          <w:tcPr>
            <w:tcW w:w="797" w:type="pct"/>
            <w:shd w:val="clear" w:color="auto" w:fill="E4E9F3"/>
            <w:vAlign w:val="bottom"/>
          </w:tcPr>
          <w:p w14:paraId="4EEF0D12" w14:textId="49424BC9" w:rsidR="00487563" w:rsidRPr="005114E7" w:rsidRDefault="00487563" w:rsidP="006877D0">
            <w:pPr>
              <w:rPr>
                <w:b/>
                <w:sz w:val="20"/>
                <w:szCs w:val="20"/>
              </w:rPr>
            </w:pPr>
            <w:r w:rsidRPr="005114E7">
              <w:rPr>
                <w:rFonts w:eastAsia="Times New Roman" w:cs="Calibri"/>
                <w:b/>
                <w:bCs/>
                <w:color w:val="000000"/>
                <w:lang w:val="mk" w:eastAsia="en-AU"/>
              </w:rPr>
              <w:t>Вкупно на национално ниво</w:t>
            </w:r>
          </w:p>
        </w:tc>
        <w:tc>
          <w:tcPr>
            <w:tcW w:w="714" w:type="pct"/>
            <w:shd w:val="clear" w:color="auto" w:fill="E4E9F3"/>
          </w:tcPr>
          <w:p w14:paraId="43D53D83" w14:textId="7091504E" w:rsidR="00487563" w:rsidRPr="005114E7" w:rsidRDefault="00487563" w:rsidP="00F36AAD">
            <w:pPr>
              <w:jc w:val="right"/>
              <w:rPr>
                <w:b/>
                <w:sz w:val="20"/>
                <w:szCs w:val="20"/>
              </w:rPr>
            </w:pPr>
            <w:r w:rsidRPr="005114E7">
              <w:rPr>
                <w:b/>
                <w:sz w:val="20"/>
                <w:szCs w:val="20"/>
              </w:rPr>
              <w:t>101</w:t>
            </w:r>
          </w:p>
        </w:tc>
        <w:tc>
          <w:tcPr>
            <w:tcW w:w="697" w:type="pct"/>
            <w:shd w:val="clear" w:color="auto" w:fill="E4E9F3"/>
          </w:tcPr>
          <w:p w14:paraId="66A5997D" w14:textId="79B02506" w:rsidR="00487563" w:rsidRPr="005114E7" w:rsidRDefault="00487563" w:rsidP="00F36AAD">
            <w:pPr>
              <w:jc w:val="right"/>
              <w:rPr>
                <w:b/>
                <w:sz w:val="20"/>
                <w:szCs w:val="20"/>
              </w:rPr>
            </w:pPr>
            <w:r w:rsidRPr="005114E7">
              <w:rPr>
                <w:b/>
                <w:sz w:val="20"/>
                <w:szCs w:val="20"/>
              </w:rPr>
              <w:t>209</w:t>
            </w:r>
          </w:p>
        </w:tc>
        <w:tc>
          <w:tcPr>
            <w:tcW w:w="698" w:type="pct"/>
            <w:shd w:val="clear" w:color="auto" w:fill="E4E9F3"/>
          </w:tcPr>
          <w:p w14:paraId="79FE3483" w14:textId="75894027" w:rsidR="00487563" w:rsidRPr="005114E7" w:rsidRDefault="00487563" w:rsidP="00F36AAD">
            <w:pPr>
              <w:jc w:val="right"/>
              <w:rPr>
                <w:b/>
                <w:sz w:val="20"/>
                <w:szCs w:val="20"/>
              </w:rPr>
            </w:pPr>
            <w:r w:rsidRPr="005114E7">
              <w:rPr>
                <w:b/>
                <w:sz w:val="20"/>
                <w:szCs w:val="20"/>
              </w:rPr>
              <w:t>54</w:t>
            </w:r>
          </w:p>
        </w:tc>
        <w:tc>
          <w:tcPr>
            <w:tcW w:w="698" w:type="pct"/>
            <w:shd w:val="clear" w:color="auto" w:fill="E4E9F3"/>
          </w:tcPr>
          <w:p w14:paraId="28317935" w14:textId="77777777" w:rsidR="00487563" w:rsidRPr="005114E7" w:rsidRDefault="00487563" w:rsidP="00F36AAD">
            <w:pPr>
              <w:jc w:val="right"/>
              <w:rPr>
                <w:b/>
                <w:sz w:val="20"/>
                <w:szCs w:val="20"/>
              </w:rPr>
            </w:pPr>
            <w:r w:rsidRPr="005114E7">
              <w:rPr>
                <w:b/>
                <w:sz w:val="20"/>
                <w:szCs w:val="20"/>
              </w:rPr>
              <w:t>7</w:t>
            </w:r>
          </w:p>
        </w:tc>
        <w:tc>
          <w:tcPr>
            <w:tcW w:w="698" w:type="pct"/>
            <w:shd w:val="clear" w:color="auto" w:fill="E4E9F3"/>
          </w:tcPr>
          <w:p w14:paraId="0D03A439" w14:textId="77777777" w:rsidR="00487563" w:rsidRPr="005114E7" w:rsidRDefault="00487563" w:rsidP="00F36AAD">
            <w:pPr>
              <w:jc w:val="right"/>
              <w:rPr>
                <w:b/>
                <w:sz w:val="20"/>
                <w:szCs w:val="20"/>
              </w:rPr>
            </w:pPr>
            <w:r w:rsidRPr="005114E7">
              <w:rPr>
                <w:b/>
                <w:sz w:val="20"/>
                <w:szCs w:val="20"/>
              </w:rPr>
              <w:t>3</w:t>
            </w:r>
          </w:p>
        </w:tc>
        <w:tc>
          <w:tcPr>
            <w:tcW w:w="698" w:type="pct"/>
            <w:shd w:val="clear" w:color="auto" w:fill="E4E9F3"/>
          </w:tcPr>
          <w:p w14:paraId="5E2E3864" w14:textId="3EFF644A" w:rsidR="00487563" w:rsidRPr="005114E7" w:rsidRDefault="00487563" w:rsidP="00F36AAD">
            <w:pPr>
              <w:jc w:val="right"/>
              <w:rPr>
                <w:b/>
                <w:sz w:val="20"/>
                <w:szCs w:val="20"/>
              </w:rPr>
            </w:pPr>
            <w:r w:rsidRPr="005114E7">
              <w:rPr>
                <w:b/>
                <w:sz w:val="20"/>
                <w:szCs w:val="20"/>
              </w:rPr>
              <w:t>374</w:t>
            </w:r>
          </w:p>
        </w:tc>
      </w:tr>
      <w:tr w:rsidR="00957224" w:rsidRPr="005114E7" w14:paraId="67F38C51" w14:textId="77777777" w:rsidTr="00487563">
        <w:tc>
          <w:tcPr>
            <w:tcW w:w="797" w:type="pct"/>
          </w:tcPr>
          <w:p w14:paraId="2FCFB9B9" w14:textId="6A027FA0" w:rsidR="00957224" w:rsidRPr="005114E7" w:rsidRDefault="00487563" w:rsidP="006877D0">
            <w:pPr>
              <w:rPr>
                <w:b/>
                <w:sz w:val="20"/>
                <w:szCs w:val="20"/>
              </w:rPr>
            </w:pPr>
            <w:r w:rsidRPr="005114E7">
              <w:rPr>
                <w:rFonts w:eastAsia="Times New Roman" w:cs="Calibri"/>
                <w:b/>
                <w:bCs/>
                <w:color w:val="000000"/>
                <w:lang w:val="mk" w:eastAsia="en-AU"/>
              </w:rPr>
              <w:lastRenderedPageBreak/>
              <w:t>Проценти</w:t>
            </w:r>
          </w:p>
        </w:tc>
        <w:tc>
          <w:tcPr>
            <w:tcW w:w="714" w:type="pct"/>
          </w:tcPr>
          <w:p w14:paraId="4F14C593" w14:textId="45A78917" w:rsidR="00957224" w:rsidRPr="005114E7" w:rsidRDefault="00957224" w:rsidP="00F36AAD">
            <w:pPr>
              <w:jc w:val="right"/>
              <w:rPr>
                <w:b/>
                <w:sz w:val="20"/>
                <w:szCs w:val="20"/>
              </w:rPr>
            </w:pPr>
            <w:r w:rsidRPr="005114E7">
              <w:rPr>
                <w:b/>
                <w:sz w:val="20"/>
                <w:szCs w:val="20"/>
              </w:rPr>
              <w:t>2</w:t>
            </w:r>
            <w:r w:rsidR="00A448FC" w:rsidRPr="005114E7">
              <w:rPr>
                <w:b/>
                <w:sz w:val="20"/>
                <w:szCs w:val="20"/>
              </w:rPr>
              <w:t>7</w:t>
            </w:r>
            <w:r w:rsidRPr="005114E7">
              <w:rPr>
                <w:b/>
                <w:sz w:val="20"/>
                <w:szCs w:val="20"/>
              </w:rPr>
              <w:t>%</w:t>
            </w:r>
          </w:p>
        </w:tc>
        <w:tc>
          <w:tcPr>
            <w:tcW w:w="697" w:type="pct"/>
          </w:tcPr>
          <w:p w14:paraId="6AEC6A4C" w14:textId="47431E62" w:rsidR="00957224" w:rsidRPr="005114E7" w:rsidRDefault="00957224" w:rsidP="00F36AAD">
            <w:pPr>
              <w:jc w:val="right"/>
              <w:rPr>
                <w:b/>
                <w:sz w:val="20"/>
                <w:szCs w:val="20"/>
              </w:rPr>
            </w:pPr>
            <w:r w:rsidRPr="005114E7">
              <w:rPr>
                <w:b/>
                <w:sz w:val="20"/>
                <w:szCs w:val="20"/>
              </w:rPr>
              <w:t>5</w:t>
            </w:r>
            <w:r w:rsidR="00C43D7A" w:rsidRPr="005114E7">
              <w:rPr>
                <w:b/>
                <w:sz w:val="20"/>
                <w:szCs w:val="20"/>
              </w:rPr>
              <w:t>6</w:t>
            </w:r>
            <w:r w:rsidRPr="005114E7">
              <w:rPr>
                <w:b/>
                <w:sz w:val="20"/>
                <w:szCs w:val="20"/>
              </w:rPr>
              <w:t>%</w:t>
            </w:r>
          </w:p>
        </w:tc>
        <w:tc>
          <w:tcPr>
            <w:tcW w:w="698" w:type="pct"/>
          </w:tcPr>
          <w:p w14:paraId="0AB6D3E8" w14:textId="6BE5C3E3" w:rsidR="00957224" w:rsidRPr="005114E7" w:rsidRDefault="00C43D7A" w:rsidP="00F36AAD">
            <w:pPr>
              <w:jc w:val="right"/>
              <w:rPr>
                <w:b/>
                <w:sz w:val="20"/>
                <w:szCs w:val="20"/>
              </w:rPr>
            </w:pPr>
            <w:r w:rsidRPr="005114E7">
              <w:rPr>
                <w:b/>
                <w:sz w:val="20"/>
                <w:szCs w:val="20"/>
              </w:rPr>
              <w:t>14</w:t>
            </w:r>
            <w:r w:rsidR="00957224" w:rsidRPr="005114E7">
              <w:rPr>
                <w:b/>
                <w:sz w:val="20"/>
                <w:szCs w:val="20"/>
              </w:rPr>
              <w:t>%</w:t>
            </w:r>
          </w:p>
        </w:tc>
        <w:tc>
          <w:tcPr>
            <w:tcW w:w="698" w:type="pct"/>
          </w:tcPr>
          <w:p w14:paraId="22EC2D25" w14:textId="26A4AB7D" w:rsidR="00957224" w:rsidRPr="005114E7" w:rsidRDefault="00A448FC" w:rsidP="00F36AAD">
            <w:pPr>
              <w:jc w:val="right"/>
              <w:rPr>
                <w:b/>
                <w:sz w:val="20"/>
                <w:szCs w:val="20"/>
              </w:rPr>
            </w:pPr>
            <w:r w:rsidRPr="005114E7">
              <w:rPr>
                <w:b/>
                <w:sz w:val="20"/>
                <w:szCs w:val="20"/>
              </w:rPr>
              <w:t>2</w:t>
            </w:r>
            <w:r w:rsidR="00957224" w:rsidRPr="005114E7">
              <w:rPr>
                <w:b/>
                <w:sz w:val="20"/>
                <w:szCs w:val="20"/>
              </w:rPr>
              <w:t>%</w:t>
            </w:r>
          </w:p>
        </w:tc>
        <w:tc>
          <w:tcPr>
            <w:tcW w:w="698" w:type="pct"/>
          </w:tcPr>
          <w:p w14:paraId="598CB151" w14:textId="70C7A8FC" w:rsidR="00957224" w:rsidRPr="005114E7" w:rsidRDefault="00A448FC" w:rsidP="00F36AAD">
            <w:pPr>
              <w:jc w:val="right"/>
              <w:rPr>
                <w:b/>
                <w:sz w:val="20"/>
                <w:szCs w:val="20"/>
              </w:rPr>
            </w:pPr>
            <w:r w:rsidRPr="005114E7">
              <w:rPr>
                <w:b/>
                <w:sz w:val="20"/>
                <w:szCs w:val="20"/>
              </w:rPr>
              <w:t>1</w:t>
            </w:r>
            <w:r w:rsidR="00957224" w:rsidRPr="005114E7">
              <w:rPr>
                <w:b/>
                <w:sz w:val="20"/>
                <w:szCs w:val="20"/>
              </w:rPr>
              <w:t>%</w:t>
            </w:r>
          </w:p>
        </w:tc>
        <w:tc>
          <w:tcPr>
            <w:tcW w:w="698" w:type="pct"/>
          </w:tcPr>
          <w:p w14:paraId="057B5835" w14:textId="77777777" w:rsidR="00957224" w:rsidRPr="005114E7" w:rsidRDefault="00957224" w:rsidP="00F36AAD">
            <w:pPr>
              <w:jc w:val="right"/>
              <w:rPr>
                <w:b/>
                <w:sz w:val="20"/>
                <w:szCs w:val="20"/>
              </w:rPr>
            </w:pPr>
          </w:p>
        </w:tc>
      </w:tr>
    </w:tbl>
    <w:p w14:paraId="7ED513EA" w14:textId="39CE7783" w:rsidR="008E35C9" w:rsidRPr="005114E7" w:rsidRDefault="00487563" w:rsidP="006877D0">
      <w:pPr>
        <w:spacing w:before="240" w:after="240"/>
        <w:rPr>
          <w:b/>
          <w:color w:val="6C1740"/>
        </w:rPr>
      </w:pPr>
      <w:r w:rsidRPr="005114E7">
        <w:rPr>
          <w:rFonts w:cs="Arial"/>
          <w:b/>
          <w:color w:val="6C1740"/>
          <w:lang w:val="mk-MK"/>
        </w:rPr>
        <w:t xml:space="preserve">Табела 2: Напредувањето на 374-те акции за секој одделен </w:t>
      </w:r>
      <w:r w:rsidRPr="005114E7">
        <w:rPr>
          <w:rFonts w:cs="Arial"/>
          <w:b/>
          <w:color w:val="6C1740"/>
        </w:rPr>
        <w:t>TAP</w:t>
      </w:r>
      <w:r w:rsidRPr="005114E7">
        <w:rPr>
          <w:rFonts w:cs="Arial"/>
          <w:b/>
          <w:color w:val="6C1740"/>
          <w:lang w:val="mk-MK"/>
        </w:rPr>
        <w:t xml:space="preserve"> и состојбата во текот на периодот за којшто се известува, </w:t>
      </w:r>
      <w:r w:rsidRPr="005114E7">
        <w:rPr>
          <w:rFonts w:cs="Arial"/>
          <w:b/>
          <w:color w:val="6C1740"/>
        </w:rPr>
        <w:t>2022–2023</w:t>
      </w:r>
      <w:r w:rsidRPr="005114E7">
        <w:rPr>
          <w:rFonts w:cs="Arial"/>
          <w:b/>
          <w:color w:val="6C1740"/>
          <w:lang w:val="mk-MK"/>
        </w:rPr>
        <w:t xml:space="preserve"> г.</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845"/>
        <w:gridCol w:w="1319"/>
        <w:gridCol w:w="1200"/>
        <w:gridCol w:w="1220"/>
        <w:gridCol w:w="1218"/>
        <w:gridCol w:w="1220"/>
        <w:gridCol w:w="1220"/>
      </w:tblGrid>
      <w:tr w:rsidR="00487563" w:rsidRPr="005114E7" w14:paraId="4F4D0CEF" w14:textId="77777777" w:rsidTr="007D4E28">
        <w:trPr>
          <w:tblHeader/>
        </w:trPr>
        <w:tc>
          <w:tcPr>
            <w:tcW w:w="998" w:type="pct"/>
            <w:tcBorders>
              <w:top w:val="single" w:sz="4" w:space="0" w:color="auto"/>
              <w:bottom w:val="single" w:sz="4" w:space="0" w:color="auto"/>
              <w:right w:val="single" w:sz="4" w:space="0" w:color="FFFFFF" w:themeColor="background1"/>
            </w:tcBorders>
            <w:shd w:val="clear" w:color="auto" w:fill="6C1740"/>
          </w:tcPr>
          <w:p w14:paraId="536AC5C2" w14:textId="77777777" w:rsidR="00487563" w:rsidRPr="005114E7" w:rsidRDefault="00487563" w:rsidP="00EF2C6E">
            <w:pPr>
              <w:rPr>
                <w:b/>
                <w:sz w:val="20"/>
                <w:szCs w:val="20"/>
              </w:rPr>
            </w:pPr>
            <w:bookmarkStart w:id="5" w:name="Title_02"/>
            <w:bookmarkEnd w:id="5"/>
            <w:r w:rsidRPr="005114E7">
              <w:rPr>
                <w:b/>
                <w:sz w:val="20"/>
                <w:szCs w:val="20"/>
              </w:rPr>
              <w:t>TAP</w:t>
            </w:r>
          </w:p>
        </w:tc>
        <w:tc>
          <w:tcPr>
            <w:tcW w:w="7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2A8A6B83" w:rsidR="00487563" w:rsidRPr="005114E7" w:rsidRDefault="00487563" w:rsidP="006877D0">
            <w:pPr>
              <w:jc w:val="right"/>
              <w:rPr>
                <w:b/>
                <w:sz w:val="20"/>
                <w:szCs w:val="20"/>
              </w:rPr>
            </w:pPr>
            <w:r w:rsidRPr="005114E7">
              <w:rPr>
                <w:rFonts w:eastAsia="Times New Roman" w:cs="Calibri"/>
                <w:b/>
                <w:bCs/>
                <w:color w:val="FFFFFF" w:themeColor="background1"/>
                <w:lang w:val="mk" w:eastAsia="en-AU"/>
              </w:rPr>
              <w:t>Завршено</w:t>
            </w:r>
          </w:p>
        </w:tc>
        <w:tc>
          <w:tcPr>
            <w:tcW w:w="64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30E80D07" w:rsidR="00487563" w:rsidRPr="005114E7" w:rsidRDefault="00487563" w:rsidP="006877D0">
            <w:pPr>
              <w:jc w:val="right"/>
              <w:rPr>
                <w:b/>
                <w:sz w:val="20"/>
                <w:szCs w:val="20"/>
              </w:rPr>
            </w:pPr>
            <w:r w:rsidRPr="005114E7">
              <w:rPr>
                <w:rFonts w:eastAsia="Times New Roman" w:cs="Calibri"/>
                <w:b/>
                <w:bCs/>
                <w:color w:val="FFFFFF" w:themeColor="background1"/>
                <w:lang w:val="mk" w:eastAsia="en-AU"/>
              </w:rPr>
              <w:t>Навреме</w:t>
            </w:r>
          </w:p>
        </w:tc>
        <w:tc>
          <w:tcPr>
            <w:tcW w:w="6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6853F893" w:rsidR="00487563" w:rsidRPr="005114E7" w:rsidRDefault="00487563" w:rsidP="006877D0">
            <w:pPr>
              <w:jc w:val="right"/>
              <w:rPr>
                <w:b/>
                <w:sz w:val="20"/>
                <w:szCs w:val="20"/>
              </w:rPr>
            </w:pPr>
            <w:r w:rsidRPr="005114E7">
              <w:rPr>
                <w:rFonts w:eastAsia="Times New Roman" w:cs="Calibri"/>
                <w:b/>
                <w:bCs/>
                <w:color w:val="FFFFFF" w:themeColor="background1"/>
                <w:lang w:val="mk" w:eastAsia="en-AU"/>
              </w:rPr>
              <w:t>Доцнење</w:t>
            </w:r>
          </w:p>
        </w:tc>
        <w:tc>
          <w:tcPr>
            <w:tcW w:w="65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1915B8AF" w:rsidR="00487563" w:rsidRPr="005114E7" w:rsidRDefault="00487563" w:rsidP="006877D0">
            <w:pPr>
              <w:jc w:val="right"/>
              <w:rPr>
                <w:b/>
                <w:sz w:val="20"/>
                <w:szCs w:val="20"/>
              </w:rPr>
            </w:pPr>
            <w:r w:rsidRPr="005114E7">
              <w:rPr>
                <w:rFonts w:eastAsia="Times New Roman" w:cs="Calibri"/>
                <w:b/>
                <w:bCs/>
                <w:color w:val="FFFFFF" w:themeColor="background1"/>
                <w:lang w:val="mk" w:eastAsia="en-AU"/>
              </w:rPr>
              <w:t>Паузира</w:t>
            </w:r>
          </w:p>
        </w:tc>
        <w:tc>
          <w:tcPr>
            <w:tcW w:w="66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428B524A" w:rsidR="00487563" w:rsidRPr="005114E7" w:rsidRDefault="00487563" w:rsidP="006877D0">
            <w:pPr>
              <w:jc w:val="right"/>
              <w:rPr>
                <w:b/>
                <w:sz w:val="20"/>
                <w:szCs w:val="20"/>
              </w:rPr>
            </w:pPr>
            <w:r w:rsidRPr="005114E7">
              <w:rPr>
                <w:rFonts w:eastAsia="Times New Roman" w:cs="Calibri"/>
                <w:b/>
                <w:bCs/>
                <w:color w:val="FFFFFF" w:themeColor="background1"/>
                <w:lang w:val="mk" w:eastAsia="en-AU"/>
              </w:rPr>
              <w:t>Ќе започне во иднина</w:t>
            </w:r>
          </w:p>
        </w:tc>
        <w:tc>
          <w:tcPr>
            <w:tcW w:w="660" w:type="pct"/>
            <w:tcBorders>
              <w:top w:val="single" w:sz="4" w:space="0" w:color="auto"/>
              <w:left w:val="single" w:sz="4" w:space="0" w:color="FFFFFF" w:themeColor="background1"/>
              <w:bottom w:val="single" w:sz="4" w:space="0" w:color="auto"/>
            </w:tcBorders>
            <w:shd w:val="clear" w:color="auto" w:fill="6C1740"/>
          </w:tcPr>
          <w:p w14:paraId="00156194" w14:textId="4BC3C1B8" w:rsidR="00487563" w:rsidRPr="005114E7" w:rsidRDefault="00487563" w:rsidP="006877D0">
            <w:pPr>
              <w:jc w:val="right"/>
              <w:rPr>
                <w:b/>
                <w:sz w:val="20"/>
                <w:szCs w:val="20"/>
              </w:rPr>
            </w:pPr>
            <w:r w:rsidRPr="005114E7">
              <w:rPr>
                <w:rFonts w:eastAsia="Times New Roman" w:cs="Calibri"/>
                <w:b/>
                <w:bCs/>
                <w:color w:val="FFFFFF" w:themeColor="background1"/>
                <w:lang w:val="mk" w:eastAsia="en-AU"/>
              </w:rPr>
              <w:t>Вкупно</w:t>
            </w:r>
          </w:p>
        </w:tc>
      </w:tr>
      <w:tr w:rsidR="00487563" w:rsidRPr="005114E7" w14:paraId="08F605E0" w14:textId="77777777" w:rsidTr="007D4E28">
        <w:tc>
          <w:tcPr>
            <w:tcW w:w="998" w:type="pct"/>
            <w:tcBorders>
              <w:top w:val="single" w:sz="4" w:space="0" w:color="auto"/>
            </w:tcBorders>
            <w:vAlign w:val="bottom"/>
          </w:tcPr>
          <w:p w14:paraId="59F60012" w14:textId="7A3318DE" w:rsidR="00487563" w:rsidRPr="005114E7" w:rsidRDefault="00487563" w:rsidP="00EF2C6E">
            <w:pPr>
              <w:rPr>
                <w:sz w:val="20"/>
                <w:szCs w:val="20"/>
              </w:rPr>
            </w:pPr>
            <w:r w:rsidRPr="005114E7">
              <w:rPr>
                <w:rFonts w:eastAsia="Times New Roman" w:cs="Calibri"/>
                <w:b/>
                <w:bCs/>
                <w:color w:val="000000"/>
                <w:lang w:val="mk" w:eastAsia="en-AU"/>
              </w:rPr>
              <w:t>Вработување</w:t>
            </w:r>
          </w:p>
        </w:tc>
        <w:tc>
          <w:tcPr>
            <w:tcW w:w="714" w:type="pct"/>
            <w:tcBorders>
              <w:top w:val="single" w:sz="4" w:space="0" w:color="auto"/>
            </w:tcBorders>
          </w:tcPr>
          <w:p w14:paraId="4D6D9272" w14:textId="77777777" w:rsidR="00487563" w:rsidRPr="005114E7" w:rsidRDefault="00487563" w:rsidP="006877D0">
            <w:pPr>
              <w:jc w:val="right"/>
              <w:rPr>
                <w:sz w:val="20"/>
                <w:szCs w:val="20"/>
              </w:rPr>
            </w:pPr>
            <w:r w:rsidRPr="005114E7">
              <w:rPr>
                <w:sz w:val="20"/>
                <w:szCs w:val="20"/>
              </w:rPr>
              <w:t>17</w:t>
            </w:r>
          </w:p>
        </w:tc>
        <w:tc>
          <w:tcPr>
            <w:tcW w:w="649" w:type="pct"/>
            <w:tcBorders>
              <w:top w:val="single" w:sz="4" w:space="0" w:color="auto"/>
            </w:tcBorders>
          </w:tcPr>
          <w:p w14:paraId="7F980C6E" w14:textId="6898C556" w:rsidR="00487563" w:rsidRPr="005114E7" w:rsidRDefault="00487563" w:rsidP="006877D0">
            <w:pPr>
              <w:jc w:val="right"/>
              <w:rPr>
                <w:sz w:val="20"/>
                <w:szCs w:val="20"/>
              </w:rPr>
            </w:pPr>
            <w:r w:rsidRPr="005114E7">
              <w:rPr>
                <w:sz w:val="20"/>
                <w:szCs w:val="20"/>
              </w:rPr>
              <w:t>47</w:t>
            </w:r>
          </w:p>
        </w:tc>
        <w:tc>
          <w:tcPr>
            <w:tcW w:w="660" w:type="pct"/>
            <w:tcBorders>
              <w:top w:val="single" w:sz="4" w:space="0" w:color="auto"/>
            </w:tcBorders>
          </w:tcPr>
          <w:p w14:paraId="0721E32E" w14:textId="47D76768" w:rsidR="00487563" w:rsidRPr="005114E7" w:rsidRDefault="00487563" w:rsidP="006877D0">
            <w:pPr>
              <w:jc w:val="right"/>
              <w:rPr>
                <w:sz w:val="20"/>
                <w:szCs w:val="20"/>
              </w:rPr>
            </w:pPr>
            <w:r w:rsidRPr="005114E7">
              <w:rPr>
                <w:sz w:val="20"/>
                <w:szCs w:val="20"/>
              </w:rPr>
              <w:t>9</w:t>
            </w:r>
          </w:p>
        </w:tc>
        <w:tc>
          <w:tcPr>
            <w:tcW w:w="659" w:type="pct"/>
            <w:tcBorders>
              <w:top w:val="single" w:sz="4" w:space="0" w:color="auto"/>
            </w:tcBorders>
          </w:tcPr>
          <w:p w14:paraId="3A152212" w14:textId="77777777" w:rsidR="00487563" w:rsidRPr="005114E7" w:rsidRDefault="00487563" w:rsidP="006877D0">
            <w:pPr>
              <w:jc w:val="right"/>
              <w:rPr>
                <w:sz w:val="20"/>
                <w:szCs w:val="20"/>
              </w:rPr>
            </w:pPr>
            <w:r w:rsidRPr="005114E7">
              <w:rPr>
                <w:sz w:val="20"/>
                <w:szCs w:val="20"/>
              </w:rPr>
              <w:t>0</w:t>
            </w:r>
          </w:p>
        </w:tc>
        <w:tc>
          <w:tcPr>
            <w:tcW w:w="660" w:type="pct"/>
            <w:tcBorders>
              <w:top w:val="single" w:sz="4" w:space="0" w:color="auto"/>
            </w:tcBorders>
          </w:tcPr>
          <w:p w14:paraId="57C8D585" w14:textId="77777777" w:rsidR="00487563" w:rsidRPr="005114E7" w:rsidRDefault="00487563" w:rsidP="006877D0">
            <w:pPr>
              <w:jc w:val="right"/>
              <w:rPr>
                <w:sz w:val="20"/>
                <w:szCs w:val="20"/>
              </w:rPr>
            </w:pPr>
            <w:r w:rsidRPr="005114E7">
              <w:rPr>
                <w:sz w:val="20"/>
                <w:szCs w:val="20"/>
              </w:rPr>
              <w:t>0</w:t>
            </w:r>
          </w:p>
        </w:tc>
        <w:tc>
          <w:tcPr>
            <w:tcW w:w="660" w:type="pct"/>
            <w:tcBorders>
              <w:top w:val="single" w:sz="4" w:space="0" w:color="auto"/>
            </w:tcBorders>
          </w:tcPr>
          <w:p w14:paraId="7022FAA2" w14:textId="181CF0E4" w:rsidR="00487563" w:rsidRPr="005114E7" w:rsidRDefault="00487563" w:rsidP="006877D0">
            <w:pPr>
              <w:jc w:val="right"/>
              <w:rPr>
                <w:sz w:val="20"/>
                <w:szCs w:val="20"/>
              </w:rPr>
            </w:pPr>
            <w:r w:rsidRPr="005114E7">
              <w:rPr>
                <w:sz w:val="20"/>
                <w:szCs w:val="20"/>
              </w:rPr>
              <w:t>73</w:t>
            </w:r>
          </w:p>
        </w:tc>
      </w:tr>
      <w:tr w:rsidR="00487563" w:rsidRPr="005114E7" w14:paraId="65D34C9A" w14:textId="77777777" w:rsidTr="007D4E28">
        <w:tc>
          <w:tcPr>
            <w:tcW w:w="998" w:type="pct"/>
            <w:shd w:val="clear" w:color="auto" w:fill="FAF9F8"/>
            <w:vAlign w:val="bottom"/>
          </w:tcPr>
          <w:p w14:paraId="614C20F0" w14:textId="6C09A771" w:rsidR="00487563" w:rsidRPr="005114E7" w:rsidRDefault="00487563" w:rsidP="00EF2C6E">
            <w:pPr>
              <w:rPr>
                <w:sz w:val="20"/>
                <w:szCs w:val="20"/>
              </w:rPr>
            </w:pPr>
            <w:r w:rsidRPr="005114E7">
              <w:rPr>
                <w:rFonts w:eastAsia="Times New Roman" w:cs="Calibri"/>
                <w:b/>
                <w:bCs/>
                <w:color w:val="000000"/>
                <w:lang w:val="mk" w:eastAsia="en-AU"/>
              </w:rPr>
              <w:t>Однесување на заедницата</w:t>
            </w:r>
          </w:p>
        </w:tc>
        <w:tc>
          <w:tcPr>
            <w:tcW w:w="714" w:type="pct"/>
            <w:shd w:val="clear" w:color="auto" w:fill="FAF9F8"/>
          </w:tcPr>
          <w:p w14:paraId="40988ABA" w14:textId="2DA6E197" w:rsidR="00487563" w:rsidRPr="005114E7" w:rsidRDefault="00487563" w:rsidP="006877D0">
            <w:pPr>
              <w:jc w:val="right"/>
              <w:rPr>
                <w:sz w:val="20"/>
                <w:szCs w:val="20"/>
              </w:rPr>
            </w:pPr>
            <w:r w:rsidRPr="005114E7">
              <w:rPr>
                <w:sz w:val="20"/>
                <w:szCs w:val="20"/>
              </w:rPr>
              <w:t>20</w:t>
            </w:r>
          </w:p>
        </w:tc>
        <w:tc>
          <w:tcPr>
            <w:tcW w:w="649" w:type="pct"/>
            <w:shd w:val="clear" w:color="auto" w:fill="FAF9F8"/>
          </w:tcPr>
          <w:p w14:paraId="370EDEDB" w14:textId="76292B67" w:rsidR="00487563" w:rsidRPr="005114E7" w:rsidRDefault="00487563" w:rsidP="006877D0">
            <w:pPr>
              <w:jc w:val="right"/>
              <w:rPr>
                <w:sz w:val="20"/>
                <w:szCs w:val="20"/>
              </w:rPr>
            </w:pPr>
            <w:r w:rsidRPr="005114E7">
              <w:rPr>
                <w:sz w:val="20"/>
                <w:szCs w:val="20"/>
              </w:rPr>
              <w:t>33</w:t>
            </w:r>
          </w:p>
        </w:tc>
        <w:tc>
          <w:tcPr>
            <w:tcW w:w="660" w:type="pct"/>
            <w:shd w:val="clear" w:color="auto" w:fill="FAF9F8"/>
          </w:tcPr>
          <w:p w14:paraId="508856DE" w14:textId="24730E8C" w:rsidR="00487563" w:rsidRPr="005114E7" w:rsidRDefault="00487563" w:rsidP="006877D0">
            <w:pPr>
              <w:jc w:val="right"/>
              <w:rPr>
                <w:sz w:val="20"/>
                <w:szCs w:val="20"/>
              </w:rPr>
            </w:pPr>
            <w:r w:rsidRPr="005114E7">
              <w:rPr>
                <w:sz w:val="20"/>
                <w:szCs w:val="20"/>
              </w:rPr>
              <w:t>10</w:t>
            </w:r>
          </w:p>
        </w:tc>
        <w:tc>
          <w:tcPr>
            <w:tcW w:w="659" w:type="pct"/>
            <w:shd w:val="clear" w:color="auto" w:fill="FAF9F8"/>
          </w:tcPr>
          <w:p w14:paraId="19795E4A" w14:textId="77777777" w:rsidR="00487563" w:rsidRPr="005114E7" w:rsidRDefault="00487563" w:rsidP="006877D0">
            <w:pPr>
              <w:jc w:val="right"/>
              <w:rPr>
                <w:sz w:val="20"/>
                <w:szCs w:val="20"/>
              </w:rPr>
            </w:pPr>
            <w:r w:rsidRPr="005114E7">
              <w:rPr>
                <w:sz w:val="20"/>
                <w:szCs w:val="20"/>
              </w:rPr>
              <w:t>0</w:t>
            </w:r>
          </w:p>
        </w:tc>
        <w:tc>
          <w:tcPr>
            <w:tcW w:w="660" w:type="pct"/>
            <w:shd w:val="clear" w:color="auto" w:fill="FAF9F8"/>
          </w:tcPr>
          <w:p w14:paraId="6022F5FA" w14:textId="77777777" w:rsidR="00487563" w:rsidRPr="005114E7" w:rsidRDefault="00487563" w:rsidP="006877D0">
            <w:pPr>
              <w:jc w:val="right"/>
              <w:rPr>
                <w:sz w:val="20"/>
                <w:szCs w:val="20"/>
              </w:rPr>
            </w:pPr>
            <w:r w:rsidRPr="005114E7">
              <w:rPr>
                <w:sz w:val="20"/>
                <w:szCs w:val="20"/>
              </w:rPr>
              <w:t>0</w:t>
            </w:r>
          </w:p>
        </w:tc>
        <w:tc>
          <w:tcPr>
            <w:tcW w:w="660" w:type="pct"/>
            <w:shd w:val="clear" w:color="auto" w:fill="FAF9F8"/>
          </w:tcPr>
          <w:p w14:paraId="0BFC36E9" w14:textId="772C3EF7" w:rsidR="00487563" w:rsidRPr="005114E7" w:rsidRDefault="00487563" w:rsidP="006877D0">
            <w:pPr>
              <w:jc w:val="right"/>
              <w:rPr>
                <w:sz w:val="20"/>
                <w:szCs w:val="20"/>
              </w:rPr>
            </w:pPr>
            <w:r w:rsidRPr="005114E7">
              <w:rPr>
                <w:sz w:val="20"/>
                <w:szCs w:val="20"/>
              </w:rPr>
              <w:t>63</w:t>
            </w:r>
          </w:p>
        </w:tc>
      </w:tr>
      <w:tr w:rsidR="00487563" w:rsidRPr="005114E7" w14:paraId="79E8D389" w14:textId="77777777" w:rsidTr="007D4E28">
        <w:tc>
          <w:tcPr>
            <w:tcW w:w="998" w:type="pct"/>
            <w:vAlign w:val="bottom"/>
          </w:tcPr>
          <w:p w14:paraId="762EA67B" w14:textId="7232EE16" w:rsidR="00487563" w:rsidRPr="005114E7" w:rsidRDefault="00487563" w:rsidP="00EF2C6E">
            <w:pPr>
              <w:rPr>
                <w:sz w:val="20"/>
                <w:szCs w:val="20"/>
              </w:rPr>
            </w:pPr>
            <w:r w:rsidRPr="005114E7">
              <w:rPr>
                <w:rFonts w:eastAsia="Times New Roman" w:cs="Calibri"/>
                <w:b/>
                <w:bCs/>
                <w:color w:val="000000"/>
                <w:lang w:val="mk" w:eastAsia="en-AU"/>
              </w:rPr>
              <w:t>Деца на предучилишна возраст</w:t>
            </w:r>
          </w:p>
        </w:tc>
        <w:tc>
          <w:tcPr>
            <w:tcW w:w="714" w:type="pct"/>
          </w:tcPr>
          <w:p w14:paraId="76B5A428" w14:textId="6D01DBB6" w:rsidR="00487563" w:rsidRPr="005114E7" w:rsidRDefault="00487563" w:rsidP="006877D0">
            <w:pPr>
              <w:jc w:val="right"/>
              <w:rPr>
                <w:sz w:val="20"/>
                <w:szCs w:val="20"/>
              </w:rPr>
            </w:pPr>
            <w:r w:rsidRPr="005114E7">
              <w:rPr>
                <w:sz w:val="20"/>
                <w:szCs w:val="20"/>
              </w:rPr>
              <w:t>20</w:t>
            </w:r>
          </w:p>
        </w:tc>
        <w:tc>
          <w:tcPr>
            <w:tcW w:w="649" w:type="pct"/>
          </w:tcPr>
          <w:p w14:paraId="31678CE4" w14:textId="2D6F0471" w:rsidR="00487563" w:rsidRPr="005114E7" w:rsidRDefault="00487563" w:rsidP="006877D0">
            <w:pPr>
              <w:jc w:val="right"/>
              <w:rPr>
                <w:sz w:val="20"/>
                <w:szCs w:val="20"/>
              </w:rPr>
            </w:pPr>
            <w:r w:rsidRPr="005114E7">
              <w:rPr>
                <w:sz w:val="20"/>
                <w:szCs w:val="20"/>
              </w:rPr>
              <w:t>43</w:t>
            </w:r>
          </w:p>
        </w:tc>
        <w:tc>
          <w:tcPr>
            <w:tcW w:w="660" w:type="pct"/>
          </w:tcPr>
          <w:p w14:paraId="6C94D221" w14:textId="170A28A9" w:rsidR="00487563" w:rsidRPr="005114E7" w:rsidRDefault="00487563" w:rsidP="006877D0">
            <w:pPr>
              <w:jc w:val="right"/>
              <w:rPr>
                <w:sz w:val="20"/>
                <w:szCs w:val="20"/>
              </w:rPr>
            </w:pPr>
            <w:r w:rsidRPr="005114E7">
              <w:rPr>
                <w:sz w:val="20"/>
                <w:szCs w:val="20"/>
              </w:rPr>
              <w:t>7</w:t>
            </w:r>
          </w:p>
        </w:tc>
        <w:tc>
          <w:tcPr>
            <w:tcW w:w="659" w:type="pct"/>
          </w:tcPr>
          <w:p w14:paraId="244E2AE2" w14:textId="77777777" w:rsidR="00487563" w:rsidRPr="005114E7" w:rsidRDefault="00487563" w:rsidP="006877D0">
            <w:pPr>
              <w:jc w:val="right"/>
              <w:rPr>
                <w:sz w:val="20"/>
                <w:szCs w:val="20"/>
              </w:rPr>
            </w:pPr>
            <w:r w:rsidRPr="005114E7">
              <w:rPr>
                <w:sz w:val="20"/>
                <w:szCs w:val="20"/>
              </w:rPr>
              <w:t>3</w:t>
            </w:r>
          </w:p>
        </w:tc>
        <w:tc>
          <w:tcPr>
            <w:tcW w:w="660" w:type="pct"/>
          </w:tcPr>
          <w:p w14:paraId="65CFF358" w14:textId="77777777" w:rsidR="00487563" w:rsidRPr="005114E7" w:rsidRDefault="00487563" w:rsidP="006877D0">
            <w:pPr>
              <w:jc w:val="right"/>
              <w:rPr>
                <w:sz w:val="20"/>
                <w:szCs w:val="20"/>
              </w:rPr>
            </w:pPr>
            <w:r w:rsidRPr="005114E7">
              <w:rPr>
                <w:sz w:val="20"/>
                <w:szCs w:val="20"/>
              </w:rPr>
              <w:t>1</w:t>
            </w:r>
          </w:p>
        </w:tc>
        <w:tc>
          <w:tcPr>
            <w:tcW w:w="660" w:type="pct"/>
          </w:tcPr>
          <w:p w14:paraId="194151B9" w14:textId="38B8663B" w:rsidR="00487563" w:rsidRPr="005114E7" w:rsidRDefault="00487563" w:rsidP="006877D0">
            <w:pPr>
              <w:jc w:val="right"/>
              <w:rPr>
                <w:sz w:val="20"/>
                <w:szCs w:val="20"/>
              </w:rPr>
            </w:pPr>
            <w:r w:rsidRPr="005114E7">
              <w:rPr>
                <w:sz w:val="20"/>
                <w:szCs w:val="20"/>
              </w:rPr>
              <w:t>74</w:t>
            </w:r>
          </w:p>
        </w:tc>
      </w:tr>
      <w:tr w:rsidR="00487563" w:rsidRPr="005114E7" w14:paraId="51E90B34" w14:textId="77777777" w:rsidTr="007D4E28">
        <w:tc>
          <w:tcPr>
            <w:tcW w:w="998" w:type="pct"/>
            <w:shd w:val="clear" w:color="auto" w:fill="FAF9F8"/>
            <w:vAlign w:val="bottom"/>
          </w:tcPr>
          <w:p w14:paraId="74082AD9" w14:textId="2ED002CC" w:rsidR="00487563" w:rsidRPr="005114E7" w:rsidRDefault="00487563" w:rsidP="00EF2C6E">
            <w:pPr>
              <w:rPr>
                <w:sz w:val="20"/>
                <w:szCs w:val="20"/>
              </w:rPr>
            </w:pPr>
            <w:r w:rsidRPr="005114E7">
              <w:rPr>
                <w:rFonts w:eastAsia="Times New Roman" w:cs="Calibri"/>
                <w:b/>
                <w:bCs/>
                <w:color w:val="000000"/>
                <w:lang w:val="mk" w:eastAsia="en-AU"/>
              </w:rPr>
              <w:t>Безбедност</w:t>
            </w:r>
          </w:p>
        </w:tc>
        <w:tc>
          <w:tcPr>
            <w:tcW w:w="714" w:type="pct"/>
            <w:shd w:val="clear" w:color="auto" w:fill="FAF9F8"/>
          </w:tcPr>
          <w:p w14:paraId="7860BF3D" w14:textId="77777777" w:rsidR="00487563" w:rsidRPr="005114E7" w:rsidRDefault="00487563" w:rsidP="006877D0">
            <w:pPr>
              <w:jc w:val="right"/>
              <w:rPr>
                <w:sz w:val="20"/>
                <w:szCs w:val="20"/>
              </w:rPr>
            </w:pPr>
            <w:r w:rsidRPr="005114E7">
              <w:rPr>
                <w:sz w:val="20"/>
                <w:szCs w:val="20"/>
              </w:rPr>
              <w:t>34</w:t>
            </w:r>
          </w:p>
        </w:tc>
        <w:tc>
          <w:tcPr>
            <w:tcW w:w="649" w:type="pct"/>
            <w:shd w:val="clear" w:color="auto" w:fill="FAF9F8"/>
          </w:tcPr>
          <w:p w14:paraId="32958378" w14:textId="77777777" w:rsidR="00487563" w:rsidRPr="005114E7" w:rsidRDefault="00487563" w:rsidP="006877D0">
            <w:pPr>
              <w:jc w:val="right"/>
              <w:rPr>
                <w:sz w:val="20"/>
                <w:szCs w:val="20"/>
              </w:rPr>
            </w:pPr>
            <w:r w:rsidRPr="005114E7">
              <w:rPr>
                <w:sz w:val="20"/>
                <w:szCs w:val="20"/>
              </w:rPr>
              <w:t>52</w:t>
            </w:r>
          </w:p>
        </w:tc>
        <w:tc>
          <w:tcPr>
            <w:tcW w:w="660" w:type="pct"/>
            <w:shd w:val="clear" w:color="auto" w:fill="FAF9F8"/>
          </w:tcPr>
          <w:p w14:paraId="2CE15342" w14:textId="77777777" w:rsidR="00487563" w:rsidRPr="005114E7" w:rsidRDefault="00487563" w:rsidP="006877D0">
            <w:pPr>
              <w:jc w:val="right"/>
              <w:rPr>
                <w:sz w:val="20"/>
                <w:szCs w:val="20"/>
              </w:rPr>
            </w:pPr>
            <w:r w:rsidRPr="005114E7">
              <w:rPr>
                <w:sz w:val="20"/>
                <w:szCs w:val="20"/>
              </w:rPr>
              <w:t>25</w:t>
            </w:r>
          </w:p>
        </w:tc>
        <w:tc>
          <w:tcPr>
            <w:tcW w:w="659" w:type="pct"/>
            <w:shd w:val="clear" w:color="auto" w:fill="FAF9F8"/>
          </w:tcPr>
          <w:p w14:paraId="5B43DB73" w14:textId="77777777" w:rsidR="00487563" w:rsidRPr="005114E7" w:rsidRDefault="00487563" w:rsidP="006877D0">
            <w:pPr>
              <w:jc w:val="right"/>
              <w:rPr>
                <w:sz w:val="20"/>
                <w:szCs w:val="20"/>
              </w:rPr>
            </w:pPr>
            <w:r w:rsidRPr="005114E7">
              <w:rPr>
                <w:sz w:val="20"/>
                <w:szCs w:val="20"/>
              </w:rPr>
              <w:t>4</w:t>
            </w:r>
          </w:p>
        </w:tc>
        <w:tc>
          <w:tcPr>
            <w:tcW w:w="660" w:type="pct"/>
            <w:shd w:val="clear" w:color="auto" w:fill="FAF9F8"/>
          </w:tcPr>
          <w:p w14:paraId="5546A7C3" w14:textId="77777777" w:rsidR="00487563" w:rsidRPr="005114E7" w:rsidRDefault="00487563" w:rsidP="006877D0">
            <w:pPr>
              <w:jc w:val="right"/>
              <w:rPr>
                <w:sz w:val="20"/>
                <w:szCs w:val="20"/>
              </w:rPr>
            </w:pPr>
            <w:r w:rsidRPr="005114E7">
              <w:rPr>
                <w:sz w:val="20"/>
                <w:szCs w:val="20"/>
              </w:rPr>
              <w:t>2</w:t>
            </w:r>
          </w:p>
        </w:tc>
        <w:tc>
          <w:tcPr>
            <w:tcW w:w="660" w:type="pct"/>
            <w:shd w:val="clear" w:color="auto" w:fill="FAF9F8"/>
          </w:tcPr>
          <w:p w14:paraId="7143D255" w14:textId="3F4AA248" w:rsidR="00487563" w:rsidRPr="005114E7" w:rsidRDefault="00487563" w:rsidP="006877D0">
            <w:pPr>
              <w:jc w:val="right"/>
              <w:rPr>
                <w:sz w:val="20"/>
                <w:szCs w:val="20"/>
              </w:rPr>
            </w:pPr>
            <w:r w:rsidRPr="005114E7">
              <w:rPr>
                <w:sz w:val="20"/>
                <w:szCs w:val="20"/>
              </w:rPr>
              <w:t>117</w:t>
            </w:r>
          </w:p>
        </w:tc>
      </w:tr>
      <w:tr w:rsidR="00487563" w:rsidRPr="005114E7" w14:paraId="2EE15BDB" w14:textId="77777777" w:rsidTr="007D4E28">
        <w:tc>
          <w:tcPr>
            <w:tcW w:w="998" w:type="pct"/>
            <w:vAlign w:val="bottom"/>
          </w:tcPr>
          <w:p w14:paraId="745F9B56" w14:textId="3B099F72" w:rsidR="00487563" w:rsidRPr="005114E7" w:rsidRDefault="00487563" w:rsidP="00EF2C6E">
            <w:pPr>
              <w:rPr>
                <w:sz w:val="20"/>
                <w:szCs w:val="20"/>
              </w:rPr>
            </w:pPr>
            <w:r w:rsidRPr="005114E7">
              <w:rPr>
                <w:rFonts w:eastAsia="Times New Roman" w:cs="Calibri"/>
                <w:b/>
                <w:bCs/>
                <w:color w:val="000000"/>
                <w:lang w:val="mk" w:eastAsia="en-AU"/>
              </w:rPr>
              <w:t>Делување во вонредни ситуации</w:t>
            </w:r>
          </w:p>
        </w:tc>
        <w:tc>
          <w:tcPr>
            <w:tcW w:w="714" w:type="pct"/>
          </w:tcPr>
          <w:p w14:paraId="12D71D18" w14:textId="77777777" w:rsidR="00487563" w:rsidRPr="005114E7" w:rsidRDefault="00487563" w:rsidP="006877D0">
            <w:pPr>
              <w:jc w:val="right"/>
              <w:rPr>
                <w:sz w:val="20"/>
                <w:szCs w:val="20"/>
              </w:rPr>
            </w:pPr>
            <w:r w:rsidRPr="005114E7">
              <w:rPr>
                <w:sz w:val="20"/>
                <w:szCs w:val="20"/>
              </w:rPr>
              <w:t>10</w:t>
            </w:r>
          </w:p>
        </w:tc>
        <w:tc>
          <w:tcPr>
            <w:tcW w:w="649" w:type="pct"/>
          </w:tcPr>
          <w:p w14:paraId="6183D618" w14:textId="77777777" w:rsidR="00487563" w:rsidRPr="005114E7" w:rsidRDefault="00487563" w:rsidP="006877D0">
            <w:pPr>
              <w:jc w:val="right"/>
              <w:rPr>
                <w:sz w:val="20"/>
                <w:szCs w:val="20"/>
              </w:rPr>
            </w:pPr>
            <w:r w:rsidRPr="005114E7">
              <w:rPr>
                <w:sz w:val="20"/>
                <w:szCs w:val="20"/>
              </w:rPr>
              <w:t>34</w:t>
            </w:r>
          </w:p>
        </w:tc>
        <w:tc>
          <w:tcPr>
            <w:tcW w:w="660" w:type="pct"/>
          </w:tcPr>
          <w:p w14:paraId="19B92F49" w14:textId="77777777" w:rsidR="00487563" w:rsidRPr="005114E7" w:rsidRDefault="00487563" w:rsidP="006877D0">
            <w:pPr>
              <w:jc w:val="right"/>
              <w:rPr>
                <w:sz w:val="20"/>
                <w:szCs w:val="20"/>
              </w:rPr>
            </w:pPr>
            <w:r w:rsidRPr="005114E7">
              <w:rPr>
                <w:sz w:val="20"/>
                <w:szCs w:val="20"/>
              </w:rPr>
              <w:t>3</w:t>
            </w:r>
          </w:p>
        </w:tc>
        <w:tc>
          <w:tcPr>
            <w:tcW w:w="659" w:type="pct"/>
          </w:tcPr>
          <w:p w14:paraId="7057D1D1" w14:textId="77777777" w:rsidR="00487563" w:rsidRPr="005114E7" w:rsidRDefault="00487563" w:rsidP="006877D0">
            <w:pPr>
              <w:jc w:val="right"/>
              <w:rPr>
                <w:sz w:val="20"/>
                <w:szCs w:val="20"/>
              </w:rPr>
            </w:pPr>
            <w:r w:rsidRPr="005114E7">
              <w:rPr>
                <w:sz w:val="20"/>
                <w:szCs w:val="20"/>
              </w:rPr>
              <w:t>0</w:t>
            </w:r>
          </w:p>
        </w:tc>
        <w:tc>
          <w:tcPr>
            <w:tcW w:w="660" w:type="pct"/>
          </w:tcPr>
          <w:p w14:paraId="74193802" w14:textId="77777777" w:rsidR="00487563" w:rsidRPr="005114E7" w:rsidRDefault="00487563" w:rsidP="006877D0">
            <w:pPr>
              <w:jc w:val="right"/>
              <w:rPr>
                <w:sz w:val="20"/>
                <w:szCs w:val="20"/>
              </w:rPr>
            </w:pPr>
            <w:r w:rsidRPr="005114E7">
              <w:rPr>
                <w:sz w:val="20"/>
                <w:szCs w:val="20"/>
              </w:rPr>
              <w:t>0</w:t>
            </w:r>
          </w:p>
        </w:tc>
        <w:tc>
          <w:tcPr>
            <w:tcW w:w="660" w:type="pct"/>
          </w:tcPr>
          <w:p w14:paraId="73C02F3E" w14:textId="151D6EB0" w:rsidR="00487563" w:rsidRPr="005114E7" w:rsidRDefault="00487563" w:rsidP="006877D0">
            <w:pPr>
              <w:jc w:val="right"/>
              <w:rPr>
                <w:sz w:val="20"/>
                <w:szCs w:val="20"/>
              </w:rPr>
            </w:pPr>
            <w:r w:rsidRPr="005114E7">
              <w:rPr>
                <w:sz w:val="20"/>
                <w:szCs w:val="20"/>
              </w:rPr>
              <w:t>47</w:t>
            </w:r>
          </w:p>
        </w:tc>
      </w:tr>
      <w:tr w:rsidR="00487563" w:rsidRPr="005114E7" w14:paraId="51DCAC69" w14:textId="77777777" w:rsidTr="007D4E28">
        <w:tc>
          <w:tcPr>
            <w:tcW w:w="998" w:type="pct"/>
            <w:shd w:val="clear" w:color="auto" w:fill="E4E9F3"/>
            <w:vAlign w:val="bottom"/>
          </w:tcPr>
          <w:p w14:paraId="168D9DA1" w14:textId="78A6E438" w:rsidR="00487563" w:rsidRPr="005114E7" w:rsidRDefault="00487563" w:rsidP="00EF2C6E">
            <w:pPr>
              <w:rPr>
                <w:b/>
                <w:sz w:val="20"/>
                <w:szCs w:val="20"/>
              </w:rPr>
            </w:pPr>
            <w:r w:rsidRPr="005114E7">
              <w:rPr>
                <w:rFonts w:eastAsia="Times New Roman" w:cs="Calibri"/>
                <w:b/>
                <w:bCs/>
                <w:color w:val="000000"/>
                <w:lang w:val="mk" w:eastAsia="en-AU"/>
              </w:rPr>
              <w:t>Вкупно</w:t>
            </w:r>
          </w:p>
        </w:tc>
        <w:tc>
          <w:tcPr>
            <w:tcW w:w="714" w:type="pct"/>
            <w:shd w:val="clear" w:color="auto" w:fill="E4E9F3"/>
          </w:tcPr>
          <w:p w14:paraId="51E4DE63" w14:textId="0B1A61B1" w:rsidR="00487563" w:rsidRPr="005114E7" w:rsidRDefault="00487563" w:rsidP="006877D0">
            <w:pPr>
              <w:jc w:val="right"/>
              <w:rPr>
                <w:b/>
                <w:sz w:val="20"/>
                <w:szCs w:val="20"/>
              </w:rPr>
            </w:pPr>
            <w:r w:rsidRPr="005114E7">
              <w:rPr>
                <w:b/>
                <w:sz w:val="20"/>
                <w:szCs w:val="20"/>
              </w:rPr>
              <w:t>101</w:t>
            </w:r>
          </w:p>
        </w:tc>
        <w:tc>
          <w:tcPr>
            <w:tcW w:w="649" w:type="pct"/>
            <w:shd w:val="clear" w:color="auto" w:fill="E4E9F3"/>
          </w:tcPr>
          <w:p w14:paraId="54345EF2" w14:textId="24155DF2" w:rsidR="00487563" w:rsidRPr="005114E7" w:rsidRDefault="00487563" w:rsidP="006877D0">
            <w:pPr>
              <w:jc w:val="right"/>
              <w:rPr>
                <w:b/>
                <w:sz w:val="20"/>
                <w:szCs w:val="20"/>
              </w:rPr>
            </w:pPr>
            <w:r w:rsidRPr="005114E7">
              <w:rPr>
                <w:b/>
                <w:sz w:val="20"/>
                <w:szCs w:val="20"/>
              </w:rPr>
              <w:t>209</w:t>
            </w:r>
          </w:p>
        </w:tc>
        <w:tc>
          <w:tcPr>
            <w:tcW w:w="660" w:type="pct"/>
            <w:shd w:val="clear" w:color="auto" w:fill="E4E9F3"/>
          </w:tcPr>
          <w:p w14:paraId="782B41BA" w14:textId="62C1D67E" w:rsidR="00487563" w:rsidRPr="005114E7" w:rsidRDefault="00487563" w:rsidP="006877D0">
            <w:pPr>
              <w:jc w:val="right"/>
              <w:rPr>
                <w:b/>
                <w:sz w:val="20"/>
                <w:szCs w:val="20"/>
              </w:rPr>
            </w:pPr>
            <w:r w:rsidRPr="005114E7">
              <w:rPr>
                <w:b/>
                <w:sz w:val="20"/>
                <w:szCs w:val="20"/>
              </w:rPr>
              <w:t>54</w:t>
            </w:r>
          </w:p>
        </w:tc>
        <w:tc>
          <w:tcPr>
            <w:tcW w:w="659" w:type="pct"/>
            <w:shd w:val="clear" w:color="auto" w:fill="E4E9F3"/>
          </w:tcPr>
          <w:p w14:paraId="2E857847" w14:textId="77777777" w:rsidR="00487563" w:rsidRPr="005114E7" w:rsidRDefault="00487563" w:rsidP="006877D0">
            <w:pPr>
              <w:jc w:val="right"/>
              <w:rPr>
                <w:b/>
                <w:sz w:val="20"/>
                <w:szCs w:val="20"/>
              </w:rPr>
            </w:pPr>
            <w:r w:rsidRPr="005114E7">
              <w:rPr>
                <w:b/>
                <w:sz w:val="20"/>
                <w:szCs w:val="20"/>
              </w:rPr>
              <w:t>7</w:t>
            </w:r>
          </w:p>
        </w:tc>
        <w:tc>
          <w:tcPr>
            <w:tcW w:w="660" w:type="pct"/>
            <w:shd w:val="clear" w:color="auto" w:fill="E4E9F3"/>
          </w:tcPr>
          <w:p w14:paraId="5164116F" w14:textId="77777777" w:rsidR="00487563" w:rsidRPr="005114E7" w:rsidRDefault="00487563" w:rsidP="006877D0">
            <w:pPr>
              <w:jc w:val="right"/>
              <w:rPr>
                <w:b/>
                <w:sz w:val="20"/>
                <w:szCs w:val="20"/>
              </w:rPr>
            </w:pPr>
            <w:r w:rsidRPr="005114E7">
              <w:rPr>
                <w:b/>
                <w:sz w:val="20"/>
                <w:szCs w:val="20"/>
              </w:rPr>
              <w:t>3</w:t>
            </w:r>
          </w:p>
        </w:tc>
        <w:tc>
          <w:tcPr>
            <w:tcW w:w="660" w:type="pct"/>
            <w:shd w:val="clear" w:color="auto" w:fill="E4E9F3"/>
          </w:tcPr>
          <w:p w14:paraId="4FD8F931" w14:textId="45DF428E" w:rsidR="00487563" w:rsidRPr="005114E7" w:rsidRDefault="00487563" w:rsidP="006877D0">
            <w:pPr>
              <w:jc w:val="right"/>
              <w:rPr>
                <w:b/>
                <w:sz w:val="20"/>
                <w:szCs w:val="20"/>
              </w:rPr>
            </w:pPr>
            <w:r w:rsidRPr="005114E7">
              <w:rPr>
                <w:b/>
                <w:sz w:val="20"/>
                <w:szCs w:val="20"/>
              </w:rPr>
              <w:t>374</w:t>
            </w:r>
          </w:p>
        </w:tc>
      </w:tr>
      <w:tr w:rsidR="00487563" w:rsidRPr="005114E7" w14:paraId="1AF5935D" w14:textId="77777777" w:rsidTr="007D4E28">
        <w:tc>
          <w:tcPr>
            <w:tcW w:w="998" w:type="pct"/>
            <w:vAlign w:val="bottom"/>
          </w:tcPr>
          <w:p w14:paraId="19CF094B" w14:textId="2A1C7BA1" w:rsidR="00487563" w:rsidRPr="005114E7" w:rsidRDefault="00487563" w:rsidP="00EF2C6E">
            <w:pPr>
              <w:rPr>
                <w:b/>
                <w:sz w:val="20"/>
                <w:szCs w:val="20"/>
              </w:rPr>
            </w:pPr>
            <w:r w:rsidRPr="005114E7">
              <w:rPr>
                <w:rFonts w:eastAsia="Times New Roman" w:cs="Calibri"/>
                <w:b/>
                <w:bCs/>
                <w:color w:val="000000"/>
                <w:lang w:val="mk" w:eastAsia="en-AU"/>
              </w:rPr>
              <w:t>Проценти</w:t>
            </w:r>
          </w:p>
        </w:tc>
        <w:tc>
          <w:tcPr>
            <w:tcW w:w="714" w:type="pct"/>
          </w:tcPr>
          <w:p w14:paraId="36A45139" w14:textId="6DE9E78A" w:rsidR="00487563" w:rsidRPr="005114E7" w:rsidRDefault="00487563" w:rsidP="006877D0">
            <w:pPr>
              <w:jc w:val="right"/>
              <w:rPr>
                <w:b/>
                <w:sz w:val="20"/>
                <w:szCs w:val="20"/>
              </w:rPr>
            </w:pPr>
            <w:r w:rsidRPr="005114E7">
              <w:rPr>
                <w:b/>
                <w:sz w:val="20"/>
                <w:szCs w:val="20"/>
              </w:rPr>
              <w:t>27%</w:t>
            </w:r>
          </w:p>
        </w:tc>
        <w:tc>
          <w:tcPr>
            <w:tcW w:w="649" w:type="pct"/>
          </w:tcPr>
          <w:p w14:paraId="58CCBC6A" w14:textId="5A33EFA6" w:rsidR="00487563" w:rsidRPr="005114E7" w:rsidRDefault="00487563" w:rsidP="006877D0">
            <w:pPr>
              <w:jc w:val="right"/>
              <w:rPr>
                <w:b/>
                <w:sz w:val="20"/>
                <w:szCs w:val="20"/>
              </w:rPr>
            </w:pPr>
            <w:r w:rsidRPr="005114E7">
              <w:rPr>
                <w:b/>
                <w:sz w:val="20"/>
                <w:szCs w:val="20"/>
              </w:rPr>
              <w:t>56%</w:t>
            </w:r>
          </w:p>
        </w:tc>
        <w:tc>
          <w:tcPr>
            <w:tcW w:w="660" w:type="pct"/>
          </w:tcPr>
          <w:p w14:paraId="41651E00" w14:textId="157DA2A7" w:rsidR="00487563" w:rsidRPr="005114E7" w:rsidRDefault="00487563" w:rsidP="006877D0">
            <w:pPr>
              <w:jc w:val="right"/>
              <w:rPr>
                <w:b/>
                <w:sz w:val="20"/>
                <w:szCs w:val="20"/>
              </w:rPr>
            </w:pPr>
            <w:r w:rsidRPr="005114E7">
              <w:rPr>
                <w:b/>
                <w:sz w:val="20"/>
                <w:szCs w:val="20"/>
              </w:rPr>
              <w:t>14%</w:t>
            </w:r>
          </w:p>
        </w:tc>
        <w:tc>
          <w:tcPr>
            <w:tcW w:w="659" w:type="pct"/>
          </w:tcPr>
          <w:p w14:paraId="5F3CCAA1" w14:textId="0427F666" w:rsidR="00487563" w:rsidRPr="005114E7" w:rsidRDefault="00487563" w:rsidP="006877D0">
            <w:pPr>
              <w:jc w:val="right"/>
              <w:rPr>
                <w:b/>
                <w:sz w:val="20"/>
                <w:szCs w:val="20"/>
              </w:rPr>
            </w:pPr>
            <w:r w:rsidRPr="005114E7">
              <w:rPr>
                <w:b/>
                <w:sz w:val="20"/>
                <w:szCs w:val="20"/>
              </w:rPr>
              <w:t>2%</w:t>
            </w:r>
          </w:p>
        </w:tc>
        <w:tc>
          <w:tcPr>
            <w:tcW w:w="660" w:type="pct"/>
          </w:tcPr>
          <w:p w14:paraId="3A365A28" w14:textId="7511F897" w:rsidR="00487563" w:rsidRPr="005114E7" w:rsidRDefault="00487563" w:rsidP="006877D0">
            <w:pPr>
              <w:jc w:val="right"/>
              <w:rPr>
                <w:b/>
                <w:sz w:val="20"/>
                <w:szCs w:val="20"/>
              </w:rPr>
            </w:pPr>
            <w:r w:rsidRPr="005114E7">
              <w:rPr>
                <w:b/>
                <w:sz w:val="20"/>
                <w:szCs w:val="20"/>
              </w:rPr>
              <w:t>1%</w:t>
            </w:r>
          </w:p>
        </w:tc>
        <w:tc>
          <w:tcPr>
            <w:tcW w:w="660" w:type="pct"/>
          </w:tcPr>
          <w:p w14:paraId="355F1000" w14:textId="77777777" w:rsidR="00487563" w:rsidRPr="005114E7" w:rsidRDefault="00487563" w:rsidP="006877D0">
            <w:pPr>
              <w:jc w:val="right"/>
              <w:rPr>
                <w:b/>
                <w:sz w:val="20"/>
                <w:szCs w:val="20"/>
              </w:rPr>
            </w:pPr>
          </w:p>
        </w:tc>
      </w:tr>
    </w:tbl>
    <w:p w14:paraId="729C1DC3" w14:textId="7EBE1C84" w:rsidR="001227BC" w:rsidRPr="005114E7" w:rsidRDefault="007D4E28" w:rsidP="00B30536">
      <w:pPr>
        <w:spacing w:before="240"/>
        <w:rPr>
          <w:sz w:val="20"/>
          <w:szCs w:val="20"/>
        </w:rPr>
      </w:pPr>
      <w:r w:rsidRPr="005114E7">
        <w:rPr>
          <w:rFonts w:cs="Arial"/>
          <w:sz w:val="20"/>
          <w:szCs w:val="20"/>
          <w:lang w:val="mk-MK"/>
        </w:rPr>
        <w:t>Напомена: Вкупниот збир на процентите можеби не изнесува 100 поради заокружувањето на децималите.</w:t>
      </w:r>
    </w:p>
    <w:p w14:paraId="5DF15335" w14:textId="18087F63" w:rsidR="00B30536" w:rsidRPr="005114E7" w:rsidRDefault="00B30536">
      <w:r w:rsidRPr="005114E7">
        <w:br w:type="page"/>
      </w:r>
    </w:p>
    <w:p w14:paraId="0C4D47F4" w14:textId="269D0594" w:rsidR="008E35C9" w:rsidRPr="005114E7" w:rsidRDefault="00AF5412" w:rsidP="00BF0891">
      <w:pPr>
        <w:pStyle w:val="Heading1"/>
      </w:pPr>
      <w:bookmarkStart w:id="6" w:name="_Toc153454130"/>
      <w:r w:rsidRPr="005114E7">
        <w:rPr>
          <w:rFonts w:cs="Arial"/>
          <w:lang w:val="mk-MK"/>
        </w:rPr>
        <w:lastRenderedPageBreak/>
        <w:t>План за насочена акција за вработување</w:t>
      </w:r>
      <w:bookmarkEnd w:id="6"/>
    </w:p>
    <w:p w14:paraId="7AB3C8BD" w14:textId="57023C29" w:rsidR="008E35C9" w:rsidRPr="005114E7" w:rsidRDefault="00AF5412" w:rsidP="00515A1C">
      <w:pPr>
        <w:pStyle w:val="Heading2"/>
        <w:pBdr>
          <w:top w:val="none" w:sz="0" w:space="0" w:color="auto"/>
        </w:pBdr>
      </w:pPr>
      <w:bookmarkStart w:id="7" w:name="_Toc153454131"/>
      <w:r w:rsidRPr="005114E7">
        <w:rPr>
          <w:rFonts w:cs="Arial"/>
          <w:lang w:val="mk-MK"/>
        </w:rPr>
        <w:t>Вовед</w:t>
      </w:r>
      <w:bookmarkEnd w:id="7"/>
    </w:p>
    <w:p w14:paraId="68FBED13" w14:textId="77777777" w:rsidR="004D4EE6" w:rsidRPr="005114E7" w:rsidRDefault="004D4EE6" w:rsidP="004D4EE6">
      <w:pPr>
        <w:spacing w:before="240" w:after="240" w:line="240" w:lineRule="auto"/>
        <w:rPr>
          <w:rFonts w:cs="Arial"/>
        </w:rPr>
      </w:pPr>
      <w:r w:rsidRPr="005114E7">
        <w:rPr>
          <w:rFonts w:cs="Arial"/>
          <w:lang w:val="mk-MK"/>
        </w:rPr>
        <w:t xml:space="preserve">Планот </w:t>
      </w:r>
      <w:r w:rsidRPr="005114E7">
        <w:rPr>
          <w:rFonts w:cs="Arial"/>
        </w:rPr>
        <w:t>TAP</w:t>
      </w:r>
      <w:r w:rsidRPr="005114E7">
        <w:rPr>
          <w:rFonts w:cs="Arial"/>
          <w:lang w:val="mk-MK"/>
        </w:rPr>
        <w:t xml:space="preserve"> за вработување (</w:t>
      </w:r>
      <w:r w:rsidRPr="005114E7">
        <w:rPr>
          <w:rFonts w:cs="Arial"/>
        </w:rPr>
        <w:t>Employment TAP</w:t>
      </w:r>
      <w:r w:rsidRPr="005114E7">
        <w:rPr>
          <w:rFonts w:cs="Arial"/>
          <w:lang w:val="mk-MK"/>
        </w:rPr>
        <w:t>) има цел да поттикне напредок во однос на областа во којашто треба да се постигнат резултати во поглед на вработувањето и финансиската сигурност (</w:t>
      </w:r>
      <w:r w:rsidRPr="005114E7">
        <w:rPr>
          <w:rFonts w:cs="Arial"/>
        </w:rPr>
        <w:t>Employment and Financial Security Outcome Area</w:t>
      </w:r>
      <w:r w:rsidRPr="005114E7">
        <w:rPr>
          <w:rFonts w:cs="Arial"/>
          <w:lang w:val="mk-MK"/>
        </w:rPr>
        <w:t>) на Стратегијата</w:t>
      </w:r>
      <w:r w:rsidRPr="005114E7">
        <w:rPr>
          <w:rFonts w:cs="Arial"/>
        </w:rPr>
        <w:t xml:space="preserve"> ADS. </w:t>
      </w:r>
    </w:p>
    <w:p w14:paraId="23C2EE83" w14:textId="77777777" w:rsidR="004D4EE6" w:rsidRPr="005114E7" w:rsidRDefault="004D4EE6" w:rsidP="004D4EE6">
      <w:pPr>
        <w:spacing w:before="240" w:after="240" w:line="240" w:lineRule="auto"/>
        <w:rPr>
          <w:rFonts w:cs="Arial"/>
        </w:rPr>
      </w:pPr>
      <w:r w:rsidRPr="005114E7">
        <w:rPr>
          <w:rFonts w:cs="Arial"/>
          <w:lang w:val="mk-MK"/>
        </w:rPr>
        <w:t>Оваа област во којашто треба да се постигнат резултати се стреми да осигури дека луѓето со онеспособеност имаат економска сигурност, а тоа им овозможува да прават планови за иднината и да имаат избор и контрола врз својот живот.</w:t>
      </w:r>
      <w:r w:rsidRPr="005114E7">
        <w:rPr>
          <w:rFonts w:cs="Arial"/>
        </w:rPr>
        <w:t xml:space="preserve"> </w:t>
      </w:r>
    </w:p>
    <w:p w14:paraId="0844CDB1" w14:textId="77777777" w:rsidR="004D4EE6" w:rsidRPr="005114E7" w:rsidRDefault="004D4EE6" w:rsidP="004D4EE6">
      <w:pPr>
        <w:spacing w:before="240" w:after="240" w:line="240" w:lineRule="auto"/>
        <w:rPr>
          <w:rFonts w:cs="Arial"/>
        </w:rPr>
      </w:pPr>
      <w:r w:rsidRPr="005114E7">
        <w:rPr>
          <w:rFonts w:cs="Arial"/>
          <w:lang w:val="mk-MK"/>
        </w:rPr>
        <w:t>Клучен составен дел на економската сигурност е вработувањето и овој план</w:t>
      </w:r>
      <w:r w:rsidRPr="005114E7">
        <w:rPr>
          <w:rFonts w:cs="Arial"/>
        </w:rPr>
        <w:t xml:space="preserve"> TAP</w:t>
      </w:r>
      <w:r w:rsidRPr="005114E7">
        <w:rPr>
          <w:rFonts w:cs="Arial"/>
          <w:lang w:val="mk-MK"/>
        </w:rPr>
        <w:t xml:space="preserve"> ќе даде клучен придонес за оваа област во којашто треба да се постигнат резултати.</w:t>
      </w:r>
      <w:r w:rsidRPr="005114E7">
        <w:rPr>
          <w:rFonts w:cs="Arial"/>
        </w:rPr>
        <w:t xml:space="preserve"> </w:t>
      </w:r>
    </w:p>
    <w:p w14:paraId="5293B852" w14:textId="77777777" w:rsidR="004D4EE6" w:rsidRPr="005114E7" w:rsidRDefault="004D4EE6" w:rsidP="004D4EE6">
      <w:pPr>
        <w:spacing w:before="240" w:after="240" w:line="240" w:lineRule="auto"/>
        <w:rPr>
          <w:rFonts w:cs="Arial"/>
        </w:rPr>
      </w:pPr>
      <w:r w:rsidRPr="005114E7">
        <w:rPr>
          <w:rFonts w:cs="Arial"/>
          <w:lang w:val="mk-MK"/>
        </w:rPr>
        <w:t xml:space="preserve">Планот </w:t>
      </w:r>
      <w:r w:rsidRPr="005114E7">
        <w:rPr>
          <w:rFonts w:cs="Arial"/>
        </w:rPr>
        <w:t>TAP</w:t>
      </w:r>
      <w:r w:rsidRPr="005114E7">
        <w:rPr>
          <w:rFonts w:cs="Arial"/>
          <w:lang w:val="mk-MK"/>
        </w:rPr>
        <w:t xml:space="preserve"> за вработување опфаќа 73 акции од страна на австралиската влада и владите на државите и териториите за коишто се поднесува извештај за периодот </w:t>
      </w:r>
      <w:r w:rsidRPr="005114E7">
        <w:rPr>
          <w:rFonts w:cs="Arial"/>
        </w:rPr>
        <w:t>2022-2023</w:t>
      </w:r>
      <w:r w:rsidRPr="005114E7">
        <w:rPr>
          <w:rFonts w:cs="Arial"/>
          <w:lang w:val="mk-MK"/>
        </w:rPr>
        <w:t xml:space="preserve"> г.</w:t>
      </w:r>
    </w:p>
    <w:p w14:paraId="0A047B54" w14:textId="08130466" w:rsidR="004D4EE6" w:rsidRPr="005114E7" w:rsidRDefault="004D4EE6" w:rsidP="004D4EE6">
      <w:pPr>
        <w:spacing w:before="240" w:after="240" w:line="240" w:lineRule="auto"/>
      </w:pPr>
      <w:r w:rsidRPr="005114E7">
        <w:rPr>
          <w:rFonts w:cs="Arial"/>
          <w:lang w:val="mk-MK"/>
        </w:rPr>
        <w:t>Тука спаѓаат акции што ќе испорачаат пробни програми за вработување за да ги поврзат луѓето со онеспособеност со оние области во коишто недостига квалификувана работна сила, ќе работат на зголемување на стапката на вработеност на лицата со онеспособеност во јавните служби и ќе поттикнат подобрувања на програмите за вработување.</w:t>
      </w:r>
    </w:p>
    <w:p w14:paraId="4C75F9D2" w14:textId="1280F4A9" w:rsidR="00FC59E6" w:rsidRPr="005114E7" w:rsidRDefault="00AF5412" w:rsidP="00B30536">
      <w:pPr>
        <w:pStyle w:val="Heading2"/>
      </w:pPr>
      <w:bookmarkStart w:id="8" w:name="_Toc153454132"/>
      <w:r w:rsidRPr="005114E7">
        <w:rPr>
          <w:rFonts w:cs="Arial"/>
          <w:lang w:val="mk-MK"/>
        </w:rPr>
        <w:t>Цели</w:t>
      </w:r>
      <w:bookmarkEnd w:id="8"/>
    </w:p>
    <w:p w14:paraId="64FDC062" w14:textId="2959BA65" w:rsidR="00FC59E6" w:rsidRPr="005114E7" w:rsidRDefault="00FC59E6" w:rsidP="00FC59E6">
      <w:pPr>
        <w:spacing w:after="120" w:line="240" w:lineRule="auto"/>
        <w:ind w:left="426" w:hanging="426"/>
      </w:pPr>
      <w:r w:rsidRPr="005114E7">
        <w:t>1.</w:t>
      </w:r>
      <w:r w:rsidRPr="005114E7">
        <w:tab/>
      </w:r>
      <w:r w:rsidR="004D4EE6" w:rsidRPr="005114E7">
        <w:rPr>
          <w:rFonts w:cs="Arial"/>
          <w:lang w:val="mk-MK"/>
        </w:rPr>
        <w:t>Да се зголеми стапката на вработеност на луѓето со онеспособеност</w:t>
      </w:r>
      <w:r w:rsidR="004D4EE6" w:rsidRPr="005114E7">
        <w:rPr>
          <w:rFonts w:cs="Arial"/>
        </w:rPr>
        <w:t>.</w:t>
      </w:r>
    </w:p>
    <w:p w14:paraId="75CA5A4C" w14:textId="7FA7CF04" w:rsidR="00FC59E6" w:rsidRPr="005114E7" w:rsidRDefault="00FC59E6" w:rsidP="00FC59E6">
      <w:pPr>
        <w:spacing w:after="120" w:line="240" w:lineRule="auto"/>
        <w:ind w:left="426" w:hanging="426"/>
      </w:pPr>
      <w:r w:rsidRPr="005114E7">
        <w:t>2.</w:t>
      </w:r>
      <w:r w:rsidRPr="005114E7">
        <w:tab/>
      </w:r>
      <w:r w:rsidR="004D4EE6" w:rsidRPr="005114E7">
        <w:rPr>
          <w:rFonts w:cs="Arial"/>
          <w:lang w:val="mk-MK"/>
        </w:rPr>
        <w:t>Да се подобри преминот на младите луѓе со онеспособеност од училишните клупи во работната сила</w:t>
      </w:r>
      <w:r w:rsidR="004D4EE6" w:rsidRPr="005114E7">
        <w:rPr>
          <w:rFonts w:cs="Arial"/>
        </w:rPr>
        <w:t xml:space="preserve">. </w:t>
      </w:r>
      <w:r w:rsidRPr="005114E7">
        <w:t xml:space="preserve"> </w:t>
      </w:r>
    </w:p>
    <w:p w14:paraId="09830886" w14:textId="02EAB1F5" w:rsidR="00FC59E6" w:rsidRPr="005114E7" w:rsidRDefault="00FC59E6">
      <w:r w:rsidRPr="005114E7">
        <w:br w:type="page"/>
      </w:r>
    </w:p>
    <w:p w14:paraId="4EEE85DA" w14:textId="361969BC" w:rsidR="008E35C9" w:rsidRPr="005114E7" w:rsidRDefault="00F530FF" w:rsidP="0066071F">
      <w:pPr>
        <w:rPr>
          <w:b/>
          <w:bCs/>
          <w:color w:val="6C1740"/>
          <w:sz w:val="94"/>
          <w:szCs w:val="94"/>
        </w:rPr>
      </w:pPr>
      <w:proofErr w:type="spellStart"/>
      <w:r w:rsidRPr="005114E7">
        <w:rPr>
          <w:b/>
          <w:bCs/>
          <w:color w:val="6C1740"/>
          <w:sz w:val="94"/>
          <w:szCs w:val="94"/>
        </w:rPr>
        <w:lastRenderedPageBreak/>
        <w:t>План</w:t>
      </w:r>
      <w:proofErr w:type="spellEnd"/>
      <w:r w:rsidRPr="005114E7">
        <w:rPr>
          <w:b/>
          <w:bCs/>
          <w:color w:val="6C1740"/>
          <w:sz w:val="94"/>
          <w:szCs w:val="94"/>
        </w:rPr>
        <w:t xml:space="preserve"> TAP </w:t>
      </w:r>
      <w:proofErr w:type="spellStart"/>
      <w:r w:rsidRPr="005114E7">
        <w:rPr>
          <w:b/>
          <w:bCs/>
          <w:color w:val="6C1740"/>
          <w:sz w:val="94"/>
          <w:szCs w:val="94"/>
        </w:rPr>
        <w:t>за</w:t>
      </w:r>
      <w:proofErr w:type="spellEnd"/>
      <w:r w:rsidRPr="005114E7">
        <w:rPr>
          <w:b/>
          <w:bCs/>
          <w:color w:val="6C1740"/>
          <w:sz w:val="94"/>
          <w:szCs w:val="94"/>
        </w:rPr>
        <w:t xml:space="preserve"> </w:t>
      </w:r>
      <w:proofErr w:type="spellStart"/>
      <w:r w:rsidRPr="005114E7">
        <w:rPr>
          <w:b/>
          <w:bCs/>
          <w:color w:val="6C1740"/>
          <w:sz w:val="94"/>
          <w:szCs w:val="94"/>
        </w:rPr>
        <w:t>вработување</w:t>
      </w:r>
      <w:proofErr w:type="spellEnd"/>
    </w:p>
    <w:p w14:paraId="51474833" w14:textId="501F3F73" w:rsidR="008E35C9" w:rsidRPr="005114E7" w:rsidRDefault="00F530FF" w:rsidP="00B30536">
      <w:pPr>
        <w:spacing w:before="240" w:after="240" w:line="240" w:lineRule="auto"/>
      </w:pPr>
      <w:r w:rsidRPr="005114E7">
        <w:rPr>
          <w:rFonts w:cs="Arial"/>
          <w:lang w:val="mk-MK"/>
        </w:rPr>
        <w:t xml:space="preserve">Табела 3: Планот </w:t>
      </w:r>
      <w:r w:rsidRPr="005114E7">
        <w:rPr>
          <w:rFonts w:cs="Arial"/>
        </w:rPr>
        <w:t>TAP</w:t>
      </w:r>
      <w:r w:rsidRPr="005114E7">
        <w:rPr>
          <w:rFonts w:cs="Arial"/>
          <w:lang w:val="mk-MK"/>
        </w:rPr>
        <w:t xml:space="preserve"> за вработување – напредување на акциите преземени од владата во </w:t>
      </w:r>
      <w:r w:rsidRPr="005114E7">
        <w:rPr>
          <w:rFonts w:cs="Arial"/>
        </w:rPr>
        <w:t>2022-2023</w:t>
      </w:r>
      <w:r w:rsidRPr="005114E7">
        <w:rPr>
          <w:rFonts w:cs="Arial"/>
          <w:lang w:val="mk-MK"/>
        </w:rPr>
        <w:t xml:space="preserve"> г.</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658"/>
        <w:gridCol w:w="1319"/>
        <w:gridCol w:w="1227"/>
        <w:gridCol w:w="1259"/>
        <w:gridCol w:w="1259"/>
        <w:gridCol w:w="1260"/>
        <w:gridCol w:w="1260"/>
      </w:tblGrid>
      <w:tr w:rsidR="00F459C7" w:rsidRPr="005114E7" w14:paraId="7158EFA4" w14:textId="77777777" w:rsidTr="00F459C7">
        <w:tc>
          <w:tcPr>
            <w:tcW w:w="797" w:type="pct"/>
            <w:tcBorders>
              <w:top w:val="nil"/>
              <w:bottom w:val="single" w:sz="4" w:space="0" w:color="auto"/>
              <w:right w:val="single" w:sz="4" w:space="0" w:color="FFFFFF" w:themeColor="background1"/>
            </w:tcBorders>
            <w:shd w:val="clear" w:color="auto" w:fill="6C1740"/>
          </w:tcPr>
          <w:p w14:paraId="23D0A7CC" w14:textId="46096D3D" w:rsidR="00F459C7" w:rsidRPr="005114E7" w:rsidRDefault="00F459C7" w:rsidP="008F6E78">
            <w:pPr>
              <w:rPr>
                <w:b/>
                <w:sz w:val="20"/>
                <w:szCs w:val="20"/>
              </w:rPr>
            </w:pPr>
            <w:bookmarkStart w:id="9" w:name="Title_03"/>
            <w:bookmarkEnd w:id="9"/>
            <w:r w:rsidRPr="005114E7">
              <w:rPr>
                <w:rFonts w:eastAsia="Times New Roman" w:cs="Calibri"/>
                <w:b/>
                <w:bCs/>
                <w:color w:val="FFFFFF" w:themeColor="background1"/>
                <w:lang w:val="mk" w:eastAsia="en-AU"/>
              </w:rPr>
              <w:t>Влада</w:t>
            </w:r>
          </w:p>
        </w:tc>
        <w:tc>
          <w:tcPr>
            <w:tcW w:w="714"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7D8656AF" w:rsidR="00F459C7" w:rsidRPr="005114E7" w:rsidRDefault="00F459C7" w:rsidP="00B30536">
            <w:pPr>
              <w:jc w:val="right"/>
              <w:rPr>
                <w:b/>
                <w:sz w:val="20"/>
                <w:szCs w:val="20"/>
              </w:rPr>
            </w:pPr>
            <w:r w:rsidRPr="005114E7">
              <w:rPr>
                <w:rFonts w:eastAsia="Times New Roman" w:cs="Calibri"/>
                <w:b/>
                <w:bCs/>
                <w:color w:val="FFFFFF" w:themeColor="background1"/>
                <w:lang w:val="mk" w:eastAsia="en-AU"/>
              </w:rPr>
              <w:t>Завршено</w:t>
            </w:r>
          </w:p>
        </w:tc>
        <w:tc>
          <w:tcPr>
            <w:tcW w:w="697"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2F457126" w:rsidR="00F459C7" w:rsidRPr="005114E7" w:rsidRDefault="00F459C7" w:rsidP="00B30536">
            <w:pPr>
              <w:jc w:val="right"/>
              <w:rPr>
                <w:b/>
                <w:sz w:val="20"/>
                <w:szCs w:val="20"/>
              </w:rPr>
            </w:pPr>
            <w:r w:rsidRPr="005114E7">
              <w:rPr>
                <w:rFonts w:eastAsia="Times New Roman" w:cs="Calibri"/>
                <w:b/>
                <w:bCs/>
                <w:color w:val="FFFFFF" w:themeColor="background1"/>
                <w:lang w:val="mk" w:eastAsia="en-AU"/>
              </w:rPr>
              <w:t>Навреме</w:t>
            </w:r>
          </w:p>
        </w:tc>
        <w:tc>
          <w:tcPr>
            <w:tcW w:w="698"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5DEA97FD" w:rsidR="00F459C7" w:rsidRPr="005114E7" w:rsidRDefault="00F459C7" w:rsidP="00B30536">
            <w:pPr>
              <w:jc w:val="right"/>
              <w:rPr>
                <w:b/>
                <w:sz w:val="20"/>
                <w:szCs w:val="20"/>
              </w:rPr>
            </w:pPr>
            <w:r w:rsidRPr="005114E7">
              <w:rPr>
                <w:rFonts w:eastAsia="Times New Roman" w:cs="Calibri"/>
                <w:b/>
                <w:bCs/>
                <w:color w:val="FFFFFF" w:themeColor="background1"/>
                <w:lang w:val="mk" w:eastAsia="en-AU"/>
              </w:rPr>
              <w:t>Доцнење</w:t>
            </w:r>
          </w:p>
        </w:tc>
        <w:tc>
          <w:tcPr>
            <w:tcW w:w="698"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200F3CB4" w:rsidR="00F459C7" w:rsidRPr="005114E7" w:rsidRDefault="00F459C7" w:rsidP="00B30536">
            <w:pPr>
              <w:jc w:val="right"/>
              <w:rPr>
                <w:b/>
                <w:sz w:val="20"/>
                <w:szCs w:val="20"/>
              </w:rPr>
            </w:pPr>
            <w:r w:rsidRPr="005114E7">
              <w:rPr>
                <w:rFonts w:eastAsia="Times New Roman" w:cs="Calibri"/>
                <w:b/>
                <w:bCs/>
                <w:color w:val="FFFFFF" w:themeColor="background1"/>
                <w:lang w:val="mk" w:eastAsia="en-AU"/>
              </w:rPr>
              <w:t>Паузира</w:t>
            </w:r>
          </w:p>
        </w:tc>
        <w:tc>
          <w:tcPr>
            <w:tcW w:w="698"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100A98A7" w:rsidR="00F459C7" w:rsidRPr="005114E7" w:rsidRDefault="00F459C7" w:rsidP="00B30536">
            <w:pPr>
              <w:jc w:val="right"/>
              <w:rPr>
                <w:b/>
                <w:sz w:val="20"/>
                <w:szCs w:val="20"/>
              </w:rPr>
            </w:pPr>
            <w:r w:rsidRPr="005114E7">
              <w:rPr>
                <w:rFonts w:eastAsia="Times New Roman" w:cs="Calibri"/>
                <w:b/>
                <w:bCs/>
                <w:color w:val="FFFFFF" w:themeColor="background1"/>
                <w:lang w:val="mk" w:eastAsia="en-AU"/>
              </w:rPr>
              <w:t>Ќе започне во иднина</w:t>
            </w:r>
          </w:p>
        </w:tc>
        <w:tc>
          <w:tcPr>
            <w:tcW w:w="698" w:type="pct"/>
            <w:tcBorders>
              <w:top w:val="nil"/>
              <w:left w:val="single" w:sz="4" w:space="0" w:color="FFFFFF" w:themeColor="background1"/>
              <w:bottom w:val="single" w:sz="4" w:space="0" w:color="auto"/>
            </w:tcBorders>
            <w:shd w:val="clear" w:color="auto" w:fill="6C1740"/>
          </w:tcPr>
          <w:p w14:paraId="2BAEF0CF" w14:textId="66450C15" w:rsidR="00F459C7" w:rsidRPr="005114E7" w:rsidRDefault="00F459C7" w:rsidP="00B30536">
            <w:pPr>
              <w:jc w:val="right"/>
              <w:rPr>
                <w:b/>
                <w:sz w:val="20"/>
                <w:szCs w:val="20"/>
              </w:rPr>
            </w:pPr>
            <w:r w:rsidRPr="005114E7">
              <w:rPr>
                <w:rFonts w:eastAsia="Times New Roman" w:cs="Calibri"/>
                <w:b/>
                <w:bCs/>
                <w:color w:val="FFFFFF" w:themeColor="background1"/>
                <w:lang w:val="mk" w:eastAsia="en-AU"/>
              </w:rPr>
              <w:t>Вкупно</w:t>
            </w:r>
          </w:p>
        </w:tc>
      </w:tr>
      <w:tr w:rsidR="00F459C7" w:rsidRPr="005114E7" w14:paraId="242ABDE3" w14:textId="77777777" w:rsidTr="00F459C7">
        <w:tc>
          <w:tcPr>
            <w:tcW w:w="797" w:type="pct"/>
            <w:tcBorders>
              <w:top w:val="single" w:sz="4" w:space="0" w:color="auto"/>
            </w:tcBorders>
            <w:vAlign w:val="bottom"/>
          </w:tcPr>
          <w:p w14:paraId="7BEE5A7D" w14:textId="70708BE0" w:rsidR="00F459C7" w:rsidRPr="005114E7" w:rsidRDefault="00F459C7" w:rsidP="00AF7CD8">
            <w:pPr>
              <w:rPr>
                <w:sz w:val="20"/>
                <w:szCs w:val="20"/>
              </w:rPr>
            </w:pPr>
            <w:r w:rsidRPr="005114E7">
              <w:rPr>
                <w:rFonts w:eastAsia="Times New Roman" w:cs="Calibri"/>
                <w:color w:val="000000"/>
                <w:lang w:val="mk" w:eastAsia="en-AU"/>
              </w:rPr>
              <w:t>Австралиска влада</w:t>
            </w:r>
          </w:p>
        </w:tc>
        <w:tc>
          <w:tcPr>
            <w:tcW w:w="714" w:type="pct"/>
            <w:tcBorders>
              <w:top w:val="single" w:sz="4" w:space="0" w:color="auto"/>
            </w:tcBorders>
          </w:tcPr>
          <w:p w14:paraId="02126D9E" w14:textId="708A2C4D" w:rsidR="00F459C7" w:rsidRPr="005114E7" w:rsidRDefault="00F459C7" w:rsidP="00B30536">
            <w:pPr>
              <w:jc w:val="right"/>
              <w:rPr>
                <w:sz w:val="20"/>
                <w:szCs w:val="20"/>
              </w:rPr>
            </w:pPr>
            <w:r w:rsidRPr="005114E7">
              <w:rPr>
                <w:sz w:val="20"/>
                <w:szCs w:val="20"/>
              </w:rPr>
              <w:t>2</w:t>
            </w:r>
          </w:p>
        </w:tc>
        <w:tc>
          <w:tcPr>
            <w:tcW w:w="697" w:type="pct"/>
            <w:tcBorders>
              <w:top w:val="single" w:sz="4" w:space="0" w:color="auto"/>
            </w:tcBorders>
          </w:tcPr>
          <w:p w14:paraId="1803F1C9" w14:textId="40AEAF77" w:rsidR="00F459C7" w:rsidRPr="005114E7" w:rsidRDefault="00F459C7" w:rsidP="00B30536">
            <w:pPr>
              <w:jc w:val="right"/>
              <w:rPr>
                <w:sz w:val="20"/>
                <w:szCs w:val="20"/>
              </w:rPr>
            </w:pPr>
            <w:r w:rsidRPr="005114E7">
              <w:rPr>
                <w:sz w:val="20"/>
                <w:szCs w:val="20"/>
              </w:rPr>
              <w:t>5</w:t>
            </w:r>
          </w:p>
        </w:tc>
        <w:tc>
          <w:tcPr>
            <w:tcW w:w="698" w:type="pct"/>
            <w:tcBorders>
              <w:top w:val="single" w:sz="4" w:space="0" w:color="auto"/>
            </w:tcBorders>
          </w:tcPr>
          <w:p w14:paraId="6A5F6604" w14:textId="0FD59100" w:rsidR="00F459C7" w:rsidRPr="005114E7" w:rsidRDefault="00F459C7" w:rsidP="00B30536">
            <w:pPr>
              <w:jc w:val="right"/>
              <w:rPr>
                <w:sz w:val="20"/>
                <w:szCs w:val="20"/>
              </w:rPr>
            </w:pPr>
            <w:r w:rsidRPr="005114E7">
              <w:rPr>
                <w:sz w:val="20"/>
                <w:szCs w:val="20"/>
              </w:rPr>
              <w:t>2</w:t>
            </w:r>
          </w:p>
        </w:tc>
        <w:tc>
          <w:tcPr>
            <w:tcW w:w="698" w:type="pct"/>
            <w:tcBorders>
              <w:top w:val="single" w:sz="4" w:space="0" w:color="auto"/>
            </w:tcBorders>
          </w:tcPr>
          <w:p w14:paraId="68D9888F" w14:textId="5BE9D5AA" w:rsidR="00F459C7" w:rsidRPr="005114E7" w:rsidRDefault="00F459C7" w:rsidP="00B30536">
            <w:pPr>
              <w:jc w:val="right"/>
              <w:rPr>
                <w:sz w:val="20"/>
                <w:szCs w:val="20"/>
              </w:rPr>
            </w:pPr>
            <w:r w:rsidRPr="005114E7">
              <w:rPr>
                <w:sz w:val="20"/>
                <w:szCs w:val="20"/>
              </w:rPr>
              <w:t>0</w:t>
            </w:r>
          </w:p>
        </w:tc>
        <w:tc>
          <w:tcPr>
            <w:tcW w:w="698" w:type="pct"/>
            <w:tcBorders>
              <w:top w:val="single" w:sz="4" w:space="0" w:color="auto"/>
            </w:tcBorders>
          </w:tcPr>
          <w:p w14:paraId="7C58BF5F" w14:textId="05753C73" w:rsidR="00F459C7" w:rsidRPr="005114E7" w:rsidRDefault="00F459C7" w:rsidP="00B30536">
            <w:pPr>
              <w:jc w:val="right"/>
              <w:rPr>
                <w:sz w:val="20"/>
                <w:szCs w:val="20"/>
              </w:rPr>
            </w:pPr>
            <w:r w:rsidRPr="005114E7">
              <w:rPr>
                <w:sz w:val="20"/>
                <w:szCs w:val="20"/>
              </w:rPr>
              <w:t>0</w:t>
            </w:r>
          </w:p>
        </w:tc>
        <w:tc>
          <w:tcPr>
            <w:tcW w:w="698" w:type="pct"/>
            <w:tcBorders>
              <w:top w:val="single" w:sz="4" w:space="0" w:color="auto"/>
            </w:tcBorders>
          </w:tcPr>
          <w:p w14:paraId="73B28F27" w14:textId="5871CF10" w:rsidR="00F459C7" w:rsidRPr="005114E7" w:rsidRDefault="00F459C7" w:rsidP="00B30536">
            <w:pPr>
              <w:jc w:val="right"/>
              <w:rPr>
                <w:sz w:val="20"/>
                <w:szCs w:val="20"/>
              </w:rPr>
            </w:pPr>
            <w:r w:rsidRPr="005114E7">
              <w:rPr>
                <w:sz w:val="20"/>
                <w:szCs w:val="20"/>
              </w:rPr>
              <w:t>9</w:t>
            </w:r>
          </w:p>
        </w:tc>
      </w:tr>
      <w:tr w:rsidR="00F459C7" w:rsidRPr="005114E7" w14:paraId="2751EC7C" w14:textId="77777777" w:rsidTr="00F459C7">
        <w:tc>
          <w:tcPr>
            <w:tcW w:w="797" w:type="pct"/>
            <w:shd w:val="clear" w:color="auto" w:fill="FAF9F8"/>
            <w:vAlign w:val="bottom"/>
          </w:tcPr>
          <w:p w14:paraId="16C3648A" w14:textId="74B01C0D" w:rsidR="00F459C7" w:rsidRPr="005114E7" w:rsidRDefault="00F459C7" w:rsidP="008F6E78">
            <w:pPr>
              <w:rPr>
                <w:sz w:val="20"/>
                <w:szCs w:val="20"/>
              </w:rPr>
            </w:pPr>
            <w:r w:rsidRPr="005114E7">
              <w:rPr>
                <w:rFonts w:eastAsia="Times New Roman" w:cs="Calibri"/>
                <w:color w:val="000000"/>
                <w:lang w:val="mk" w:eastAsia="en-AU"/>
              </w:rPr>
              <w:t>Нов Јужен Велс</w:t>
            </w:r>
          </w:p>
        </w:tc>
        <w:tc>
          <w:tcPr>
            <w:tcW w:w="714" w:type="pct"/>
            <w:shd w:val="clear" w:color="auto" w:fill="FAF9F8"/>
          </w:tcPr>
          <w:p w14:paraId="60F4C903" w14:textId="57735DE1" w:rsidR="00F459C7" w:rsidRPr="005114E7" w:rsidRDefault="00F459C7" w:rsidP="00B30536">
            <w:pPr>
              <w:jc w:val="right"/>
              <w:rPr>
                <w:sz w:val="20"/>
                <w:szCs w:val="20"/>
              </w:rPr>
            </w:pPr>
            <w:r w:rsidRPr="005114E7">
              <w:rPr>
                <w:sz w:val="20"/>
                <w:szCs w:val="20"/>
              </w:rPr>
              <w:t>0</w:t>
            </w:r>
          </w:p>
        </w:tc>
        <w:tc>
          <w:tcPr>
            <w:tcW w:w="697" w:type="pct"/>
            <w:shd w:val="clear" w:color="auto" w:fill="FAF9F8"/>
          </w:tcPr>
          <w:p w14:paraId="29D071DA" w14:textId="4F3C1190" w:rsidR="00F459C7" w:rsidRPr="005114E7" w:rsidRDefault="00F459C7" w:rsidP="00B30536">
            <w:pPr>
              <w:jc w:val="right"/>
              <w:rPr>
                <w:sz w:val="20"/>
                <w:szCs w:val="20"/>
              </w:rPr>
            </w:pPr>
            <w:r w:rsidRPr="005114E7">
              <w:rPr>
                <w:sz w:val="20"/>
                <w:szCs w:val="20"/>
              </w:rPr>
              <w:t>4</w:t>
            </w:r>
          </w:p>
        </w:tc>
        <w:tc>
          <w:tcPr>
            <w:tcW w:w="698" w:type="pct"/>
            <w:shd w:val="clear" w:color="auto" w:fill="FAF9F8"/>
          </w:tcPr>
          <w:p w14:paraId="3CAC720A" w14:textId="0FE4A47E" w:rsidR="00F459C7" w:rsidRPr="005114E7" w:rsidRDefault="00F459C7" w:rsidP="00B30536">
            <w:pPr>
              <w:jc w:val="right"/>
              <w:rPr>
                <w:sz w:val="20"/>
                <w:szCs w:val="20"/>
              </w:rPr>
            </w:pPr>
            <w:r w:rsidRPr="005114E7">
              <w:rPr>
                <w:sz w:val="20"/>
                <w:szCs w:val="20"/>
              </w:rPr>
              <w:t>2</w:t>
            </w:r>
          </w:p>
        </w:tc>
        <w:tc>
          <w:tcPr>
            <w:tcW w:w="698" w:type="pct"/>
            <w:shd w:val="clear" w:color="auto" w:fill="FAF9F8"/>
          </w:tcPr>
          <w:p w14:paraId="3E9FCC2A" w14:textId="149238C1"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13683BA1" w14:textId="49CF0CA9"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20C45732" w14:textId="4D6A26E7" w:rsidR="00F459C7" w:rsidRPr="005114E7" w:rsidRDefault="00F459C7" w:rsidP="00B30536">
            <w:pPr>
              <w:jc w:val="right"/>
              <w:rPr>
                <w:sz w:val="20"/>
                <w:szCs w:val="20"/>
              </w:rPr>
            </w:pPr>
            <w:r w:rsidRPr="005114E7">
              <w:rPr>
                <w:sz w:val="20"/>
                <w:szCs w:val="20"/>
              </w:rPr>
              <w:t>6</w:t>
            </w:r>
          </w:p>
        </w:tc>
      </w:tr>
      <w:tr w:rsidR="00F459C7" w:rsidRPr="005114E7" w14:paraId="0EAAC189" w14:textId="77777777" w:rsidTr="00F459C7">
        <w:tc>
          <w:tcPr>
            <w:tcW w:w="797" w:type="pct"/>
            <w:vAlign w:val="bottom"/>
          </w:tcPr>
          <w:p w14:paraId="0CEA2A4A" w14:textId="2EC4188A" w:rsidR="00F459C7" w:rsidRPr="005114E7" w:rsidRDefault="00F459C7" w:rsidP="008F6E78">
            <w:pPr>
              <w:rPr>
                <w:sz w:val="20"/>
                <w:szCs w:val="20"/>
              </w:rPr>
            </w:pPr>
            <w:r w:rsidRPr="005114E7">
              <w:rPr>
                <w:rFonts w:eastAsia="Times New Roman" w:cs="Calibri"/>
                <w:color w:val="000000"/>
                <w:lang w:val="mk" w:eastAsia="en-AU"/>
              </w:rPr>
              <w:t>Викторија</w:t>
            </w:r>
          </w:p>
        </w:tc>
        <w:tc>
          <w:tcPr>
            <w:tcW w:w="714" w:type="pct"/>
          </w:tcPr>
          <w:p w14:paraId="0E65192D" w14:textId="6DEB19AD" w:rsidR="00F459C7" w:rsidRPr="005114E7" w:rsidRDefault="00F459C7" w:rsidP="00B30536">
            <w:pPr>
              <w:jc w:val="right"/>
              <w:rPr>
                <w:sz w:val="20"/>
                <w:szCs w:val="20"/>
              </w:rPr>
            </w:pPr>
            <w:r w:rsidRPr="005114E7">
              <w:rPr>
                <w:sz w:val="20"/>
                <w:szCs w:val="20"/>
              </w:rPr>
              <w:t>5</w:t>
            </w:r>
          </w:p>
        </w:tc>
        <w:tc>
          <w:tcPr>
            <w:tcW w:w="697" w:type="pct"/>
          </w:tcPr>
          <w:p w14:paraId="578380FA" w14:textId="6D4762E9" w:rsidR="00F459C7" w:rsidRPr="005114E7" w:rsidRDefault="00F459C7" w:rsidP="00B30536">
            <w:pPr>
              <w:jc w:val="right"/>
              <w:rPr>
                <w:sz w:val="20"/>
                <w:szCs w:val="20"/>
              </w:rPr>
            </w:pPr>
            <w:r w:rsidRPr="005114E7">
              <w:rPr>
                <w:sz w:val="20"/>
                <w:szCs w:val="20"/>
              </w:rPr>
              <w:t>12</w:t>
            </w:r>
          </w:p>
        </w:tc>
        <w:tc>
          <w:tcPr>
            <w:tcW w:w="698" w:type="pct"/>
          </w:tcPr>
          <w:p w14:paraId="6AF7E869" w14:textId="78DCDCF5" w:rsidR="00F459C7" w:rsidRPr="005114E7" w:rsidRDefault="00F459C7" w:rsidP="00B30536">
            <w:pPr>
              <w:jc w:val="right"/>
              <w:rPr>
                <w:sz w:val="20"/>
                <w:szCs w:val="20"/>
              </w:rPr>
            </w:pPr>
            <w:r w:rsidRPr="005114E7">
              <w:rPr>
                <w:sz w:val="20"/>
                <w:szCs w:val="20"/>
              </w:rPr>
              <w:t>1</w:t>
            </w:r>
          </w:p>
        </w:tc>
        <w:tc>
          <w:tcPr>
            <w:tcW w:w="698" w:type="pct"/>
          </w:tcPr>
          <w:p w14:paraId="439BEC12" w14:textId="744AB9D2" w:rsidR="00F459C7" w:rsidRPr="005114E7" w:rsidRDefault="00F459C7" w:rsidP="00B30536">
            <w:pPr>
              <w:jc w:val="right"/>
              <w:rPr>
                <w:sz w:val="20"/>
                <w:szCs w:val="20"/>
              </w:rPr>
            </w:pPr>
            <w:r w:rsidRPr="005114E7">
              <w:rPr>
                <w:sz w:val="20"/>
                <w:szCs w:val="20"/>
              </w:rPr>
              <w:t>0</w:t>
            </w:r>
          </w:p>
        </w:tc>
        <w:tc>
          <w:tcPr>
            <w:tcW w:w="698" w:type="pct"/>
          </w:tcPr>
          <w:p w14:paraId="4FBC45FB" w14:textId="4F1D587A" w:rsidR="00F459C7" w:rsidRPr="005114E7" w:rsidRDefault="00F459C7" w:rsidP="00B30536">
            <w:pPr>
              <w:jc w:val="right"/>
              <w:rPr>
                <w:sz w:val="20"/>
                <w:szCs w:val="20"/>
              </w:rPr>
            </w:pPr>
            <w:r w:rsidRPr="005114E7">
              <w:rPr>
                <w:sz w:val="20"/>
                <w:szCs w:val="20"/>
              </w:rPr>
              <w:t>0</w:t>
            </w:r>
          </w:p>
        </w:tc>
        <w:tc>
          <w:tcPr>
            <w:tcW w:w="698" w:type="pct"/>
          </w:tcPr>
          <w:p w14:paraId="04D5870D" w14:textId="31484F29" w:rsidR="00F459C7" w:rsidRPr="005114E7" w:rsidRDefault="00F459C7" w:rsidP="00B30536">
            <w:pPr>
              <w:jc w:val="right"/>
              <w:rPr>
                <w:sz w:val="20"/>
                <w:szCs w:val="20"/>
              </w:rPr>
            </w:pPr>
            <w:r w:rsidRPr="005114E7">
              <w:rPr>
                <w:sz w:val="20"/>
                <w:szCs w:val="20"/>
              </w:rPr>
              <w:t>18</w:t>
            </w:r>
          </w:p>
        </w:tc>
      </w:tr>
      <w:tr w:rsidR="00F459C7" w:rsidRPr="005114E7" w14:paraId="1D8C6FF2" w14:textId="77777777" w:rsidTr="00F459C7">
        <w:tc>
          <w:tcPr>
            <w:tcW w:w="797" w:type="pct"/>
            <w:shd w:val="clear" w:color="auto" w:fill="FAF9F8"/>
            <w:vAlign w:val="bottom"/>
          </w:tcPr>
          <w:p w14:paraId="47CF6702" w14:textId="5216D34C" w:rsidR="00F459C7" w:rsidRPr="005114E7" w:rsidRDefault="00F459C7" w:rsidP="008F6E78">
            <w:pPr>
              <w:rPr>
                <w:sz w:val="20"/>
                <w:szCs w:val="20"/>
              </w:rPr>
            </w:pPr>
            <w:r w:rsidRPr="005114E7">
              <w:rPr>
                <w:rFonts w:eastAsia="Times New Roman" w:cs="Calibri"/>
                <w:color w:val="000000"/>
                <w:lang w:val="mk" w:eastAsia="en-AU"/>
              </w:rPr>
              <w:t>Квинсленд</w:t>
            </w:r>
          </w:p>
        </w:tc>
        <w:tc>
          <w:tcPr>
            <w:tcW w:w="714" w:type="pct"/>
            <w:shd w:val="clear" w:color="auto" w:fill="FAF9F8"/>
          </w:tcPr>
          <w:p w14:paraId="7AAF8114" w14:textId="77A43903" w:rsidR="00F459C7" w:rsidRPr="005114E7" w:rsidRDefault="00F459C7" w:rsidP="00B30536">
            <w:pPr>
              <w:jc w:val="right"/>
              <w:rPr>
                <w:sz w:val="20"/>
                <w:szCs w:val="20"/>
              </w:rPr>
            </w:pPr>
            <w:r w:rsidRPr="005114E7">
              <w:rPr>
                <w:sz w:val="20"/>
                <w:szCs w:val="20"/>
              </w:rPr>
              <w:t>3</w:t>
            </w:r>
          </w:p>
        </w:tc>
        <w:tc>
          <w:tcPr>
            <w:tcW w:w="697" w:type="pct"/>
            <w:shd w:val="clear" w:color="auto" w:fill="FAF9F8"/>
          </w:tcPr>
          <w:p w14:paraId="39F7D5CD" w14:textId="7B503B67" w:rsidR="00F459C7" w:rsidRPr="005114E7" w:rsidRDefault="00F459C7" w:rsidP="00B30536">
            <w:pPr>
              <w:jc w:val="right"/>
              <w:rPr>
                <w:sz w:val="20"/>
                <w:szCs w:val="20"/>
              </w:rPr>
            </w:pPr>
            <w:r w:rsidRPr="005114E7">
              <w:rPr>
                <w:sz w:val="20"/>
                <w:szCs w:val="20"/>
              </w:rPr>
              <w:t>6</w:t>
            </w:r>
          </w:p>
        </w:tc>
        <w:tc>
          <w:tcPr>
            <w:tcW w:w="698" w:type="pct"/>
            <w:shd w:val="clear" w:color="auto" w:fill="FAF9F8"/>
          </w:tcPr>
          <w:p w14:paraId="73D1E4EC" w14:textId="114F0D49"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56482E90" w14:textId="6747E9E1"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2A2F3BD5" w14:textId="244CD3C2"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711714F8" w14:textId="4DDEC08E" w:rsidR="00F459C7" w:rsidRPr="005114E7" w:rsidRDefault="00F459C7" w:rsidP="00B30536">
            <w:pPr>
              <w:jc w:val="right"/>
              <w:rPr>
                <w:sz w:val="20"/>
                <w:szCs w:val="20"/>
              </w:rPr>
            </w:pPr>
            <w:r w:rsidRPr="005114E7">
              <w:rPr>
                <w:sz w:val="20"/>
                <w:szCs w:val="20"/>
              </w:rPr>
              <w:t>9</w:t>
            </w:r>
          </w:p>
        </w:tc>
      </w:tr>
      <w:tr w:rsidR="00F459C7" w:rsidRPr="005114E7" w14:paraId="76848610" w14:textId="77777777" w:rsidTr="00F459C7">
        <w:tc>
          <w:tcPr>
            <w:tcW w:w="797" w:type="pct"/>
            <w:vAlign w:val="bottom"/>
          </w:tcPr>
          <w:p w14:paraId="2FAF6883" w14:textId="489E2B13" w:rsidR="00F459C7" w:rsidRPr="005114E7" w:rsidRDefault="00F459C7" w:rsidP="008F6E78">
            <w:pPr>
              <w:rPr>
                <w:sz w:val="20"/>
                <w:szCs w:val="20"/>
              </w:rPr>
            </w:pPr>
            <w:r w:rsidRPr="005114E7">
              <w:rPr>
                <w:rFonts w:eastAsia="Times New Roman" w:cs="Calibri"/>
                <w:color w:val="000000"/>
                <w:lang w:val="mk" w:eastAsia="en-AU"/>
              </w:rPr>
              <w:t>Западна Австралија</w:t>
            </w:r>
          </w:p>
        </w:tc>
        <w:tc>
          <w:tcPr>
            <w:tcW w:w="714" w:type="pct"/>
          </w:tcPr>
          <w:p w14:paraId="77493C02" w14:textId="3E14953A" w:rsidR="00F459C7" w:rsidRPr="005114E7" w:rsidRDefault="00F459C7" w:rsidP="00B30536">
            <w:pPr>
              <w:jc w:val="right"/>
              <w:rPr>
                <w:sz w:val="20"/>
                <w:szCs w:val="20"/>
              </w:rPr>
            </w:pPr>
            <w:r w:rsidRPr="005114E7">
              <w:rPr>
                <w:sz w:val="20"/>
                <w:szCs w:val="20"/>
              </w:rPr>
              <w:t>1</w:t>
            </w:r>
          </w:p>
        </w:tc>
        <w:tc>
          <w:tcPr>
            <w:tcW w:w="697" w:type="pct"/>
          </w:tcPr>
          <w:p w14:paraId="4F90116F" w14:textId="7CF0174D" w:rsidR="00F459C7" w:rsidRPr="005114E7" w:rsidRDefault="00F459C7" w:rsidP="00B30536">
            <w:pPr>
              <w:jc w:val="right"/>
              <w:rPr>
                <w:sz w:val="20"/>
                <w:szCs w:val="20"/>
              </w:rPr>
            </w:pPr>
            <w:r w:rsidRPr="005114E7">
              <w:rPr>
                <w:sz w:val="20"/>
                <w:szCs w:val="20"/>
              </w:rPr>
              <w:t>5</w:t>
            </w:r>
          </w:p>
        </w:tc>
        <w:tc>
          <w:tcPr>
            <w:tcW w:w="698" w:type="pct"/>
          </w:tcPr>
          <w:p w14:paraId="64F9C123" w14:textId="6B04466D" w:rsidR="00F459C7" w:rsidRPr="005114E7" w:rsidRDefault="00F459C7" w:rsidP="00B30536">
            <w:pPr>
              <w:jc w:val="right"/>
              <w:rPr>
                <w:sz w:val="20"/>
                <w:szCs w:val="20"/>
              </w:rPr>
            </w:pPr>
            <w:r w:rsidRPr="005114E7">
              <w:rPr>
                <w:sz w:val="20"/>
                <w:szCs w:val="20"/>
              </w:rPr>
              <w:t>1</w:t>
            </w:r>
          </w:p>
        </w:tc>
        <w:tc>
          <w:tcPr>
            <w:tcW w:w="698" w:type="pct"/>
          </w:tcPr>
          <w:p w14:paraId="5C73588B" w14:textId="371FBB96" w:rsidR="00F459C7" w:rsidRPr="005114E7" w:rsidRDefault="00F459C7" w:rsidP="00B30536">
            <w:pPr>
              <w:jc w:val="right"/>
              <w:rPr>
                <w:sz w:val="20"/>
                <w:szCs w:val="20"/>
              </w:rPr>
            </w:pPr>
            <w:r w:rsidRPr="005114E7">
              <w:rPr>
                <w:sz w:val="20"/>
                <w:szCs w:val="20"/>
              </w:rPr>
              <w:t>0</w:t>
            </w:r>
          </w:p>
        </w:tc>
        <w:tc>
          <w:tcPr>
            <w:tcW w:w="698" w:type="pct"/>
          </w:tcPr>
          <w:p w14:paraId="5018BDDD" w14:textId="414B4740" w:rsidR="00F459C7" w:rsidRPr="005114E7" w:rsidRDefault="00F459C7" w:rsidP="00B30536">
            <w:pPr>
              <w:jc w:val="right"/>
              <w:rPr>
                <w:sz w:val="20"/>
                <w:szCs w:val="20"/>
              </w:rPr>
            </w:pPr>
            <w:r w:rsidRPr="005114E7">
              <w:rPr>
                <w:sz w:val="20"/>
                <w:szCs w:val="20"/>
              </w:rPr>
              <w:t>0</w:t>
            </w:r>
          </w:p>
        </w:tc>
        <w:tc>
          <w:tcPr>
            <w:tcW w:w="698" w:type="pct"/>
          </w:tcPr>
          <w:p w14:paraId="60389A4E" w14:textId="22AA4C75" w:rsidR="00F459C7" w:rsidRPr="005114E7" w:rsidRDefault="00F459C7" w:rsidP="00B30536">
            <w:pPr>
              <w:jc w:val="right"/>
              <w:rPr>
                <w:sz w:val="20"/>
                <w:szCs w:val="20"/>
              </w:rPr>
            </w:pPr>
            <w:r w:rsidRPr="005114E7">
              <w:rPr>
                <w:sz w:val="20"/>
                <w:szCs w:val="20"/>
              </w:rPr>
              <w:t>7</w:t>
            </w:r>
          </w:p>
        </w:tc>
      </w:tr>
      <w:tr w:rsidR="00F459C7" w:rsidRPr="005114E7" w14:paraId="64D7D258" w14:textId="77777777" w:rsidTr="00F459C7">
        <w:tc>
          <w:tcPr>
            <w:tcW w:w="797" w:type="pct"/>
            <w:shd w:val="clear" w:color="auto" w:fill="FAF9F8"/>
            <w:vAlign w:val="bottom"/>
          </w:tcPr>
          <w:p w14:paraId="55180AF3" w14:textId="258ABCED" w:rsidR="00F459C7" w:rsidRPr="005114E7" w:rsidRDefault="00F459C7" w:rsidP="008F6E78">
            <w:pPr>
              <w:rPr>
                <w:sz w:val="20"/>
                <w:szCs w:val="20"/>
              </w:rPr>
            </w:pPr>
            <w:r w:rsidRPr="005114E7">
              <w:rPr>
                <w:rFonts w:eastAsia="Times New Roman" w:cs="Calibri"/>
                <w:color w:val="000000"/>
                <w:lang w:val="mk" w:eastAsia="en-AU"/>
              </w:rPr>
              <w:t>Јужна Австралија</w:t>
            </w:r>
          </w:p>
        </w:tc>
        <w:tc>
          <w:tcPr>
            <w:tcW w:w="714" w:type="pct"/>
            <w:shd w:val="clear" w:color="auto" w:fill="FAF9F8"/>
          </w:tcPr>
          <w:p w14:paraId="1668DEED" w14:textId="0F24F62F" w:rsidR="00F459C7" w:rsidRPr="005114E7" w:rsidRDefault="00F459C7" w:rsidP="00B30536">
            <w:pPr>
              <w:jc w:val="right"/>
              <w:rPr>
                <w:sz w:val="20"/>
                <w:szCs w:val="20"/>
              </w:rPr>
            </w:pPr>
            <w:r w:rsidRPr="005114E7">
              <w:rPr>
                <w:sz w:val="20"/>
                <w:szCs w:val="20"/>
              </w:rPr>
              <w:t>1</w:t>
            </w:r>
          </w:p>
        </w:tc>
        <w:tc>
          <w:tcPr>
            <w:tcW w:w="697" w:type="pct"/>
            <w:shd w:val="clear" w:color="auto" w:fill="FAF9F8"/>
          </w:tcPr>
          <w:p w14:paraId="503CEAFC" w14:textId="48F0A8E9" w:rsidR="00F459C7" w:rsidRPr="005114E7" w:rsidRDefault="00F459C7" w:rsidP="00B30536">
            <w:pPr>
              <w:jc w:val="right"/>
              <w:rPr>
                <w:sz w:val="20"/>
                <w:szCs w:val="20"/>
              </w:rPr>
            </w:pPr>
            <w:r w:rsidRPr="005114E7">
              <w:rPr>
                <w:sz w:val="20"/>
                <w:szCs w:val="20"/>
              </w:rPr>
              <w:t>7</w:t>
            </w:r>
          </w:p>
        </w:tc>
        <w:tc>
          <w:tcPr>
            <w:tcW w:w="698" w:type="pct"/>
            <w:shd w:val="clear" w:color="auto" w:fill="FAF9F8"/>
          </w:tcPr>
          <w:p w14:paraId="4C0FAAED" w14:textId="473C2EA4" w:rsidR="00F459C7" w:rsidRPr="005114E7" w:rsidRDefault="00F459C7" w:rsidP="00B30536">
            <w:pPr>
              <w:jc w:val="right"/>
              <w:rPr>
                <w:sz w:val="20"/>
                <w:szCs w:val="20"/>
              </w:rPr>
            </w:pPr>
            <w:r w:rsidRPr="005114E7">
              <w:rPr>
                <w:sz w:val="20"/>
                <w:szCs w:val="20"/>
              </w:rPr>
              <w:t>2</w:t>
            </w:r>
          </w:p>
        </w:tc>
        <w:tc>
          <w:tcPr>
            <w:tcW w:w="698" w:type="pct"/>
            <w:shd w:val="clear" w:color="auto" w:fill="FAF9F8"/>
          </w:tcPr>
          <w:p w14:paraId="101D16B9" w14:textId="3533DB55"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46FD7BC4" w14:textId="1B51A61A"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0581EFC3" w14:textId="535F7DE1" w:rsidR="00F459C7" w:rsidRPr="005114E7" w:rsidRDefault="00F459C7" w:rsidP="00B30536">
            <w:pPr>
              <w:jc w:val="right"/>
              <w:rPr>
                <w:sz w:val="20"/>
                <w:szCs w:val="20"/>
              </w:rPr>
            </w:pPr>
            <w:r w:rsidRPr="005114E7">
              <w:rPr>
                <w:sz w:val="20"/>
                <w:szCs w:val="20"/>
              </w:rPr>
              <w:t>10</w:t>
            </w:r>
          </w:p>
        </w:tc>
      </w:tr>
      <w:tr w:rsidR="00F459C7" w:rsidRPr="005114E7" w14:paraId="6334AB20" w14:textId="77777777" w:rsidTr="00F459C7">
        <w:tc>
          <w:tcPr>
            <w:tcW w:w="797" w:type="pct"/>
            <w:vAlign w:val="bottom"/>
          </w:tcPr>
          <w:p w14:paraId="46AD7740" w14:textId="52DFFE27" w:rsidR="00F459C7" w:rsidRPr="005114E7" w:rsidRDefault="00F459C7" w:rsidP="008F6E78">
            <w:pPr>
              <w:rPr>
                <w:sz w:val="20"/>
                <w:szCs w:val="20"/>
              </w:rPr>
            </w:pPr>
            <w:r w:rsidRPr="005114E7">
              <w:rPr>
                <w:rFonts w:eastAsia="Times New Roman" w:cs="Calibri"/>
                <w:color w:val="000000"/>
                <w:lang w:val="mk" w:eastAsia="en-AU"/>
              </w:rPr>
              <w:t>Тасманија</w:t>
            </w:r>
          </w:p>
        </w:tc>
        <w:tc>
          <w:tcPr>
            <w:tcW w:w="714" w:type="pct"/>
          </w:tcPr>
          <w:p w14:paraId="07C4A0B4" w14:textId="01F2B19A" w:rsidR="00F459C7" w:rsidRPr="005114E7" w:rsidRDefault="00F459C7" w:rsidP="00B30536">
            <w:pPr>
              <w:jc w:val="right"/>
              <w:rPr>
                <w:sz w:val="20"/>
                <w:szCs w:val="20"/>
              </w:rPr>
            </w:pPr>
            <w:r w:rsidRPr="005114E7">
              <w:rPr>
                <w:sz w:val="20"/>
                <w:szCs w:val="20"/>
              </w:rPr>
              <w:t>2</w:t>
            </w:r>
          </w:p>
        </w:tc>
        <w:tc>
          <w:tcPr>
            <w:tcW w:w="697" w:type="pct"/>
          </w:tcPr>
          <w:p w14:paraId="1D55D3B0" w14:textId="7F4036CF" w:rsidR="00F459C7" w:rsidRPr="005114E7" w:rsidRDefault="00F459C7" w:rsidP="00B30536">
            <w:pPr>
              <w:jc w:val="right"/>
              <w:rPr>
                <w:sz w:val="20"/>
                <w:szCs w:val="20"/>
              </w:rPr>
            </w:pPr>
            <w:r w:rsidRPr="005114E7">
              <w:rPr>
                <w:sz w:val="20"/>
                <w:szCs w:val="20"/>
              </w:rPr>
              <w:t>1</w:t>
            </w:r>
          </w:p>
        </w:tc>
        <w:tc>
          <w:tcPr>
            <w:tcW w:w="698" w:type="pct"/>
          </w:tcPr>
          <w:p w14:paraId="00A6C68E" w14:textId="250E031D" w:rsidR="00F459C7" w:rsidRPr="005114E7" w:rsidRDefault="00F459C7" w:rsidP="00B30536">
            <w:pPr>
              <w:jc w:val="right"/>
              <w:rPr>
                <w:sz w:val="20"/>
                <w:szCs w:val="20"/>
              </w:rPr>
            </w:pPr>
            <w:r w:rsidRPr="005114E7">
              <w:rPr>
                <w:sz w:val="20"/>
                <w:szCs w:val="20"/>
              </w:rPr>
              <w:t>1</w:t>
            </w:r>
          </w:p>
        </w:tc>
        <w:tc>
          <w:tcPr>
            <w:tcW w:w="698" w:type="pct"/>
          </w:tcPr>
          <w:p w14:paraId="191BF13B" w14:textId="2B734A8A" w:rsidR="00F459C7" w:rsidRPr="005114E7" w:rsidRDefault="00F459C7" w:rsidP="00B30536">
            <w:pPr>
              <w:jc w:val="right"/>
              <w:rPr>
                <w:sz w:val="20"/>
                <w:szCs w:val="20"/>
              </w:rPr>
            </w:pPr>
            <w:r w:rsidRPr="005114E7">
              <w:rPr>
                <w:sz w:val="20"/>
                <w:szCs w:val="20"/>
              </w:rPr>
              <w:t>0</w:t>
            </w:r>
          </w:p>
        </w:tc>
        <w:tc>
          <w:tcPr>
            <w:tcW w:w="698" w:type="pct"/>
          </w:tcPr>
          <w:p w14:paraId="60022E63" w14:textId="791337F4" w:rsidR="00F459C7" w:rsidRPr="005114E7" w:rsidRDefault="00F459C7" w:rsidP="00B30536">
            <w:pPr>
              <w:jc w:val="right"/>
              <w:rPr>
                <w:sz w:val="20"/>
                <w:szCs w:val="20"/>
              </w:rPr>
            </w:pPr>
            <w:r w:rsidRPr="005114E7">
              <w:rPr>
                <w:sz w:val="20"/>
                <w:szCs w:val="20"/>
              </w:rPr>
              <w:t>0</w:t>
            </w:r>
          </w:p>
        </w:tc>
        <w:tc>
          <w:tcPr>
            <w:tcW w:w="698" w:type="pct"/>
          </w:tcPr>
          <w:p w14:paraId="4EBA7C05" w14:textId="655A3E21" w:rsidR="00F459C7" w:rsidRPr="005114E7" w:rsidRDefault="00F459C7" w:rsidP="00B30536">
            <w:pPr>
              <w:jc w:val="right"/>
              <w:rPr>
                <w:sz w:val="20"/>
                <w:szCs w:val="20"/>
              </w:rPr>
            </w:pPr>
            <w:r w:rsidRPr="005114E7">
              <w:rPr>
                <w:sz w:val="20"/>
                <w:szCs w:val="20"/>
              </w:rPr>
              <w:t>4</w:t>
            </w:r>
          </w:p>
        </w:tc>
      </w:tr>
      <w:tr w:rsidR="00F459C7" w:rsidRPr="005114E7" w14:paraId="13CC6B4A" w14:textId="77777777" w:rsidTr="00F459C7">
        <w:tc>
          <w:tcPr>
            <w:tcW w:w="797" w:type="pct"/>
            <w:shd w:val="clear" w:color="auto" w:fill="FAF9F8"/>
            <w:vAlign w:val="bottom"/>
          </w:tcPr>
          <w:p w14:paraId="7695C642" w14:textId="2CAA93BE" w:rsidR="00F459C7" w:rsidRPr="005114E7" w:rsidRDefault="00F459C7" w:rsidP="008F6E78">
            <w:pPr>
              <w:rPr>
                <w:sz w:val="20"/>
                <w:szCs w:val="20"/>
              </w:rPr>
            </w:pPr>
            <w:r w:rsidRPr="005114E7">
              <w:rPr>
                <w:rFonts w:eastAsia="Times New Roman" w:cs="Calibri"/>
                <w:color w:val="000000"/>
                <w:lang w:val="mk" w:eastAsia="en-AU"/>
              </w:rPr>
              <w:t>Австралиска Престолничка Територија</w:t>
            </w:r>
          </w:p>
        </w:tc>
        <w:tc>
          <w:tcPr>
            <w:tcW w:w="714" w:type="pct"/>
            <w:shd w:val="clear" w:color="auto" w:fill="FAF9F8"/>
          </w:tcPr>
          <w:p w14:paraId="6AE3D7CC" w14:textId="48415D5B" w:rsidR="00F459C7" w:rsidRPr="005114E7" w:rsidRDefault="00F459C7" w:rsidP="00B30536">
            <w:pPr>
              <w:jc w:val="right"/>
              <w:rPr>
                <w:sz w:val="20"/>
                <w:szCs w:val="20"/>
              </w:rPr>
            </w:pPr>
            <w:r w:rsidRPr="005114E7">
              <w:rPr>
                <w:sz w:val="20"/>
                <w:szCs w:val="20"/>
              </w:rPr>
              <w:t>3</w:t>
            </w:r>
          </w:p>
        </w:tc>
        <w:tc>
          <w:tcPr>
            <w:tcW w:w="697" w:type="pct"/>
            <w:shd w:val="clear" w:color="auto" w:fill="FAF9F8"/>
          </w:tcPr>
          <w:p w14:paraId="41DA96D5" w14:textId="2FACEE4D" w:rsidR="00F459C7" w:rsidRPr="005114E7" w:rsidRDefault="00F459C7" w:rsidP="00B30536">
            <w:pPr>
              <w:jc w:val="right"/>
              <w:rPr>
                <w:sz w:val="20"/>
                <w:szCs w:val="20"/>
              </w:rPr>
            </w:pPr>
            <w:r w:rsidRPr="005114E7">
              <w:rPr>
                <w:sz w:val="20"/>
                <w:szCs w:val="20"/>
              </w:rPr>
              <w:t>2</w:t>
            </w:r>
          </w:p>
        </w:tc>
        <w:tc>
          <w:tcPr>
            <w:tcW w:w="698" w:type="pct"/>
            <w:shd w:val="clear" w:color="auto" w:fill="FAF9F8"/>
          </w:tcPr>
          <w:p w14:paraId="79D94E9B" w14:textId="057424C7"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20A9795C" w14:textId="316800F9"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20A18B60" w14:textId="4D11B58C" w:rsidR="00F459C7" w:rsidRPr="005114E7" w:rsidRDefault="00F459C7" w:rsidP="00B30536">
            <w:pPr>
              <w:jc w:val="right"/>
              <w:rPr>
                <w:sz w:val="20"/>
                <w:szCs w:val="20"/>
              </w:rPr>
            </w:pPr>
            <w:r w:rsidRPr="005114E7">
              <w:rPr>
                <w:sz w:val="20"/>
                <w:szCs w:val="20"/>
              </w:rPr>
              <w:t>0</w:t>
            </w:r>
          </w:p>
        </w:tc>
        <w:tc>
          <w:tcPr>
            <w:tcW w:w="698" w:type="pct"/>
            <w:shd w:val="clear" w:color="auto" w:fill="FAF9F8"/>
          </w:tcPr>
          <w:p w14:paraId="706CAA41" w14:textId="353054F8" w:rsidR="00F459C7" w:rsidRPr="005114E7" w:rsidRDefault="00F459C7" w:rsidP="00B30536">
            <w:pPr>
              <w:jc w:val="right"/>
              <w:rPr>
                <w:sz w:val="20"/>
                <w:szCs w:val="20"/>
              </w:rPr>
            </w:pPr>
            <w:r w:rsidRPr="005114E7">
              <w:rPr>
                <w:sz w:val="20"/>
                <w:szCs w:val="20"/>
              </w:rPr>
              <w:t>5</w:t>
            </w:r>
          </w:p>
        </w:tc>
      </w:tr>
      <w:tr w:rsidR="00F459C7" w:rsidRPr="005114E7" w14:paraId="5210A113" w14:textId="77777777" w:rsidTr="00F459C7">
        <w:tc>
          <w:tcPr>
            <w:tcW w:w="797" w:type="pct"/>
            <w:vAlign w:val="bottom"/>
          </w:tcPr>
          <w:p w14:paraId="243CAA1C" w14:textId="443699FB" w:rsidR="00F459C7" w:rsidRPr="005114E7" w:rsidRDefault="00F459C7" w:rsidP="008F6E78">
            <w:pPr>
              <w:rPr>
                <w:sz w:val="20"/>
                <w:szCs w:val="20"/>
              </w:rPr>
            </w:pPr>
            <w:r w:rsidRPr="005114E7">
              <w:rPr>
                <w:rFonts w:eastAsia="Times New Roman" w:cs="Calibri"/>
                <w:color w:val="000000"/>
                <w:lang w:val="mk" w:eastAsia="en-AU"/>
              </w:rPr>
              <w:t>Северна Територија</w:t>
            </w:r>
          </w:p>
        </w:tc>
        <w:tc>
          <w:tcPr>
            <w:tcW w:w="714" w:type="pct"/>
          </w:tcPr>
          <w:p w14:paraId="4656BECD" w14:textId="7A969C4F" w:rsidR="00F459C7" w:rsidRPr="005114E7" w:rsidRDefault="00F459C7" w:rsidP="00B30536">
            <w:pPr>
              <w:jc w:val="right"/>
              <w:rPr>
                <w:sz w:val="20"/>
                <w:szCs w:val="20"/>
              </w:rPr>
            </w:pPr>
            <w:r w:rsidRPr="005114E7">
              <w:rPr>
                <w:sz w:val="20"/>
                <w:szCs w:val="20"/>
              </w:rPr>
              <w:t>0</w:t>
            </w:r>
          </w:p>
        </w:tc>
        <w:tc>
          <w:tcPr>
            <w:tcW w:w="697" w:type="pct"/>
          </w:tcPr>
          <w:p w14:paraId="08E29505" w14:textId="7A651563" w:rsidR="00F459C7" w:rsidRPr="005114E7" w:rsidRDefault="00F459C7" w:rsidP="00B30536">
            <w:pPr>
              <w:jc w:val="right"/>
              <w:rPr>
                <w:sz w:val="20"/>
                <w:szCs w:val="20"/>
              </w:rPr>
            </w:pPr>
            <w:r w:rsidRPr="005114E7">
              <w:rPr>
                <w:sz w:val="20"/>
                <w:szCs w:val="20"/>
              </w:rPr>
              <w:t>5</w:t>
            </w:r>
          </w:p>
        </w:tc>
        <w:tc>
          <w:tcPr>
            <w:tcW w:w="698" w:type="pct"/>
          </w:tcPr>
          <w:p w14:paraId="777B8C6C" w14:textId="05AAE18E" w:rsidR="00F459C7" w:rsidRPr="005114E7" w:rsidRDefault="00F459C7" w:rsidP="00B30536">
            <w:pPr>
              <w:jc w:val="right"/>
              <w:rPr>
                <w:sz w:val="20"/>
                <w:szCs w:val="20"/>
              </w:rPr>
            </w:pPr>
            <w:r w:rsidRPr="005114E7">
              <w:rPr>
                <w:sz w:val="20"/>
                <w:szCs w:val="20"/>
              </w:rPr>
              <w:t>0</w:t>
            </w:r>
          </w:p>
        </w:tc>
        <w:tc>
          <w:tcPr>
            <w:tcW w:w="698" w:type="pct"/>
          </w:tcPr>
          <w:p w14:paraId="59C7007F" w14:textId="12813CFE" w:rsidR="00F459C7" w:rsidRPr="005114E7" w:rsidRDefault="00F459C7" w:rsidP="00B30536">
            <w:pPr>
              <w:jc w:val="right"/>
              <w:rPr>
                <w:sz w:val="20"/>
                <w:szCs w:val="20"/>
              </w:rPr>
            </w:pPr>
            <w:r w:rsidRPr="005114E7">
              <w:rPr>
                <w:sz w:val="20"/>
                <w:szCs w:val="20"/>
              </w:rPr>
              <w:t>0</w:t>
            </w:r>
          </w:p>
        </w:tc>
        <w:tc>
          <w:tcPr>
            <w:tcW w:w="698" w:type="pct"/>
          </w:tcPr>
          <w:p w14:paraId="426AEC51" w14:textId="71CEF99A" w:rsidR="00F459C7" w:rsidRPr="005114E7" w:rsidRDefault="00F459C7" w:rsidP="00B30536">
            <w:pPr>
              <w:jc w:val="right"/>
              <w:rPr>
                <w:sz w:val="20"/>
                <w:szCs w:val="20"/>
              </w:rPr>
            </w:pPr>
            <w:r w:rsidRPr="005114E7">
              <w:rPr>
                <w:sz w:val="20"/>
                <w:szCs w:val="20"/>
              </w:rPr>
              <w:t>0</w:t>
            </w:r>
          </w:p>
        </w:tc>
        <w:tc>
          <w:tcPr>
            <w:tcW w:w="698" w:type="pct"/>
          </w:tcPr>
          <w:p w14:paraId="1AF8B3A6" w14:textId="7AD79520" w:rsidR="00F459C7" w:rsidRPr="005114E7" w:rsidRDefault="00F459C7" w:rsidP="00B30536">
            <w:pPr>
              <w:jc w:val="right"/>
              <w:rPr>
                <w:sz w:val="20"/>
                <w:szCs w:val="20"/>
              </w:rPr>
            </w:pPr>
            <w:r w:rsidRPr="005114E7">
              <w:rPr>
                <w:sz w:val="20"/>
                <w:szCs w:val="20"/>
              </w:rPr>
              <w:t>5</w:t>
            </w:r>
          </w:p>
        </w:tc>
      </w:tr>
      <w:tr w:rsidR="00F459C7" w:rsidRPr="005114E7" w14:paraId="04AAFD52" w14:textId="77777777" w:rsidTr="00F459C7">
        <w:trPr>
          <w:trHeight w:val="69"/>
        </w:trPr>
        <w:tc>
          <w:tcPr>
            <w:tcW w:w="797" w:type="pct"/>
            <w:shd w:val="clear" w:color="auto" w:fill="E4E9F3"/>
            <w:vAlign w:val="bottom"/>
          </w:tcPr>
          <w:p w14:paraId="63003177" w14:textId="7F0E11C7" w:rsidR="00F459C7" w:rsidRPr="005114E7" w:rsidRDefault="00F459C7" w:rsidP="008F6E78">
            <w:pPr>
              <w:rPr>
                <w:b/>
                <w:sz w:val="20"/>
                <w:szCs w:val="20"/>
              </w:rPr>
            </w:pPr>
            <w:r w:rsidRPr="005114E7">
              <w:rPr>
                <w:rFonts w:eastAsia="Times New Roman" w:cs="Calibri"/>
                <w:b/>
                <w:bCs/>
                <w:color w:val="000000"/>
                <w:lang w:val="mk" w:eastAsia="en-AU"/>
              </w:rPr>
              <w:t>Вкупно на национално ниво</w:t>
            </w:r>
          </w:p>
        </w:tc>
        <w:tc>
          <w:tcPr>
            <w:tcW w:w="714" w:type="pct"/>
            <w:shd w:val="clear" w:color="auto" w:fill="E4E9F3"/>
          </w:tcPr>
          <w:p w14:paraId="19767AB9" w14:textId="57E77AEA" w:rsidR="00F459C7" w:rsidRPr="005114E7" w:rsidRDefault="00F459C7" w:rsidP="00B30536">
            <w:pPr>
              <w:jc w:val="right"/>
              <w:rPr>
                <w:b/>
                <w:sz w:val="20"/>
                <w:szCs w:val="20"/>
              </w:rPr>
            </w:pPr>
            <w:r w:rsidRPr="005114E7">
              <w:rPr>
                <w:b/>
                <w:sz w:val="20"/>
                <w:szCs w:val="20"/>
              </w:rPr>
              <w:t>17</w:t>
            </w:r>
          </w:p>
        </w:tc>
        <w:tc>
          <w:tcPr>
            <w:tcW w:w="697" w:type="pct"/>
            <w:shd w:val="clear" w:color="auto" w:fill="E4E9F3"/>
          </w:tcPr>
          <w:p w14:paraId="714ED289" w14:textId="0F28668C" w:rsidR="00F459C7" w:rsidRPr="005114E7" w:rsidRDefault="00F459C7" w:rsidP="00B30536">
            <w:pPr>
              <w:jc w:val="right"/>
              <w:rPr>
                <w:b/>
                <w:sz w:val="20"/>
                <w:szCs w:val="20"/>
              </w:rPr>
            </w:pPr>
            <w:r w:rsidRPr="005114E7">
              <w:rPr>
                <w:b/>
                <w:sz w:val="20"/>
                <w:szCs w:val="20"/>
              </w:rPr>
              <w:t>47</w:t>
            </w:r>
          </w:p>
        </w:tc>
        <w:tc>
          <w:tcPr>
            <w:tcW w:w="698" w:type="pct"/>
            <w:shd w:val="clear" w:color="auto" w:fill="E4E9F3"/>
          </w:tcPr>
          <w:p w14:paraId="77EFCEF9" w14:textId="4D0FDFCE" w:rsidR="00F459C7" w:rsidRPr="005114E7" w:rsidRDefault="00F459C7" w:rsidP="00B30536">
            <w:pPr>
              <w:jc w:val="right"/>
              <w:rPr>
                <w:b/>
                <w:sz w:val="20"/>
                <w:szCs w:val="20"/>
              </w:rPr>
            </w:pPr>
            <w:r w:rsidRPr="005114E7">
              <w:rPr>
                <w:b/>
                <w:sz w:val="20"/>
                <w:szCs w:val="20"/>
              </w:rPr>
              <w:t>9</w:t>
            </w:r>
          </w:p>
        </w:tc>
        <w:tc>
          <w:tcPr>
            <w:tcW w:w="698" w:type="pct"/>
            <w:shd w:val="clear" w:color="auto" w:fill="E4E9F3"/>
          </w:tcPr>
          <w:p w14:paraId="45E41460" w14:textId="3FAE3EF1" w:rsidR="00F459C7" w:rsidRPr="005114E7" w:rsidRDefault="00F459C7" w:rsidP="00B30536">
            <w:pPr>
              <w:jc w:val="right"/>
              <w:rPr>
                <w:b/>
                <w:sz w:val="20"/>
                <w:szCs w:val="20"/>
              </w:rPr>
            </w:pPr>
            <w:r w:rsidRPr="005114E7">
              <w:rPr>
                <w:b/>
                <w:sz w:val="20"/>
                <w:szCs w:val="20"/>
              </w:rPr>
              <w:t>0</w:t>
            </w:r>
          </w:p>
        </w:tc>
        <w:tc>
          <w:tcPr>
            <w:tcW w:w="698" w:type="pct"/>
            <w:shd w:val="clear" w:color="auto" w:fill="E4E9F3"/>
          </w:tcPr>
          <w:p w14:paraId="59EE92B2" w14:textId="5CC428C3" w:rsidR="00F459C7" w:rsidRPr="005114E7" w:rsidRDefault="00F459C7" w:rsidP="00B30536">
            <w:pPr>
              <w:jc w:val="right"/>
              <w:rPr>
                <w:b/>
                <w:sz w:val="20"/>
                <w:szCs w:val="20"/>
              </w:rPr>
            </w:pPr>
            <w:r w:rsidRPr="005114E7">
              <w:rPr>
                <w:b/>
                <w:sz w:val="20"/>
                <w:szCs w:val="20"/>
              </w:rPr>
              <w:t>0</w:t>
            </w:r>
          </w:p>
        </w:tc>
        <w:tc>
          <w:tcPr>
            <w:tcW w:w="698" w:type="pct"/>
            <w:shd w:val="clear" w:color="auto" w:fill="E4E9F3"/>
          </w:tcPr>
          <w:p w14:paraId="307E9F1E" w14:textId="77777777" w:rsidR="00F459C7" w:rsidRPr="005114E7" w:rsidRDefault="00F459C7" w:rsidP="00B30536">
            <w:pPr>
              <w:jc w:val="right"/>
              <w:rPr>
                <w:b/>
                <w:sz w:val="20"/>
                <w:szCs w:val="20"/>
              </w:rPr>
            </w:pPr>
            <w:r w:rsidRPr="005114E7">
              <w:rPr>
                <w:b/>
                <w:sz w:val="20"/>
                <w:szCs w:val="20"/>
              </w:rPr>
              <w:t>73</w:t>
            </w:r>
          </w:p>
        </w:tc>
      </w:tr>
    </w:tbl>
    <w:p w14:paraId="222C8822" w14:textId="385EE309" w:rsidR="008E35C9" w:rsidRPr="005114E7" w:rsidRDefault="00F530FF" w:rsidP="00B30536">
      <w:pPr>
        <w:spacing w:before="240" w:after="240" w:line="240" w:lineRule="auto"/>
      </w:pPr>
      <w:r w:rsidRPr="005114E7">
        <w:rPr>
          <w:rFonts w:cs="Arial"/>
          <w:lang w:val="mk-MK"/>
        </w:rPr>
        <w:t xml:space="preserve">Табела 4: Планот </w:t>
      </w:r>
      <w:r w:rsidRPr="005114E7">
        <w:rPr>
          <w:rFonts w:cs="Arial"/>
        </w:rPr>
        <w:t>TAP</w:t>
      </w:r>
      <w:r w:rsidRPr="005114E7">
        <w:rPr>
          <w:rFonts w:cs="Arial"/>
          <w:lang w:val="mk-MK"/>
        </w:rPr>
        <w:t xml:space="preserve"> за вработување – напредување на акциите согласно поставените цели во </w:t>
      </w:r>
      <w:r w:rsidRPr="005114E7">
        <w:rPr>
          <w:rFonts w:cs="Arial"/>
        </w:rPr>
        <w:t>2022-2023</w:t>
      </w:r>
      <w:r w:rsidRPr="005114E7">
        <w:rPr>
          <w:rFonts w:cs="Arial"/>
          <w:lang w:val="mk-MK"/>
        </w:rPr>
        <w:t xml:space="preserve"> г.</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74"/>
        <w:gridCol w:w="1320"/>
        <w:gridCol w:w="1288"/>
        <w:gridCol w:w="1290"/>
        <w:gridCol w:w="1290"/>
        <w:gridCol w:w="1290"/>
        <w:gridCol w:w="1290"/>
      </w:tblGrid>
      <w:tr w:rsidR="00F459C7" w:rsidRPr="005114E7" w14:paraId="600E313B" w14:textId="77777777" w:rsidTr="00F459C7">
        <w:trPr>
          <w:jc w:val="right"/>
        </w:trPr>
        <w:tc>
          <w:tcPr>
            <w:tcW w:w="797" w:type="pct"/>
            <w:tcBorders>
              <w:top w:val="nil"/>
              <w:bottom w:val="single" w:sz="4" w:space="0" w:color="auto"/>
              <w:right w:val="single" w:sz="4" w:space="0" w:color="FFFFFF" w:themeColor="background1"/>
            </w:tcBorders>
            <w:shd w:val="clear" w:color="auto" w:fill="6C1740"/>
          </w:tcPr>
          <w:p w14:paraId="43718EB0" w14:textId="0AFA1A1A" w:rsidR="00F459C7" w:rsidRPr="005114E7" w:rsidRDefault="00F459C7" w:rsidP="00F459C7">
            <w:pPr>
              <w:rPr>
                <w:b/>
                <w:color w:val="FFFFFF" w:themeColor="background1"/>
                <w:sz w:val="20"/>
                <w:szCs w:val="20"/>
              </w:rPr>
            </w:pPr>
            <w:bookmarkStart w:id="10" w:name="Title_04"/>
            <w:bookmarkEnd w:id="10"/>
            <w:r w:rsidRPr="005114E7">
              <w:rPr>
                <w:rFonts w:eastAsia="Times New Roman" w:cs="Calibri"/>
                <w:b/>
                <w:bCs/>
                <w:color w:val="FFFFFF" w:themeColor="background1"/>
                <w:lang w:val="mk" w:eastAsia="en-AU"/>
              </w:rPr>
              <w:t>Цел</w:t>
            </w:r>
          </w:p>
        </w:tc>
        <w:tc>
          <w:tcPr>
            <w:tcW w:w="714"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35396A09" w:rsidR="00F459C7" w:rsidRPr="005114E7" w:rsidRDefault="00F459C7" w:rsidP="00A85829">
            <w:pPr>
              <w:jc w:val="right"/>
              <w:rPr>
                <w:b/>
                <w:sz w:val="20"/>
                <w:szCs w:val="20"/>
              </w:rPr>
            </w:pPr>
            <w:r w:rsidRPr="005114E7">
              <w:rPr>
                <w:rFonts w:eastAsia="Times New Roman" w:cs="Calibri"/>
                <w:b/>
                <w:bCs/>
                <w:color w:val="FFFFFF" w:themeColor="background1"/>
                <w:lang w:val="mk" w:eastAsia="en-AU"/>
              </w:rPr>
              <w:t>Завршено</w:t>
            </w:r>
          </w:p>
        </w:tc>
        <w:tc>
          <w:tcPr>
            <w:tcW w:w="697"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4BF13E10" w:rsidR="00F459C7" w:rsidRPr="005114E7" w:rsidRDefault="00F459C7" w:rsidP="00A85829">
            <w:pPr>
              <w:jc w:val="right"/>
              <w:rPr>
                <w:b/>
                <w:sz w:val="20"/>
                <w:szCs w:val="20"/>
              </w:rPr>
            </w:pPr>
            <w:r w:rsidRPr="005114E7">
              <w:rPr>
                <w:rFonts w:eastAsia="Times New Roman" w:cs="Calibri"/>
                <w:b/>
                <w:bCs/>
                <w:color w:val="FFFFFF" w:themeColor="background1"/>
                <w:lang w:val="mk" w:eastAsia="en-AU"/>
              </w:rPr>
              <w:t>Навреме</w:t>
            </w:r>
          </w:p>
        </w:tc>
        <w:tc>
          <w:tcPr>
            <w:tcW w:w="698"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2FDD6D7B" w:rsidR="00F459C7" w:rsidRPr="005114E7" w:rsidRDefault="00F459C7" w:rsidP="00A85829">
            <w:pPr>
              <w:jc w:val="right"/>
              <w:rPr>
                <w:b/>
                <w:sz w:val="20"/>
                <w:szCs w:val="20"/>
              </w:rPr>
            </w:pPr>
            <w:r w:rsidRPr="005114E7">
              <w:rPr>
                <w:rFonts w:eastAsia="Times New Roman" w:cs="Calibri"/>
                <w:b/>
                <w:bCs/>
                <w:color w:val="FFFFFF" w:themeColor="background1"/>
                <w:lang w:val="mk" w:eastAsia="en-AU"/>
              </w:rPr>
              <w:t>Доцнење</w:t>
            </w:r>
          </w:p>
        </w:tc>
        <w:tc>
          <w:tcPr>
            <w:tcW w:w="698"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783494DF" w:rsidR="00F459C7" w:rsidRPr="005114E7" w:rsidRDefault="00F459C7" w:rsidP="00A85829">
            <w:pPr>
              <w:jc w:val="right"/>
              <w:rPr>
                <w:b/>
                <w:sz w:val="20"/>
                <w:szCs w:val="20"/>
              </w:rPr>
            </w:pPr>
            <w:r w:rsidRPr="005114E7">
              <w:rPr>
                <w:rFonts w:eastAsia="Times New Roman" w:cs="Calibri"/>
                <w:b/>
                <w:bCs/>
                <w:color w:val="FFFFFF" w:themeColor="background1"/>
                <w:lang w:val="mk" w:eastAsia="en-AU"/>
              </w:rPr>
              <w:t>Паузира</w:t>
            </w:r>
          </w:p>
        </w:tc>
        <w:tc>
          <w:tcPr>
            <w:tcW w:w="698"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7D1B25D4" w:rsidR="00F459C7" w:rsidRPr="005114E7" w:rsidRDefault="00F459C7" w:rsidP="00A85829">
            <w:pPr>
              <w:jc w:val="right"/>
              <w:rPr>
                <w:b/>
                <w:sz w:val="20"/>
                <w:szCs w:val="20"/>
              </w:rPr>
            </w:pPr>
            <w:r w:rsidRPr="005114E7">
              <w:rPr>
                <w:rFonts w:eastAsia="Times New Roman" w:cs="Calibri"/>
                <w:b/>
                <w:bCs/>
                <w:color w:val="FFFFFF" w:themeColor="background1"/>
                <w:lang w:val="mk" w:eastAsia="en-AU"/>
              </w:rPr>
              <w:t xml:space="preserve">Ќе започне во </w:t>
            </w:r>
            <w:r w:rsidRPr="005114E7">
              <w:rPr>
                <w:rFonts w:eastAsia="Times New Roman" w:cs="Calibri"/>
                <w:b/>
                <w:bCs/>
                <w:color w:val="FFFFFF" w:themeColor="background1"/>
                <w:lang w:val="mk" w:eastAsia="en-AU"/>
              </w:rPr>
              <w:lastRenderedPageBreak/>
              <w:t>иднина</w:t>
            </w:r>
          </w:p>
        </w:tc>
        <w:tc>
          <w:tcPr>
            <w:tcW w:w="698" w:type="pct"/>
            <w:tcBorders>
              <w:top w:val="nil"/>
              <w:left w:val="single" w:sz="4" w:space="0" w:color="FFFFFF" w:themeColor="background1"/>
              <w:bottom w:val="single" w:sz="4" w:space="0" w:color="auto"/>
            </w:tcBorders>
            <w:shd w:val="clear" w:color="auto" w:fill="6C1740"/>
          </w:tcPr>
          <w:p w14:paraId="4A2DF49E" w14:textId="7DC504B2" w:rsidR="00F459C7" w:rsidRPr="005114E7" w:rsidRDefault="00F459C7" w:rsidP="00A85829">
            <w:pPr>
              <w:jc w:val="right"/>
              <w:rPr>
                <w:b/>
                <w:sz w:val="20"/>
                <w:szCs w:val="20"/>
              </w:rPr>
            </w:pPr>
            <w:r w:rsidRPr="005114E7">
              <w:rPr>
                <w:rFonts w:eastAsia="Times New Roman" w:cs="Calibri"/>
                <w:b/>
                <w:bCs/>
                <w:color w:val="FFFFFF" w:themeColor="background1"/>
                <w:lang w:val="mk" w:eastAsia="en-AU"/>
              </w:rPr>
              <w:lastRenderedPageBreak/>
              <w:t>Вкупно</w:t>
            </w:r>
          </w:p>
        </w:tc>
      </w:tr>
      <w:tr w:rsidR="00F459C7" w:rsidRPr="005114E7" w14:paraId="53AC3D9D" w14:textId="77777777" w:rsidTr="00F459C7">
        <w:trPr>
          <w:jc w:val="right"/>
        </w:trPr>
        <w:tc>
          <w:tcPr>
            <w:tcW w:w="797" w:type="pct"/>
            <w:tcBorders>
              <w:top w:val="single" w:sz="4" w:space="0" w:color="auto"/>
            </w:tcBorders>
            <w:vAlign w:val="bottom"/>
          </w:tcPr>
          <w:p w14:paraId="1B838A7D" w14:textId="0F2E4ECB" w:rsidR="00F459C7" w:rsidRPr="005114E7" w:rsidRDefault="00F459C7" w:rsidP="008F6E78">
            <w:pPr>
              <w:rPr>
                <w:sz w:val="20"/>
                <w:szCs w:val="20"/>
              </w:rPr>
            </w:pPr>
            <w:r w:rsidRPr="005114E7">
              <w:rPr>
                <w:rFonts w:eastAsia="Times New Roman" w:cs="Calibri"/>
                <w:color w:val="000000"/>
                <w:lang w:val="mk" w:eastAsia="en-AU"/>
              </w:rPr>
              <w:lastRenderedPageBreak/>
              <w:t>Цел 1</w:t>
            </w:r>
          </w:p>
        </w:tc>
        <w:tc>
          <w:tcPr>
            <w:tcW w:w="714" w:type="pct"/>
            <w:tcBorders>
              <w:top w:val="single" w:sz="4" w:space="0" w:color="auto"/>
            </w:tcBorders>
          </w:tcPr>
          <w:p w14:paraId="2064A006" w14:textId="00D053BC" w:rsidR="00F459C7" w:rsidRPr="005114E7" w:rsidRDefault="00F459C7" w:rsidP="00A85829">
            <w:pPr>
              <w:jc w:val="right"/>
              <w:rPr>
                <w:sz w:val="20"/>
                <w:szCs w:val="20"/>
              </w:rPr>
            </w:pPr>
            <w:r w:rsidRPr="005114E7">
              <w:rPr>
                <w:sz w:val="20"/>
                <w:szCs w:val="20"/>
              </w:rPr>
              <w:t>12</w:t>
            </w:r>
          </w:p>
        </w:tc>
        <w:tc>
          <w:tcPr>
            <w:tcW w:w="697" w:type="pct"/>
            <w:tcBorders>
              <w:top w:val="single" w:sz="4" w:space="0" w:color="auto"/>
            </w:tcBorders>
          </w:tcPr>
          <w:p w14:paraId="4F5BCC03" w14:textId="7509CE67" w:rsidR="00F459C7" w:rsidRPr="005114E7" w:rsidRDefault="00F459C7" w:rsidP="00A85829">
            <w:pPr>
              <w:jc w:val="right"/>
              <w:rPr>
                <w:sz w:val="20"/>
                <w:szCs w:val="20"/>
              </w:rPr>
            </w:pPr>
            <w:r w:rsidRPr="005114E7">
              <w:rPr>
                <w:sz w:val="20"/>
                <w:szCs w:val="20"/>
              </w:rPr>
              <w:t>28</w:t>
            </w:r>
          </w:p>
        </w:tc>
        <w:tc>
          <w:tcPr>
            <w:tcW w:w="698" w:type="pct"/>
            <w:tcBorders>
              <w:top w:val="single" w:sz="4" w:space="0" w:color="auto"/>
            </w:tcBorders>
          </w:tcPr>
          <w:p w14:paraId="0FAE7406" w14:textId="14404D31" w:rsidR="00F459C7" w:rsidRPr="005114E7" w:rsidRDefault="00F459C7" w:rsidP="00A85829">
            <w:pPr>
              <w:jc w:val="right"/>
              <w:rPr>
                <w:sz w:val="20"/>
                <w:szCs w:val="20"/>
              </w:rPr>
            </w:pPr>
            <w:r w:rsidRPr="005114E7">
              <w:rPr>
                <w:sz w:val="20"/>
                <w:szCs w:val="20"/>
              </w:rPr>
              <w:t>8</w:t>
            </w:r>
          </w:p>
        </w:tc>
        <w:tc>
          <w:tcPr>
            <w:tcW w:w="698" w:type="pct"/>
            <w:tcBorders>
              <w:top w:val="single" w:sz="4" w:space="0" w:color="auto"/>
            </w:tcBorders>
          </w:tcPr>
          <w:p w14:paraId="32A5B0FE" w14:textId="56C5D29D" w:rsidR="00F459C7" w:rsidRPr="005114E7" w:rsidRDefault="00F459C7" w:rsidP="00A85829">
            <w:pPr>
              <w:jc w:val="right"/>
              <w:rPr>
                <w:sz w:val="20"/>
                <w:szCs w:val="20"/>
              </w:rPr>
            </w:pPr>
            <w:r w:rsidRPr="005114E7">
              <w:rPr>
                <w:sz w:val="20"/>
                <w:szCs w:val="20"/>
              </w:rPr>
              <w:t>0</w:t>
            </w:r>
          </w:p>
        </w:tc>
        <w:tc>
          <w:tcPr>
            <w:tcW w:w="698" w:type="pct"/>
            <w:tcBorders>
              <w:top w:val="single" w:sz="4" w:space="0" w:color="auto"/>
            </w:tcBorders>
          </w:tcPr>
          <w:p w14:paraId="1983DD90" w14:textId="0A4D66D0" w:rsidR="00F459C7" w:rsidRPr="005114E7" w:rsidRDefault="00F459C7" w:rsidP="00A85829">
            <w:pPr>
              <w:jc w:val="right"/>
              <w:rPr>
                <w:sz w:val="20"/>
                <w:szCs w:val="20"/>
              </w:rPr>
            </w:pPr>
            <w:r w:rsidRPr="005114E7">
              <w:rPr>
                <w:sz w:val="20"/>
                <w:szCs w:val="20"/>
              </w:rPr>
              <w:t>0</w:t>
            </w:r>
          </w:p>
        </w:tc>
        <w:tc>
          <w:tcPr>
            <w:tcW w:w="698" w:type="pct"/>
            <w:tcBorders>
              <w:top w:val="single" w:sz="4" w:space="0" w:color="auto"/>
            </w:tcBorders>
          </w:tcPr>
          <w:p w14:paraId="72D79641" w14:textId="5828EE3D" w:rsidR="00F459C7" w:rsidRPr="005114E7" w:rsidRDefault="00F459C7" w:rsidP="00A85829">
            <w:pPr>
              <w:jc w:val="right"/>
              <w:rPr>
                <w:sz w:val="20"/>
                <w:szCs w:val="20"/>
              </w:rPr>
            </w:pPr>
            <w:r w:rsidRPr="005114E7">
              <w:rPr>
                <w:sz w:val="20"/>
                <w:szCs w:val="20"/>
              </w:rPr>
              <w:t>48</w:t>
            </w:r>
          </w:p>
        </w:tc>
      </w:tr>
      <w:tr w:rsidR="00F459C7" w:rsidRPr="005114E7" w14:paraId="0E42F2F1" w14:textId="77777777" w:rsidTr="00F459C7">
        <w:trPr>
          <w:jc w:val="right"/>
        </w:trPr>
        <w:tc>
          <w:tcPr>
            <w:tcW w:w="797" w:type="pct"/>
            <w:shd w:val="clear" w:color="auto" w:fill="FAF9F8"/>
            <w:vAlign w:val="bottom"/>
          </w:tcPr>
          <w:p w14:paraId="11C48F92" w14:textId="30C8D529" w:rsidR="00F459C7" w:rsidRPr="005114E7" w:rsidRDefault="00F459C7" w:rsidP="008F6E78">
            <w:pPr>
              <w:rPr>
                <w:sz w:val="20"/>
                <w:szCs w:val="20"/>
              </w:rPr>
            </w:pPr>
            <w:r w:rsidRPr="005114E7">
              <w:rPr>
                <w:rFonts w:eastAsia="Times New Roman" w:cs="Calibri"/>
                <w:color w:val="000000"/>
                <w:lang w:val="mk" w:eastAsia="en-AU"/>
              </w:rPr>
              <w:t>Цел 2</w:t>
            </w:r>
          </w:p>
        </w:tc>
        <w:tc>
          <w:tcPr>
            <w:tcW w:w="714" w:type="pct"/>
            <w:shd w:val="clear" w:color="auto" w:fill="FAF9F8"/>
          </w:tcPr>
          <w:p w14:paraId="3CC49E38" w14:textId="641DB4B4" w:rsidR="00F459C7" w:rsidRPr="005114E7" w:rsidRDefault="00F459C7" w:rsidP="00A85829">
            <w:pPr>
              <w:jc w:val="right"/>
              <w:rPr>
                <w:sz w:val="20"/>
                <w:szCs w:val="20"/>
              </w:rPr>
            </w:pPr>
            <w:r w:rsidRPr="005114E7">
              <w:rPr>
                <w:sz w:val="20"/>
                <w:szCs w:val="20"/>
              </w:rPr>
              <w:t>5</w:t>
            </w:r>
          </w:p>
        </w:tc>
        <w:tc>
          <w:tcPr>
            <w:tcW w:w="697" w:type="pct"/>
            <w:shd w:val="clear" w:color="auto" w:fill="FAF9F8"/>
          </w:tcPr>
          <w:p w14:paraId="5DF69D70" w14:textId="7963C340" w:rsidR="00F459C7" w:rsidRPr="005114E7" w:rsidRDefault="00F459C7" w:rsidP="00A85829">
            <w:pPr>
              <w:jc w:val="right"/>
              <w:rPr>
                <w:sz w:val="20"/>
                <w:szCs w:val="20"/>
              </w:rPr>
            </w:pPr>
            <w:r w:rsidRPr="005114E7">
              <w:rPr>
                <w:sz w:val="20"/>
                <w:szCs w:val="20"/>
              </w:rPr>
              <w:t>19</w:t>
            </w:r>
          </w:p>
        </w:tc>
        <w:tc>
          <w:tcPr>
            <w:tcW w:w="698" w:type="pct"/>
            <w:shd w:val="clear" w:color="auto" w:fill="FAF9F8"/>
          </w:tcPr>
          <w:p w14:paraId="5902BC62" w14:textId="3140F7EF" w:rsidR="00F459C7" w:rsidRPr="005114E7" w:rsidRDefault="00F459C7" w:rsidP="00A85829">
            <w:pPr>
              <w:jc w:val="right"/>
              <w:rPr>
                <w:sz w:val="20"/>
                <w:szCs w:val="20"/>
              </w:rPr>
            </w:pPr>
            <w:r w:rsidRPr="005114E7">
              <w:rPr>
                <w:sz w:val="20"/>
                <w:szCs w:val="20"/>
              </w:rPr>
              <w:t>1</w:t>
            </w:r>
          </w:p>
        </w:tc>
        <w:tc>
          <w:tcPr>
            <w:tcW w:w="698" w:type="pct"/>
            <w:shd w:val="clear" w:color="auto" w:fill="FAF9F8"/>
          </w:tcPr>
          <w:p w14:paraId="5901EE9E" w14:textId="0A8DF466" w:rsidR="00F459C7" w:rsidRPr="005114E7" w:rsidRDefault="00F459C7" w:rsidP="00A85829">
            <w:pPr>
              <w:jc w:val="right"/>
              <w:rPr>
                <w:sz w:val="20"/>
                <w:szCs w:val="20"/>
              </w:rPr>
            </w:pPr>
            <w:r w:rsidRPr="005114E7">
              <w:rPr>
                <w:sz w:val="20"/>
                <w:szCs w:val="20"/>
              </w:rPr>
              <w:t>0</w:t>
            </w:r>
          </w:p>
        </w:tc>
        <w:tc>
          <w:tcPr>
            <w:tcW w:w="698" w:type="pct"/>
            <w:shd w:val="clear" w:color="auto" w:fill="FAF9F8"/>
          </w:tcPr>
          <w:p w14:paraId="3A2BF645" w14:textId="55E3E6FD" w:rsidR="00F459C7" w:rsidRPr="005114E7" w:rsidRDefault="00F459C7" w:rsidP="00A85829">
            <w:pPr>
              <w:jc w:val="right"/>
              <w:rPr>
                <w:sz w:val="20"/>
                <w:szCs w:val="20"/>
              </w:rPr>
            </w:pPr>
            <w:r w:rsidRPr="005114E7">
              <w:rPr>
                <w:sz w:val="20"/>
                <w:szCs w:val="20"/>
              </w:rPr>
              <w:t>0</w:t>
            </w:r>
          </w:p>
        </w:tc>
        <w:tc>
          <w:tcPr>
            <w:tcW w:w="698" w:type="pct"/>
            <w:shd w:val="clear" w:color="auto" w:fill="FAF9F8"/>
          </w:tcPr>
          <w:p w14:paraId="43938ADC" w14:textId="56102FA3" w:rsidR="00F459C7" w:rsidRPr="005114E7" w:rsidRDefault="00F459C7" w:rsidP="00A85829">
            <w:pPr>
              <w:jc w:val="right"/>
              <w:rPr>
                <w:sz w:val="20"/>
                <w:szCs w:val="20"/>
              </w:rPr>
            </w:pPr>
            <w:r w:rsidRPr="005114E7">
              <w:rPr>
                <w:sz w:val="20"/>
                <w:szCs w:val="20"/>
              </w:rPr>
              <w:t>25</w:t>
            </w:r>
          </w:p>
        </w:tc>
      </w:tr>
      <w:tr w:rsidR="00FD75A9" w:rsidRPr="005114E7" w14:paraId="339FBA49" w14:textId="77777777" w:rsidTr="00F459C7">
        <w:trPr>
          <w:jc w:val="right"/>
        </w:trPr>
        <w:tc>
          <w:tcPr>
            <w:tcW w:w="797" w:type="pct"/>
            <w:shd w:val="clear" w:color="auto" w:fill="E4E9F3"/>
          </w:tcPr>
          <w:p w14:paraId="396EB2EF" w14:textId="1620486E" w:rsidR="008F6E78" w:rsidRPr="005114E7" w:rsidRDefault="00F459C7" w:rsidP="008F6E78">
            <w:pPr>
              <w:rPr>
                <w:b/>
                <w:sz w:val="20"/>
                <w:szCs w:val="20"/>
              </w:rPr>
            </w:pPr>
            <w:r w:rsidRPr="005114E7">
              <w:rPr>
                <w:rFonts w:eastAsia="Times New Roman" w:cs="Calibri"/>
                <w:b/>
                <w:bCs/>
                <w:color w:val="000000"/>
                <w:lang w:val="mk" w:eastAsia="en-AU"/>
              </w:rPr>
              <w:t>Севкупно</w:t>
            </w:r>
          </w:p>
        </w:tc>
        <w:tc>
          <w:tcPr>
            <w:tcW w:w="714" w:type="pct"/>
            <w:shd w:val="clear" w:color="auto" w:fill="E4E9F3"/>
          </w:tcPr>
          <w:p w14:paraId="66D35B2E" w14:textId="6C1F6670" w:rsidR="008F6E78" w:rsidRPr="005114E7" w:rsidRDefault="002D06EB" w:rsidP="00A85829">
            <w:pPr>
              <w:jc w:val="right"/>
              <w:rPr>
                <w:b/>
                <w:sz w:val="20"/>
                <w:szCs w:val="20"/>
              </w:rPr>
            </w:pPr>
            <w:r w:rsidRPr="005114E7">
              <w:rPr>
                <w:b/>
                <w:sz w:val="20"/>
                <w:szCs w:val="20"/>
              </w:rPr>
              <w:t>17</w:t>
            </w:r>
          </w:p>
        </w:tc>
        <w:tc>
          <w:tcPr>
            <w:tcW w:w="697" w:type="pct"/>
            <w:shd w:val="clear" w:color="auto" w:fill="E4E9F3"/>
          </w:tcPr>
          <w:p w14:paraId="555DE42D" w14:textId="01DE0960" w:rsidR="008F6E78" w:rsidRPr="005114E7" w:rsidRDefault="00E732EA" w:rsidP="00A85829">
            <w:pPr>
              <w:jc w:val="right"/>
              <w:rPr>
                <w:b/>
                <w:sz w:val="20"/>
                <w:szCs w:val="20"/>
              </w:rPr>
            </w:pPr>
            <w:r w:rsidRPr="005114E7">
              <w:rPr>
                <w:b/>
                <w:sz w:val="20"/>
                <w:szCs w:val="20"/>
              </w:rPr>
              <w:t>47</w:t>
            </w:r>
          </w:p>
        </w:tc>
        <w:tc>
          <w:tcPr>
            <w:tcW w:w="698" w:type="pct"/>
            <w:shd w:val="clear" w:color="auto" w:fill="E4E9F3"/>
          </w:tcPr>
          <w:p w14:paraId="0E0784D7" w14:textId="3E1A60AC" w:rsidR="008F6E78" w:rsidRPr="005114E7" w:rsidRDefault="00E732EA" w:rsidP="00A85829">
            <w:pPr>
              <w:jc w:val="right"/>
              <w:rPr>
                <w:b/>
                <w:sz w:val="20"/>
                <w:szCs w:val="20"/>
              </w:rPr>
            </w:pPr>
            <w:r w:rsidRPr="005114E7">
              <w:rPr>
                <w:b/>
                <w:sz w:val="20"/>
                <w:szCs w:val="20"/>
              </w:rPr>
              <w:t>9</w:t>
            </w:r>
          </w:p>
        </w:tc>
        <w:tc>
          <w:tcPr>
            <w:tcW w:w="698" w:type="pct"/>
            <w:shd w:val="clear" w:color="auto" w:fill="E4E9F3"/>
          </w:tcPr>
          <w:p w14:paraId="517FF48F" w14:textId="794A6643" w:rsidR="008F6E78" w:rsidRPr="005114E7" w:rsidRDefault="002D06EB" w:rsidP="00A85829">
            <w:pPr>
              <w:jc w:val="right"/>
              <w:rPr>
                <w:b/>
                <w:sz w:val="20"/>
                <w:szCs w:val="20"/>
              </w:rPr>
            </w:pPr>
            <w:r w:rsidRPr="005114E7">
              <w:rPr>
                <w:b/>
                <w:sz w:val="20"/>
                <w:szCs w:val="20"/>
              </w:rPr>
              <w:t>0</w:t>
            </w:r>
          </w:p>
        </w:tc>
        <w:tc>
          <w:tcPr>
            <w:tcW w:w="698" w:type="pct"/>
            <w:shd w:val="clear" w:color="auto" w:fill="E4E9F3"/>
          </w:tcPr>
          <w:p w14:paraId="34D60497" w14:textId="77327FCE" w:rsidR="008F6E78" w:rsidRPr="005114E7" w:rsidRDefault="002D06EB" w:rsidP="00A85829">
            <w:pPr>
              <w:jc w:val="right"/>
              <w:rPr>
                <w:b/>
                <w:sz w:val="20"/>
                <w:szCs w:val="20"/>
              </w:rPr>
            </w:pPr>
            <w:r w:rsidRPr="005114E7">
              <w:rPr>
                <w:b/>
                <w:sz w:val="20"/>
                <w:szCs w:val="20"/>
              </w:rPr>
              <w:t>0</w:t>
            </w:r>
          </w:p>
        </w:tc>
        <w:tc>
          <w:tcPr>
            <w:tcW w:w="698" w:type="pct"/>
            <w:shd w:val="clear" w:color="auto" w:fill="E4E9F3"/>
          </w:tcPr>
          <w:p w14:paraId="117AEB40" w14:textId="77777777" w:rsidR="008F6E78" w:rsidRPr="005114E7" w:rsidRDefault="00BF0891" w:rsidP="00A85829">
            <w:pPr>
              <w:jc w:val="right"/>
              <w:rPr>
                <w:b/>
                <w:sz w:val="20"/>
                <w:szCs w:val="20"/>
              </w:rPr>
            </w:pPr>
            <w:r w:rsidRPr="005114E7">
              <w:rPr>
                <w:b/>
                <w:sz w:val="20"/>
                <w:szCs w:val="20"/>
              </w:rPr>
              <w:t>73</w:t>
            </w:r>
          </w:p>
        </w:tc>
      </w:tr>
    </w:tbl>
    <w:p w14:paraId="0A14190C" w14:textId="77777777" w:rsidR="008E35C9" w:rsidRPr="005114E7" w:rsidRDefault="008E35C9">
      <w:r w:rsidRPr="005114E7">
        <w:br w:type="page"/>
      </w:r>
    </w:p>
    <w:p w14:paraId="3CBA0824" w14:textId="7A825330" w:rsidR="008E35C9" w:rsidRPr="005114E7" w:rsidRDefault="00007A06" w:rsidP="0094489E">
      <w:pPr>
        <w:pStyle w:val="Heading1"/>
      </w:pPr>
      <w:bookmarkStart w:id="11" w:name="_Toc153454133"/>
      <w:r w:rsidRPr="005114E7">
        <w:rPr>
          <w:rFonts w:cs="Arial"/>
          <w:lang w:val="mk-MK"/>
        </w:rPr>
        <w:lastRenderedPageBreak/>
        <w:t>План за насочена акција за односот на заедницата</w:t>
      </w:r>
      <w:bookmarkEnd w:id="11"/>
    </w:p>
    <w:p w14:paraId="25168A5F" w14:textId="08D8967B" w:rsidR="00DA227A" w:rsidRPr="005114E7" w:rsidRDefault="00007A06" w:rsidP="00515A1C">
      <w:pPr>
        <w:pStyle w:val="Heading2"/>
        <w:pBdr>
          <w:top w:val="none" w:sz="0" w:space="0" w:color="auto"/>
        </w:pBdr>
      </w:pPr>
      <w:bookmarkStart w:id="12" w:name="_Toc153454134"/>
      <w:r w:rsidRPr="005114E7">
        <w:rPr>
          <w:rFonts w:cs="Arial"/>
          <w:lang w:val="mk-MK"/>
        </w:rPr>
        <w:t>Вовед</w:t>
      </w:r>
      <w:bookmarkEnd w:id="12"/>
      <w:r w:rsidR="008E35C9" w:rsidRPr="005114E7">
        <w:t xml:space="preserve"> </w:t>
      </w:r>
    </w:p>
    <w:p w14:paraId="21277F99" w14:textId="77777777" w:rsidR="00007A06" w:rsidRPr="005114E7" w:rsidRDefault="00007A06" w:rsidP="00007A06">
      <w:pPr>
        <w:spacing w:before="240" w:after="240" w:line="240" w:lineRule="auto"/>
        <w:rPr>
          <w:rFonts w:cs="Arial"/>
        </w:rPr>
      </w:pPr>
      <w:r w:rsidRPr="005114E7">
        <w:rPr>
          <w:rFonts w:cs="Arial"/>
          <w:lang w:val="mk-MK"/>
        </w:rPr>
        <w:t>Планот ТАР за односот на заедницата има цел да поттикне напредок во однос на областа во којашто треба да се постигнат резултати во поглед на односот на заедницата (</w:t>
      </w:r>
      <w:r w:rsidRPr="005114E7">
        <w:rPr>
          <w:rFonts w:cs="Arial"/>
        </w:rPr>
        <w:t>Community Attitudes TAP</w:t>
      </w:r>
      <w:r w:rsidRPr="005114E7">
        <w:rPr>
          <w:rFonts w:cs="Arial"/>
          <w:lang w:val="mk-MK"/>
        </w:rPr>
        <w:t>) од Стратегијата</w:t>
      </w:r>
      <w:r w:rsidRPr="005114E7">
        <w:rPr>
          <w:rFonts w:cs="Arial"/>
        </w:rPr>
        <w:t xml:space="preserve"> ADS. </w:t>
      </w:r>
    </w:p>
    <w:p w14:paraId="0356DF69" w14:textId="77777777" w:rsidR="00007A06" w:rsidRPr="005114E7" w:rsidRDefault="00007A06" w:rsidP="00007A06">
      <w:pPr>
        <w:spacing w:before="240" w:after="240" w:line="240" w:lineRule="auto"/>
        <w:rPr>
          <w:rFonts w:cs="Arial"/>
        </w:rPr>
      </w:pPr>
      <w:r w:rsidRPr="005114E7">
        <w:rPr>
          <w:rFonts w:cs="Arial"/>
          <w:lang w:val="mk-MK"/>
        </w:rPr>
        <w:t>Оваа област во којашто треба да се постигнат резултати се стреми да осигури дека односот на заедницата ќе се подобри и ќе им овозможи на луѓето со онеспособеност да имаат целосна рамноправност, вклученост и учество во општеството.</w:t>
      </w:r>
    </w:p>
    <w:p w14:paraId="36C575EB" w14:textId="77777777" w:rsidR="00007A06" w:rsidRPr="005114E7" w:rsidRDefault="00007A06" w:rsidP="00007A06">
      <w:pPr>
        <w:spacing w:before="240" w:after="240" w:line="240" w:lineRule="auto"/>
        <w:rPr>
          <w:rFonts w:cs="Arial"/>
        </w:rPr>
      </w:pPr>
      <w:r w:rsidRPr="005114E7">
        <w:rPr>
          <w:rFonts w:cs="Arial"/>
          <w:lang w:val="mk-MK"/>
        </w:rPr>
        <w:t xml:space="preserve">Планот ТАР за односот на заедницата опфаќа 63 акции од страна на австралиската влада и владите на државите и териториите за коишто се поднесува извештај за периодот </w:t>
      </w:r>
      <w:r w:rsidRPr="005114E7">
        <w:rPr>
          <w:rFonts w:cs="Arial"/>
        </w:rPr>
        <w:t>2022-2023</w:t>
      </w:r>
      <w:r w:rsidRPr="005114E7">
        <w:rPr>
          <w:rFonts w:cs="Arial"/>
          <w:lang w:val="mk-MK"/>
        </w:rPr>
        <w:t xml:space="preserve"> г.</w:t>
      </w:r>
    </w:p>
    <w:p w14:paraId="566CA5F5" w14:textId="504989BE" w:rsidR="00007A06" w:rsidRPr="005114E7" w:rsidRDefault="00007A06" w:rsidP="00007A06">
      <w:pPr>
        <w:spacing w:before="240" w:after="240" w:line="240" w:lineRule="auto"/>
      </w:pPr>
      <w:r w:rsidRPr="005114E7">
        <w:rPr>
          <w:rFonts w:cs="Arial"/>
          <w:lang w:val="mk-MK"/>
        </w:rPr>
        <w:t>Тука спаѓаат акции што кај луѓето со онеспособеност ќе развијат доверба во клучните професионални лица, ќе го подобрат ангажирањето во заедницата и ќе обезбедат материјали за обука на персоналот кој има директен контакт со лицата со онеспособеност за да се подобри нивното разбирање на онеспособеноста.</w:t>
      </w:r>
    </w:p>
    <w:p w14:paraId="02B52D26" w14:textId="74DE9EA1" w:rsidR="008E35C9" w:rsidRPr="005114E7" w:rsidRDefault="00007A06" w:rsidP="0039316A">
      <w:pPr>
        <w:pStyle w:val="Heading2"/>
      </w:pPr>
      <w:bookmarkStart w:id="13" w:name="_Toc153454135"/>
      <w:r w:rsidRPr="005114E7">
        <w:rPr>
          <w:rFonts w:cs="Arial"/>
          <w:lang w:val="mk-MK"/>
        </w:rPr>
        <w:t>Цели</w:t>
      </w:r>
      <w:bookmarkEnd w:id="13"/>
      <w:r w:rsidR="008E35C9" w:rsidRPr="005114E7">
        <w:t xml:space="preserve"> </w:t>
      </w:r>
    </w:p>
    <w:p w14:paraId="12E161CA" w14:textId="77777777" w:rsidR="00007A06" w:rsidRPr="005114E7" w:rsidRDefault="00007A06" w:rsidP="008B50BE">
      <w:pPr>
        <w:pStyle w:val="ListParagraph"/>
        <w:numPr>
          <w:ilvl w:val="0"/>
          <w:numId w:val="23"/>
        </w:numPr>
        <w:spacing w:before="120" w:after="120" w:line="240" w:lineRule="auto"/>
        <w:contextualSpacing w:val="0"/>
        <w:rPr>
          <w:rFonts w:cs="Arial"/>
        </w:rPr>
      </w:pPr>
      <w:r w:rsidRPr="005114E7">
        <w:rPr>
          <w:rFonts w:cs="Arial"/>
          <w:lang w:val="mk-MK"/>
        </w:rPr>
        <w:t>Работодавците го ценат придонесот што го даваат луѓето со онеспособеност во работната сила и ги знаат користите од вработувањето на лица со онеспособеност.</w:t>
      </w:r>
    </w:p>
    <w:p w14:paraId="6B714FDB" w14:textId="233A9DB2" w:rsidR="00007A06" w:rsidRPr="005114E7" w:rsidRDefault="00007A06" w:rsidP="008B50BE">
      <w:pPr>
        <w:pStyle w:val="ListParagraph"/>
        <w:numPr>
          <w:ilvl w:val="0"/>
          <w:numId w:val="23"/>
        </w:numPr>
        <w:spacing w:before="120" w:after="120" w:line="240" w:lineRule="auto"/>
        <w:contextualSpacing w:val="0"/>
        <w:rPr>
          <w:rFonts w:cs="Arial"/>
          <w:lang w:val="mk-MK"/>
        </w:rPr>
      </w:pPr>
      <w:r w:rsidRPr="005114E7">
        <w:rPr>
          <w:rFonts w:cs="Arial"/>
          <w:lang w:val="mk-MK"/>
        </w:rPr>
        <w:t>Клучните професионални работници се способни сигурно и позитивно да им одговорат на лицата со онеспособеност.</w:t>
      </w:r>
    </w:p>
    <w:p w14:paraId="75117DB7" w14:textId="4A458F36" w:rsidR="00007A06" w:rsidRPr="005114E7" w:rsidRDefault="00007A06" w:rsidP="008B50BE">
      <w:pPr>
        <w:pStyle w:val="ListParagraph"/>
        <w:numPr>
          <w:ilvl w:val="0"/>
          <w:numId w:val="23"/>
        </w:numPr>
        <w:spacing w:before="120" w:after="120" w:line="240" w:lineRule="auto"/>
        <w:contextualSpacing w:val="0"/>
        <w:rPr>
          <w:rFonts w:cs="Arial"/>
        </w:rPr>
      </w:pPr>
      <w:r w:rsidRPr="005114E7">
        <w:rPr>
          <w:rFonts w:cs="Arial"/>
          <w:lang w:val="mk-MK"/>
        </w:rPr>
        <w:t>Зголемена застапеност на луѓето со онеспособеност на раководни места.</w:t>
      </w:r>
    </w:p>
    <w:p w14:paraId="10DD3FB3" w14:textId="335FC0D1" w:rsidR="00007A06" w:rsidRPr="005114E7" w:rsidRDefault="00007A06" w:rsidP="008B50BE">
      <w:pPr>
        <w:pStyle w:val="ListParagraph"/>
        <w:numPr>
          <w:ilvl w:val="0"/>
          <w:numId w:val="23"/>
        </w:numPr>
        <w:spacing w:before="120" w:after="120" w:line="240" w:lineRule="auto"/>
        <w:contextualSpacing w:val="0"/>
      </w:pPr>
      <w:r w:rsidRPr="005114E7">
        <w:rPr>
          <w:rFonts w:cs="Arial"/>
          <w:lang w:val="mk-MK"/>
        </w:rPr>
        <w:t>Подобрување на односот на заедницата заради позитивно влијание врз Правилникот за приоритети на Стратегијата</w:t>
      </w:r>
      <w:r w:rsidRPr="005114E7">
        <w:rPr>
          <w:rFonts w:cs="Arial"/>
        </w:rPr>
        <w:t>.</w:t>
      </w:r>
    </w:p>
    <w:p w14:paraId="16881111" w14:textId="77777777" w:rsidR="008E35C9" w:rsidRPr="005114E7" w:rsidRDefault="008E35C9">
      <w:r w:rsidRPr="005114E7">
        <w:br w:type="page"/>
      </w:r>
    </w:p>
    <w:p w14:paraId="7D038539" w14:textId="0CB7BFCB" w:rsidR="008E35C9" w:rsidRPr="005114E7" w:rsidRDefault="0034364B" w:rsidP="0066071F">
      <w:pPr>
        <w:rPr>
          <w:b/>
          <w:bCs/>
          <w:color w:val="6C1740"/>
          <w:sz w:val="94"/>
          <w:szCs w:val="94"/>
        </w:rPr>
      </w:pPr>
      <w:proofErr w:type="spellStart"/>
      <w:r w:rsidRPr="005114E7">
        <w:rPr>
          <w:b/>
          <w:bCs/>
          <w:color w:val="6C1740"/>
          <w:sz w:val="94"/>
          <w:szCs w:val="94"/>
        </w:rPr>
        <w:lastRenderedPageBreak/>
        <w:t>План</w:t>
      </w:r>
      <w:proofErr w:type="spellEnd"/>
      <w:r w:rsidRPr="005114E7">
        <w:rPr>
          <w:b/>
          <w:bCs/>
          <w:color w:val="6C1740"/>
          <w:sz w:val="94"/>
          <w:szCs w:val="94"/>
        </w:rPr>
        <w:t xml:space="preserve"> </w:t>
      </w:r>
      <w:proofErr w:type="spellStart"/>
      <w:r w:rsidRPr="005114E7">
        <w:rPr>
          <w:b/>
          <w:bCs/>
          <w:color w:val="6C1740"/>
          <w:sz w:val="94"/>
          <w:szCs w:val="94"/>
        </w:rPr>
        <w:t>за</w:t>
      </w:r>
      <w:proofErr w:type="spellEnd"/>
      <w:r w:rsidRPr="005114E7">
        <w:rPr>
          <w:b/>
          <w:bCs/>
          <w:color w:val="6C1740"/>
          <w:sz w:val="94"/>
          <w:szCs w:val="94"/>
        </w:rPr>
        <w:t xml:space="preserve"> </w:t>
      </w:r>
      <w:proofErr w:type="spellStart"/>
      <w:r w:rsidRPr="005114E7">
        <w:rPr>
          <w:b/>
          <w:bCs/>
          <w:color w:val="6C1740"/>
          <w:sz w:val="94"/>
          <w:szCs w:val="94"/>
        </w:rPr>
        <w:t>насочена</w:t>
      </w:r>
      <w:proofErr w:type="spellEnd"/>
      <w:r w:rsidRPr="005114E7">
        <w:rPr>
          <w:b/>
          <w:bCs/>
          <w:color w:val="6C1740"/>
          <w:sz w:val="94"/>
          <w:szCs w:val="94"/>
        </w:rPr>
        <w:t xml:space="preserve"> </w:t>
      </w:r>
      <w:proofErr w:type="spellStart"/>
      <w:r w:rsidRPr="005114E7">
        <w:rPr>
          <w:b/>
          <w:bCs/>
          <w:color w:val="6C1740"/>
          <w:sz w:val="94"/>
          <w:szCs w:val="94"/>
        </w:rPr>
        <w:t>акција</w:t>
      </w:r>
      <w:proofErr w:type="spellEnd"/>
      <w:r w:rsidRPr="005114E7">
        <w:rPr>
          <w:b/>
          <w:bCs/>
          <w:color w:val="6C1740"/>
          <w:sz w:val="94"/>
          <w:szCs w:val="94"/>
        </w:rPr>
        <w:t xml:space="preserve"> </w:t>
      </w:r>
      <w:proofErr w:type="spellStart"/>
      <w:r w:rsidRPr="005114E7">
        <w:rPr>
          <w:b/>
          <w:bCs/>
          <w:color w:val="6C1740"/>
          <w:sz w:val="94"/>
          <w:szCs w:val="94"/>
        </w:rPr>
        <w:t>за</w:t>
      </w:r>
      <w:proofErr w:type="spellEnd"/>
      <w:r w:rsidRPr="005114E7">
        <w:rPr>
          <w:b/>
          <w:bCs/>
          <w:color w:val="6C1740"/>
          <w:sz w:val="94"/>
          <w:szCs w:val="94"/>
        </w:rPr>
        <w:t xml:space="preserve"> </w:t>
      </w:r>
      <w:proofErr w:type="spellStart"/>
      <w:r w:rsidRPr="005114E7">
        <w:rPr>
          <w:b/>
          <w:bCs/>
          <w:color w:val="6C1740"/>
          <w:sz w:val="94"/>
          <w:szCs w:val="94"/>
        </w:rPr>
        <w:t>односот</w:t>
      </w:r>
      <w:proofErr w:type="spellEnd"/>
      <w:r w:rsidRPr="005114E7">
        <w:rPr>
          <w:b/>
          <w:bCs/>
          <w:color w:val="6C1740"/>
          <w:sz w:val="94"/>
          <w:szCs w:val="94"/>
        </w:rPr>
        <w:t xml:space="preserve"> </w:t>
      </w:r>
      <w:proofErr w:type="spellStart"/>
      <w:r w:rsidRPr="005114E7">
        <w:rPr>
          <w:b/>
          <w:bCs/>
          <w:color w:val="6C1740"/>
          <w:sz w:val="94"/>
          <w:szCs w:val="94"/>
        </w:rPr>
        <w:t>на</w:t>
      </w:r>
      <w:proofErr w:type="spellEnd"/>
      <w:r w:rsidRPr="005114E7">
        <w:rPr>
          <w:b/>
          <w:bCs/>
          <w:color w:val="6C1740"/>
          <w:sz w:val="94"/>
          <w:szCs w:val="94"/>
        </w:rPr>
        <w:t xml:space="preserve"> </w:t>
      </w:r>
      <w:proofErr w:type="spellStart"/>
      <w:r w:rsidRPr="005114E7">
        <w:rPr>
          <w:b/>
          <w:bCs/>
          <w:color w:val="6C1740"/>
          <w:sz w:val="94"/>
          <w:szCs w:val="94"/>
        </w:rPr>
        <w:t>заедницата</w:t>
      </w:r>
      <w:proofErr w:type="spellEnd"/>
    </w:p>
    <w:p w14:paraId="0F92551D" w14:textId="65B5C182" w:rsidR="008E35C9" w:rsidRPr="005114E7" w:rsidRDefault="0034364B" w:rsidP="00A64246">
      <w:pPr>
        <w:spacing w:before="240" w:after="240" w:line="240" w:lineRule="auto"/>
      </w:pPr>
      <w:r w:rsidRPr="005114E7">
        <w:rPr>
          <w:rFonts w:cs="Arial"/>
          <w:lang w:val="mk-MK"/>
        </w:rPr>
        <w:t xml:space="preserve">Табела 5: Планот </w:t>
      </w:r>
      <w:r w:rsidRPr="005114E7">
        <w:rPr>
          <w:rFonts w:cs="Arial"/>
        </w:rPr>
        <w:t>TAP</w:t>
      </w:r>
      <w:r w:rsidRPr="005114E7">
        <w:rPr>
          <w:rFonts w:cs="Arial"/>
          <w:lang w:val="mk-MK"/>
        </w:rPr>
        <w:t xml:space="preserve"> за односот на заедницата – напредување на акциите преземени од владите во </w:t>
      </w:r>
      <w:r w:rsidRPr="005114E7">
        <w:rPr>
          <w:rFonts w:cs="Arial"/>
        </w:rPr>
        <w:t>2022-2023</w:t>
      </w:r>
      <w:r w:rsidRPr="005114E7">
        <w:rPr>
          <w:rFonts w:cs="Arial"/>
          <w:lang w:val="mk-MK"/>
        </w:rPr>
        <w:t xml:space="preserve"> г.</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78"/>
        <w:gridCol w:w="1331"/>
        <w:gridCol w:w="1259"/>
        <w:gridCol w:w="1294"/>
        <w:gridCol w:w="1294"/>
        <w:gridCol w:w="1294"/>
        <w:gridCol w:w="1292"/>
      </w:tblGrid>
      <w:tr w:rsidR="008217EE" w:rsidRPr="005114E7" w14:paraId="542AF0E4" w14:textId="77777777" w:rsidTr="008217EE">
        <w:trPr>
          <w:cantSplit/>
        </w:trPr>
        <w:tc>
          <w:tcPr>
            <w:tcW w:w="800" w:type="pct"/>
            <w:tcBorders>
              <w:bottom w:val="single" w:sz="4" w:space="0" w:color="auto"/>
            </w:tcBorders>
            <w:shd w:val="clear" w:color="auto" w:fill="6C1740"/>
            <w:noWrap/>
            <w:hideMark/>
          </w:tcPr>
          <w:p w14:paraId="5325089D" w14:textId="368D0008" w:rsidR="008217EE" w:rsidRPr="005114E7" w:rsidRDefault="008217EE" w:rsidP="00AF7CD8">
            <w:pPr>
              <w:spacing w:after="0" w:line="240" w:lineRule="auto"/>
              <w:rPr>
                <w:rFonts w:eastAsia="Times New Roman" w:cs="Arial"/>
                <w:b/>
                <w:color w:val="FFFFFF" w:themeColor="background1"/>
                <w:sz w:val="20"/>
                <w:szCs w:val="20"/>
                <w:lang w:eastAsia="en-AU"/>
              </w:rPr>
            </w:pPr>
            <w:bookmarkStart w:id="14" w:name="Title_05"/>
            <w:bookmarkEnd w:id="14"/>
            <w:r w:rsidRPr="005114E7">
              <w:rPr>
                <w:rFonts w:eastAsia="Times New Roman" w:cs="Calibri"/>
                <w:b/>
                <w:bCs/>
                <w:color w:val="FFFFFF" w:themeColor="background1"/>
                <w:lang w:val="mk" w:eastAsia="en-AU"/>
              </w:rPr>
              <w:t>Влада</w:t>
            </w:r>
          </w:p>
        </w:tc>
        <w:tc>
          <w:tcPr>
            <w:tcW w:w="720" w:type="pct"/>
            <w:tcBorders>
              <w:bottom w:val="single" w:sz="4" w:space="0" w:color="auto"/>
            </w:tcBorders>
            <w:shd w:val="clear" w:color="auto" w:fill="6C1740"/>
            <w:hideMark/>
          </w:tcPr>
          <w:p w14:paraId="4EC8608D" w14:textId="7139DEA5" w:rsidR="008217EE" w:rsidRPr="005114E7" w:rsidRDefault="008217EE" w:rsidP="00464AAF">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Завршено</w:t>
            </w:r>
          </w:p>
        </w:tc>
        <w:tc>
          <w:tcPr>
            <w:tcW w:w="681" w:type="pct"/>
            <w:tcBorders>
              <w:bottom w:val="single" w:sz="4" w:space="0" w:color="auto"/>
            </w:tcBorders>
            <w:shd w:val="clear" w:color="auto" w:fill="6C1740"/>
            <w:noWrap/>
            <w:hideMark/>
          </w:tcPr>
          <w:p w14:paraId="782CE22D" w14:textId="506817D4" w:rsidR="008217EE" w:rsidRPr="005114E7" w:rsidRDefault="008217EE" w:rsidP="00AF7CD8">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Навреме</w:t>
            </w:r>
          </w:p>
        </w:tc>
        <w:tc>
          <w:tcPr>
            <w:tcW w:w="700" w:type="pct"/>
            <w:tcBorders>
              <w:bottom w:val="single" w:sz="4" w:space="0" w:color="auto"/>
            </w:tcBorders>
            <w:shd w:val="clear" w:color="auto" w:fill="6C1740"/>
            <w:noWrap/>
            <w:hideMark/>
          </w:tcPr>
          <w:p w14:paraId="6CEDDA32" w14:textId="3F43E472" w:rsidR="008217EE" w:rsidRPr="005114E7" w:rsidRDefault="008217EE" w:rsidP="00AF7CD8">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Доцнење</w:t>
            </w:r>
          </w:p>
        </w:tc>
        <w:tc>
          <w:tcPr>
            <w:tcW w:w="700" w:type="pct"/>
            <w:tcBorders>
              <w:bottom w:val="single" w:sz="4" w:space="0" w:color="auto"/>
            </w:tcBorders>
            <w:shd w:val="clear" w:color="auto" w:fill="6C1740"/>
            <w:noWrap/>
            <w:hideMark/>
          </w:tcPr>
          <w:p w14:paraId="7BD8A81F" w14:textId="4B8023E6" w:rsidR="008217EE" w:rsidRPr="005114E7" w:rsidRDefault="008217EE" w:rsidP="00AF7CD8">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Паузира</w:t>
            </w:r>
          </w:p>
        </w:tc>
        <w:tc>
          <w:tcPr>
            <w:tcW w:w="700" w:type="pct"/>
            <w:tcBorders>
              <w:bottom w:val="single" w:sz="4" w:space="0" w:color="auto"/>
            </w:tcBorders>
            <w:shd w:val="clear" w:color="auto" w:fill="6C1740"/>
            <w:noWrap/>
            <w:hideMark/>
          </w:tcPr>
          <w:p w14:paraId="41B6A61F" w14:textId="03261571" w:rsidR="008217EE" w:rsidRPr="005114E7" w:rsidRDefault="008217EE" w:rsidP="00AF7CD8">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Ќе започне во иднина</w:t>
            </w:r>
          </w:p>
        </w:tc>
        <w:tc>
          <w:tcPr>
            <w:tcW w:w="700" w:type="pct"/>
            <w:tcBorders>
              <w:bottom w:val="single" w:sz="4" w:space="0" w:color="auto"/>
            </w:tcBorders>
            <w:shd w:val="clear" w:color="auto" w:fill="6C1740"/>
            <w:noWrap/>
            <w:hideMark/>
          </w:tcPr>
          <w:p w14:paraId="170FCCA7" w14:textId="1A5B9A9C" w:rsidR="008217EE" w:rsidRPr="005114E7" w:rsidRDefault="008217EE" w:rsidP="00AF7CD8">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Вкупно</w:t>
            </w:r>
          </w:p>
        </w:tc>
      </w:tr>
      <w:tr w:rsidR="008217EE" w:rsidRPr="005114E7" w14:paraId="69141F84" w14:textId="77777777" w:rsidTr="008217EE">
        <w:trPr>
          <w:cantSplit/>
        </w:trPr>
        <w:tc>
          <w:tcPr>
            <w:tcW w:w="800" w:type="pct"/>
            <w:tcBorders>
              <w:top w:val="single" w:sz="4" w:space="0" w:color="auto"/>
              <w:bottom w:val="single" w:sz="4" w:space="0" w:color="auto"/>
              <w:right w:val="single" w:sz="4" w:space="0" w:color="auto"/>
            </w:tcBorders>
            <w:noWrap/>
            <w:vAlign w:val="bottom"/>
            <w:hideMark/>
          </w:tcPr>
          <w:p w14:paraId="0E684CF2" w14:textId="30B213EB"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Австралиска влада</w:t>
            </w:r>
          </w:p>
        </w:tc>
        <w:tc>
          <w:tcPr>
            <w:tcW w:w="720" w:type="pct"/>
            <w:tcBorders>
              <w:top w:val="single" w:sz="4" w:space="0" w:color="auto"/>
              <w:left w:val="single" w:sz="4" w:space="0" w:color="auto"/>
              <w:bottom w:val="single" w:sz="4" w:space="0" w:color="auto"/>
              <w:right w:val="single" w:sz="4" w:space="0" w:color="auto"/>
            </w:tcBorders>
            <w:noWrap/>
            <w:hideMark/>
          </w:tcPr>
          <w:p w14:paraId="525CABE4" w14:textId="14FB7431"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681" w:type="pct"/>
            <w:tcBorders>
              <w:top w:val="single" w:sz="4" w:space="0" w:color="auto"/>
              <w:left w:val="single" w:sz="4" w:space="0" w:color="auto"/>
              <w:bottom w:val="single" w:sz="4" w:space="0" w:color="auto"/>
              <w:right w:val="single" w:sz="4" w:space="0" w:color="auto"/>
            </w:tcBorders>
            <w:noWrap/>
            <w:hideMark/>
          </w:tcPr>
          <w:p w14:paraId="483B2AB6" w14:textId="0DA52DC8"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25E54EFE"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3</w:t>
            </w:r>
          </w:p>
        </w:tc>
      </w:tr>
      <w:tr w:rsidR="008217EE" w:rsidRPr="005114E7" w14:paraId="011FD45A" w14:textId="77777777" w:rsidTr="008217EE">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440A0277" w14:textId="7CFA9788"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Нов Јужен Велс</w:t>
            </w:r>
          </w:p>
        </w:tc>
        <w:tc>
          <w:tcPr>
            <w:tcW w:w="72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81"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03F8D62"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10</w:t>
            </w:r>
          </w:p>
        </w:tc>
      </w:tr>
      <w:tr w:rsidR="008217EE" w:rsidRPr="005114E7" w14:paraId="3B34EBDC" w14:textId="77777777" w:rsidTr="008217EE">
        <w:trPr>
          <w:cantSplit/>
        </w:trPr>
        <w:tc>
          <w:tcPr>
            <w:tcW w:w="800" w:type="pct"/>
            <w:tcBorders>
              <w:top w:val="single" w:sz="4" w:space="0" w:color="auto"/>
              <w:bottom w:val="single" w:sz="4" w:space="0" w:color="auto"/>
              <w:right w:val="single" w:sz="4" w:space="0" w:color="auto"/>
            </w:tcBorders>
            <w:noWrap/>
            <w:vAlign w:val="bottom"/>
            <w:hideMark/>
          </w:tcPr>
          <w:p w14:paraId="3D223BD0" w14:textId="32D261DB"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Викторија</w:t>
            </w:r>
          </w:p>
        </w:tc>
        <w:tc>
          <w:tcPr>
            <w:tcW w:w="720" w:type="pct"/>
            <w:tcBorders>
              <w:top w:val="single" w:sz="4" w:space="0" w:color="auto"/>
              <w:left w:val="single" w:sz="4" w:space="0" w:color="auto"/>
              <w:bottom w:val="single" w:sz="4" w:space="0" w:color="auto"/>
              <w:right w:val="single" w:sz="4" w:space="0" w:color="auto"/>
            </w:tcBorders>
            <w:noWrap/>
            <w:hideMark/>
          </w:tcPr>
          <w:p w14:paraId="655D8077"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681" w:type="pct"/>
            <w:tcBorders>
              <w:top w:val="single" w:sz="4" w:space="0" w:color="auto"/>
              <w:left w:val="single" w:sz="4" w:space="0" w:color="auto"/>
              <w:bottom w:val="single" w:sz="4" w:space="0" w:color="auto"/>
              <w:right w:val="single" w:sz="4" w:space="0" w:color="auto"/>
            </w:tcBorders>
            <w:noWrap/>
            <w:hideMark/>
          </w:tcPr>
          <w:p w14:paraId="4F163BBB"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19CF27C2"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10</w:t>
            </w:r>
          </w:p>
        </w:tc>
      </w:tr>
      <w:tr w:rsidR="008217EE" w:rsidRPr="005114E7" w14:paraId="34A542D6" w14:textId="77777777" w:rsidTr="008217EE">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78491B1A" w14:textId="5798DCFB"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Квинсленд</w:t>
            </w:r>
          </w:p>
        </w:tc>
        <w:tc>
          <w:tcPr>
            <w:tcW w:w="72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681"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338C9E64"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12</w:t>
            </w:r>
          </w:p>
        </w:tc>
      </w:tr>
      <w:tr w:rsidR="008217EE" w:rsidRPr="005114E7" w14:paraId="0CFE8738" w14:textId="77777777" w:rsidTr="008217EE">
        <w:trPr>
          <w:cantSplit/>
        </w:trPr>
        <w:tc>
          <w:tcPr>
            <w:tcW w:w="800" w:type="pct"/>
            <w:tcBorders>
              <w:top w:val="single" w:sz="4" w:space="0" w:color="auto"/>
              <w:bottom w:val="single" w:sz="4" w:space="0" w:color="auto"/>
              <w:right w:val="single" w:sz="4" w:space="0" w:color="auto"/>
            </w:tcBorders>
            <w:noWrap/>
            <w:vAlign w:val="bottom"/>
            <w:hideMark/>
          </w:tcPr>
          <w:p w14:paraId="4301E3C8" w14:textId="3E4FDC6E"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Западна Австралија</w:t>
            </w:r>
          </w:p>
        </w:tc>
        <w:tc>
          <w:tcPr>
            <w:tcW w:w="720" w:type="pct"/>
            <w:tcBorders>
              <w:top w:val="single" w:sz="4" w:space="0" w:color="auto"/>
              <w:left w:val="single" w:sz="4" w:space="0" w:color="auto"/>
              <w:bottom w:val="single" w:sz="4" w:space="0" w:color="auto"/>
              <w:right w:val="single" w:sz="4" w:space="0" w:color="auto"/>
            </w:tcBorders>
            <w:noWrap/>
            <w:hideMark/>
          </w:tcPr>
          <w:p w14:paraId="3A8C59E8"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tcBorders>
              <w:top w:val="single" w:sz="4" w:space="0" w:color="auto"/>
              <w:left w:val="single" w:sz="4" w:space="0" w:color="auto"/>
              <w:bottom w:val="single" w:sz="4" w:space="0" w:color="auto"/>
              <w:right w:val="single" w:sz="4" w:space="0" w:color="auto"/>
            </w:tcBorders>
            <w:noWrap/>
            <w:hideMark/>
          </w:tcPr>
          <w:p w14:paraId="3561E27D"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3A02803D"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3</w:t>
            </w:r>
          </w:p>
        </w:tc>
      </w:tr>
      <w:tr w:rsidR="008217EE" w:rsidRPr="005114E7" w14:paraId="570A6B8E" w14:textId="77777777" w:rsidTr="008217EE">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1B9627C4" w14:textId="571AF56D"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Јужна Австралија</w:t>
            </w:r>
          </w:p>
        </w:tc>
        <w:tc>
          <w:tcPr>
            <w:tcW w:w="72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043A98F4"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5</w:t>
            </w:r>
          </w:p>
        </w:tc>
      </w:tr>
      <w:tr w:rsidR="008217EE" w:rsidRPr="005114E7" w14:paraId="4497C1F9" w14:textId="77777777" w:rsidTr="008217EE">
        <w:trPr>
          <w:cantSplit/>
        </w:trPr>
        <w:tc>
          <w:tcPr>
            <w:tcW w:w="800" w:type="pct"/>
            <w:tcBorders>
              <w:top w:val="single" w:sz="4" w:space="0" w:color="auto"/>
              <w:bottom w:val="single" w:sz="4" w:space="0" w:color="auto"/>
              <w:right w:val="single" w:sz="4" w:space="0" w:color="auto"/>
            </w:tcBorders>
            <w:noWrap/>
            <w:vAlign w:val="bottom"/>
            <w:hideMark/>
          </w:tcPr>
          <w:p w14:paraId="45CD1927" w14:textId="614C9862"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Тасманија</w:t>
            </w:r>
          </w:p>
        </w:tc>
        <w:tc>
          <w:tcPr>
            <w:tcW w:w="720" w:type="pct"/>
            <w:tcBorders>
              <w:top w:val="single" w:sz="4" w:space="0" w:color="auto"/>
              <w:left w:val="single" w:sz="4" w:space="0" w:color="auto"/>
              <w:bottom w:val="single" w:sz="4" w:space="0" w:color="auto"/>
              <w:right w:val="single" w:sz="4" w:space="0" w:color="auto"/>
            </w:tcBorders>
            <w:noWrap/>
            <w:hideMark/>
          </w:tcPr>
          <w:p w14:paraId="684ABC97"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tcBorders>
              <w:top w:val="single" w:sz="4" w:space="0" w:color="auto"/>
              <w:left w:val="single" w:sz="4" w:space="0" w:color="auto"/>
              <w:bottom w:val="single" w:sz="4" w:space="0" w:color="auto"/>
              <w:right w:val="single" w:sz="4" w:space="0" w:color="auto"/>
            </w:tcBorders>
            <w:noWrap/>
            <w:hideMark/>
          </w:tcPr>
          <w:p w14:paraId="1631DB61"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4A9155DC"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5</w:t>
            </w:r>
          </w:p>
        </w:tc>
      </w:tr>
      <w:tr w:rsidR="008217EE" w:rsidRPr="005114E7" w14:paraId="13025BEA" w14:textId="77777777" w:rsidTr="008217EE">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0CF93A43" w14:textId="642339F8"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Австралиска Престолничка Територија</w:t>
            </w:r>
          </w:p>
        </w:tc>
        <w:tc>
          <w:tcPr>
            <w:tcW w:w="72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5</w:t>
            </w:r>
          </w:p>
        </w:tc>
        <w:tc>
          <w:tcPr>
            <w:tcW w:w="681"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C7D03A9"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10</w:t>
            </w:r>
          </w:p>
        </w:tc>
      </w:tr>
      <w:tr w:rsidR="008217EE" w:rsidRPr="005114E7" w14:paraId="26A1A333" w14:textId="77777777" w:rsidTr="008217EE">
        <w:trPr>
          <w:cantSplit/>
        </w:trPr>
        <w:tc>
          <w:tcPr>
            <w:tcW w:w="800" w:type="pct"/>
            <w:tcBorders>
              <w:top w:val="single" w:sz="4" w:space="0" w:color="auto"/>
              <w:bottom w:val="single" w:sz="4" w:space="0" w:color="auto"/>
              <w:right w:val="single" w:sz="4" w:space="0" w:color="auto"/>
            </w:tcBorders>
            <w:noWrap/>
            <w:vAlign w:val="bottom"/>
            <w:hideMark/>
          </w:tcPr>
          <w:p w14:paraId="5C8CDAAD" w14:textId="158F60B1"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Северна Територија</w:t>
            </w:r>
          </w:p>
        </w:tc>
        <w:tc>
          <w:tcPr>
            <w:tcW w:w="720" w:type="pct"/>
            <w:tcBorders>
              <w:top w:val="single" w:sz="4" w:space="0" w:color="auto"/>
              <w:left w:val="single" w:sz="4" w:space="0" w:color="auto"/>
              <w:bottom w:val="single" w:sz="4" w:space="0" w:color="auto"/>
              <w:right w:val="single" w:sz="4" w:space="0" w:color="auto"/>
            </w:tcBorders>
            <w:noWrap/>
            <w:hideMark/>
          </w:tcPr>
          <w:p w14:paraId="22AE014E"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tcBorders>
              <w:top w:val="single" w:sz="4" w:space="0" w:color="auto"/>
              <w:left w:val="single" w:sz="4" w:space="0" w:color="auto"/>
              <w:bottom w:val="single" w:sz="4" w:space="0" w:color="auto"/>
              <w:right w:val="single" w:sz="4" w:space="0" w:color="auto"/>
            </w:tcBorders>
            <w:noWrap/>
            <w:hideMark/>
          </w:tcPr>
          <w:p w14:paraId="0874DABE"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789C7E2E"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5</w:t>
            </w:r>
          </w:p>
        </w:tc>
      </w:tr>
      <w:tr w:rsidR="008217EE" w:rsidRPr="005114E7" w14:paraId="15E63C6A" w14:textId="77777777" w:rsidTr="008217EE">
        <w:trPr>
          <w:cantSplit/>
        </w:trPr>
        <w:tc>
          <w:tcPr>
            <w:tcW w:w="800" w:type="pct"/>
            <w:tcBorders>
              <w:top w:val="single" w:sz="4" w:space="0" w:color="auto"/>
              <w:bottom w:val="nil"/>
              <w:right w:val="single" w:sz="4" w:space="0" w:color="auto"/>
            </w:tcBorders>
            <w:shd w:val="clear" w:color="auto" w:fill="E4E9F3"/>
            <w:noWrap/>
            <w:vAlign w:val="bottom"/>
            <w:hideMark/>
          </w:tcPr>
          <w:p w14:paraId="21FE9201" w14:textId="32279AE8" w:rsidR="008217EE" w:rsidRPr="005114E7" w:rsidRDefault="008217EE" w:rsidP="002A249B">
            <w:pPr>
              <w:spacing w:after="0" w:line="240" w:lineRule="auto"/>
              <w:rPr>
                <w:rFonts w:eastAsia="Times New Roman" w:cs="Arial"/>
                <w:b/>
                <w:color w:val="000000"/>
                <w:sz w:val="20"/>
                <w:szCs w:val="20"/>
                <w:lang w:eastAsia="en-AU"/>
              </w:rPr>
            </w:pPr>
            <w:r w:rsidRPr="005114E7">
              <w:rPr>
                <w:rFonts w:eastAsia="Times New Roman" w:cs="Calibri"/>
                <w:b/>
                <w:bCs/>
                <w:color w:val="000000"/>
                <w:lang w:val="mk" w:eastAsia="en-AU"/>
              </w:rPr>
              <w:t>Вкупно на национално ниво</w:t>
            </w:r>
          </w:p>
        </w:tc>
        <w:tc>
          <w:tcPr>
            <w:tcW w:w="720"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8217EE" w:rsidRPr="005114E7" w:rsidRDefault="008217EE"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20</w:t>
            </w:r>
          </w:p>
        </w:tc>
        <w:tc>
          <w:tcPr>
            <w:tcW w:w="681"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8217EE" w:rsidRPr="005114E7" w:rsidRDefault="008217EE"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8217EE" w:rsidRPr="005114E7" w:rsidRDefault="008217EE"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8217EE" w:rsidRPr="005114E7" w:rsidRDefault="008217EE"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8217EE" w:rsidRPr="005114E7" w:rsidRDefault="008217EE"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0</w:t>
            </w:r>
          </w:p>
        </w:tc>
        <w:tc>
          <w:tcPr>
            <w:tcW w:w="700" w:type="pct"/>
            <w:tcBorders>
              <w:top w:val="single" w:sz="4" w:space="0" w:color="auto"/>
              <w:left w:val="single" w:sz="4" w:space="0" w:color="auto"/>
              <w:bottom w:val="nil"/>
            </w:tcBorders>
            <w:shd w:val="clear" w:color="auto" w:fill="E4E9F3"/>
            <w:noWrap/>
            <w:hideMark/>
          </w:tcPr>
          <w:p w14:paraId="24A2D586" w14:textId="77777777" w:rsidR="008217EE" w:rsidRPr="005114E7" w:rsidRDefault="008217EE"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63</w:t>
            </w:r>
          </w:p>
        </w:tc>
      </w:tr>
    </w:tbl>
    <w:p w14:paraId="2DDB32D0" w14:textId="665163F0" w:rsidR="008E35C9" w:rsidRPr="005114E7" w:rsidRDefault="0034364B" w:rsidP="00F52039">
      <w:pPr>
        <w:spacing w:before="240" w:after="240" w:line="240" w:lineRule="auto"/>
      </w:pPr>
      <w:r w:rsidRPr="005114E7">
        <w:rPr>
          <w:rFonts w:cs="Arial"/>
          <w:lang w:val="mk-MK"/>
        </w:rPr>
        <w:lastRenderedPageBreak/>
        <w:t xml:space="preserve">Табела 6: Планот </w:t>
      </w:r>
      <w:r w:rsidRPr="005114E7">
        <w:rPr>
          <w:rFonts w:cs="Arial"/>
        </w:rPr>
        <w:t>TAP</w:t>
      </w:r>
      <w:r w:rsidRPr="005114E7">
        <w:rPr>
          <w:rFonts w:cs="Arial"/>
          <w:lang w:val="mk-MK"/>
        </w:rPr>
        <w:t xml:space="preserve"> за односот на заедницата – напредување на акциите согласно поставените цели во </w:t>
      </w:r>
      <w:r w:rsidRPr="005114E7">
        <w:rPr>
          <w:rFonts w:cs="Arial"/>
        </w:rPr>
        <w:t>2022-2023</w:t>
      </w:r>
      <w:r w:rsidRPr="005114E7">
        <w:rPr>
          <w:rFonts w:cs="Arial"/>
          <w:lang w:val="mk-MK"/>
        </w:rPr>
        <w:t xml:space="preserve"> г.</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78"/>
        <w:gridCol w:w="1331"/>
        <w:gridCol w:w="1259"/>
        <w:gridCol w:w="1294"/>
        <w:gridCol w:w="1294"/>
        <w:gridCol w:w="1294"/>
        <w:gridCol w:w="1292"/>
      </w:tblGrid>
      <w:tr w:rsidR="008217EE" w:rsidRPr="005114E7" w14:paraId="4DE237A4" w14:textId="77777777" w:rsidTr="008217EE">
        <w:tc>
          <w:tcPr>
            <w:tcW w:w="800" w:type="pct"/>
            <w:tcBorders>
              <w:top w:val="nil"/>
              <w:bottom w:val="single" w:sz="4" w:space="0" w:color="auto"/>
              <w:right w:val="single" w:sz="4" w:space="0" w:color="FFFFFF" w:themeColor="background1"/>
            </w:tcBorders>
            <w:shd w:val="clear" w:color="auto" w:fill="6C1740"/>
            <w:noWrap/>
            <w:hideMark/>
          </w:tcPr>
          <w:p w14:paraId="1D46DBEB" w14:textId="728ED6AB" w:rsidR="008217EE" w:rsidRPr="005114E7" w:rsidRDefault="008217EE" w:rsidP="002A249B">
            <w:pPr>
              <w:spacing w:after="0" w:line="240" w:lineRule="auto"/>
              <w:rPr>
                <w:rFonts w:eastAsia="Times New Roman" w:cs="Arial"/>
                <w:b/>
                <w:color w:val="FFFFFF" w:themeColor="background1"/>
                <w:sz w:val="20"/>
                <w:szCs w:val="20"/>
                <w:lang w:eastAsia="en-AU"/>
              </w:rPr>
            </w:pPr>
            <w:bookmarkStart w:id="15" w:name="Title_06"/>
            <w:bookmarkEnd w:id="15"/>
            <w:r w:rsidRPr="005114E7">
              <w:rPr>
                <w:rFonts w:eastAsia="Times New Roman" w:cs="Calibri"/>
                <w:b/>
                <w:bCs/>
                <w:color w:val="FFFFFF" w:themeColor="background1"/>
                <w:lang w:val="mk" w:eastAsia="en-AU"/>
              </w:rPr>
              <w:t>Цел</w:t>
            </w:r>
          </w:p>
        </w:tc>
        <w:tc>
          <w:tcPr>
            <w:tcW w:w="720"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155B7EF7" w:rsidR="008217EE" w:rsidRPr="005114E7" w:rsidRDefault="008217EE" w:rsidP="00464AAF">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Завршено</w:t>
            </w:r>
          </w:p>
        </w:tc>
        <w:tc>
          <w:tcPr>
            <w:tcW w:w="681"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30DF43C8" w:rsidR="008217EE" w:rsidRPr="005114E7" w:rsidRDefault="008217EE"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Навреме</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0124B249" w:rsidR="008217EE" w:rsidRPr="005114E7" w:rsidRDefault="008217EE"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Доцнење</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3EB9A0C1" w:rsidR="008217EE" w:rsidRPr="005114E7" w:rsidRDefault="008217EE"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Паузира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5604E420" w:rsidR="008217EE" w:rsidRPr="005114E7" w:rsidRDefault="008217EE"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Ќе започне во иднина</w:t>
            </w:r>
          </w:p>
        </w:tc>
        <w:tc>
          <w:tcPr>
            <w:tcW w:w="699" w:type="pct"/>
            <w:tcBorders>
              <w:top w:val="nil"/>
              <w:left w:val="single" w:sz="4" w:space="0" w:color="FFFFFF" w:themeColor="background1"/>
              <w:bottom w:val="single" w:sz="4" w:space="0" w:color="auto"/>
            </w:tcBorders>
            <w:shd w:val="clear" w:color="auto" w:fill="6C1740"/>
            <w:noWrap/>
            <w:hideMark/>
          </w:tcPr>
          <w:p w14:paraId="34F59F04" w14:textId="50EB9F01" w:rsidR="008217EE" w:rsidRPr="005114E7" w:rsidRDefault="008217EE"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Вкупно</w:t>
            </w:r>
          </w:p>
        </w:tc>
      </w:tr>
      <w:tr w:rsidR="008217EE" w:rsidRPr="005114E7" w14:paraId="3B1F9CDC" w14:textId="77777777" w:rsidTr="008217EE">
        <w:tc>
          <w:tcPr>
            <w:tcW w:w="800" w:type="pct"/>
            <w:tcBorders>
              <w:top w:val="single" w:sz="4" w:space="0" w:color="auto"/>
            </w:tcBorders>
            <w:shd w:val="clear" w:color="auto" w:fill="auto"/>
            <w:noWrap/>
            <w:vAlign w:val="bottom"/>
            <w:hideMark/>
          </w:tcPr>
          <w:p w14:paraId="7A7D6A96" w14:textId="413F67C5" w:rsidR="008217EE" w:rsidRPr="005114E7" w:rsidRDefault="008217EE"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Цел 1</w:t>
            </w:r>
          </w:p>
        </w:tc>
        <w:tc>
          <w:tcPr>
            <w:tcW w:w="720" w:type="pct"/>
            <w:tcBorders>
              <w:top w:val="single" w:sz="4" w:space="0" w:color="auto"/>
            </w:tcBorders>
            <w:shd w:val="clear" w:color="auto" w:fill="auto"/>
            <w:noWrap/>
            <w:vAlign w:val="bottom"/>
            <w:hideMark/>
          </w:tcPr>
          <w:p w14:paraId="386EFECB"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681" w:type="pct"/>
            <w:tcBorders>
              <w:top w:val="single" w:sz="4" w:space="0" w:color="auto"/>
            </w:tcBorders>
            <w:shd w:val="clear" w:color="auto" w:fill="auto"/>
            <w:noWrap/>
            <w:vAlign w:val="bottom"/>
            <w:hideMark/>
          </w:tcPr>
          <w:p w14:paraId="153186CB"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8217EE" w:rsidRPr="005114E7" w:rsidRDefault="008217EE"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027AC68C" w14:textId="77777777" w:rsidR="008217EE" w:rsidRPr="005114E7" w:rsidRDefault="008217EE"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7</w:t>
            </w:r>
          </w:p>
        </w:tc>
      </w:tr>
      <w:tr w:rsidR="001B610F" w:rsidRPr="005114E7" w14:paraId="5E690D40" w14:textId="77777777" w:rsidTr="008217EE">
        <w:tc>
          <w:tcPr>
            <w:tcW w:w="800" w:type="pct"/>
            <w:shd w:val="clear" w:color="auto" w:fill="FAF9F8"/>
            <w:noWrap/>
            <w:vAlign w:val="bottom"/>
            <w:hideMark/>
          </w:tcPr>
          <w:p w14:paraId="46D18003" w14:textId="6D2874E6" w:rsidR="00AF7CD8" w:rsidRPr="005114E7" w:rsidRDefault="00BF4CB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Цел</w:t>
            </w:r>
            <w:r w:rsidR="00AF7CD8" w:rsidRPr="005114E7">
              <w:rPr>
                <w:rFonts w:eastAsia="Times New Roman" w:cs="Arial"/>
                <w:color w:val="000000"/>
                <w:sz w:val="20"/>
                <w:szCs w:val="20"/>
                <w:lang w:eastAsia="en-AU"/>
              </w:rPr>
              <w:t xml:space="preserve"> 2</w:t>
            </w:r>
          </w:p>
        </w:tc>
        <w:tc>
          <w:tcPr>
            <w:tcW w:w="720" w:type="pct"/>
            <w:shd w:val="clear" w:color="auto" w:fill="FAF9F8"/>
            <w:noWrap/>
            <w:vAlign w:val="bottom"/>
            <w:hideMark/>
          </w:tcPr>
          <w:p w14:paraId="6E28C6A2" w14:textId="77777777" w:rsidR="00AF7CD8" w:rsidRPr="005114E7" w:rsidRDefault="00AF7CD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681" w:type="pct"/>
            <w:shd w:val="clear" w:color="auto" w:fill="FAF9F8"/>
            <w:noWrap/>
            <w:vAlign w:val="bottom"/>
            <w:hideMark/>
          </w:tcPr>
          <w:p w14:paraId="2D5922FF" w14:textId="4F45A39B" w:rsidR="00AF7CD8" w:rsidRPr="005114E7" w:rsidRDefault="00E732E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10</w:t>
            </w:r>
          </w:p>
        </w:tc>
        <w:tc>
          <w:tcPr>
            <w:tcW w:w="700" w:type="pct"/>
            <w:shd w:val="clear" w:color="auto" w:fill="FAF9F8"/>
            <w:noWrap/>
            <w:vAlign w:val="bottom"/>
            <w:hideMark/>
          </w:tcPr>
          <w:p w14:paraId="4FA06B13" w14:textId="3DA25317" w:rsidR="00AF7CD8" w:rsidRPr="005114E7" w:rsidRDefault="00E732E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shd w:val="clear" w:color="auto" w:fill="FAF9F8"/>
            <w:noWrap/>
            <w:vAlign w:val="bottom"/>
            <w:hideMark/>
          </w:tcPr>
          <w:p w14:paraId="58389AF5" w14:textId="77777777" w:rsidR="00AF7CD8" w:rsidRPr="005114E7" w:rsidRDefault="00AF7CD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0E9D87CB" w14:textId="77777777" w:rsidR="00AF7CD8" w:rsidRPr="005114E7" w:rsidRDefault="00AF7CD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shd w:val="clear" w:color="auto" w:fill="FAF9F8"/>
            <w:noWrap/>
            <w:vAlign w:val="bottom"/>
            <w:hideMark/>
          </w:tcPr>
          <w:p w14:paraId="4C6F219B" w14:textId="77777777" w:rsidR="00AF7CD8" w:rsidRPr="005114E7" w:rsidRDefault="00AF7CD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18</w:t>
            </w:r>
          </w:p>
        </w:tc>
      </w:tr>
      <w:tr w:rsidR="001B610F" w:rsidRPr="005114E7" w14:paraId="18C80F20" w14:textId="77777777" w:rsidTr="008217EE">
        <w:tc>
          <w:tcPr>
            <w:tcW w:w="800" w:type="pct"/>
            <w:shd w:val="clear" w:color="auto" w:fill="auto"/>
            <w:noWrap/>
            <w:vAlign w:val="bottom"/>
            <w:hideMark/>
          </w:tcPr>
          <w:p w14:paraId="7F2E3733" w14:textId="496E8958" w:rsidR="00AF7CD8" w:rsidRPr="005114E7" w:rsidRDefault="00BF4CB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w:t>
            </w:r>
            <w:r w:rsidR="00AF7CD8" w:rsidRPr="005114E7">
              <w:rPr>
                <w:rFonts w:eastAsia="Times New Roman" w:cs="Arial"/>
                <w:color w:val="000000"/>
                <w:sz w:val="20"/>
                <w:szCs w:val="20"/>
                <w:lang w:eastAsia="en-AU"/>
              </w:rPr>
              <w:t>3</w:t>
            </w:r>
          </w:p>
        </w:tc>
        <w:tc>
          <w:tcPr>
            <w:tcW w:w="720" w:type="pct"/>
            <w:shd w:val="clear" w:color="auto" w:fill="auto"/>
            <w:noWrap/>
            <w:vAlign w:val="bottom"/>
            <w:hideMark/>
          </w:tcPr>
          <w:p w14:paraId="2B088F66" w14:textId="175A74C5" w:rsidR="00AF7CD8" w:rsidRPr="005114E7" w:rsidRDefault="00E732E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681" w:type="pct"/>
            <w:shd w:val="clear" w:color="auto" w:fill="auto"/>
            <w:noWrap/>
            <w:vAlign w:val="bottom"/>
            <w:hideMark/>
          </w:tcPr>
          <w:p w14:paraId="0271F6E1" w14:textId="77777777" w:rsidR="00AF7CD8" w:rsidRPr="005114E7" w:rsidRDefault="00AF7CD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shd w:val="clear" w:color="auto" w:fill="auto"/>
            <w:noWrap/>
            <w:vAlign w:val="bottom"/>
            <w:hideMark/>
          </w:tcPr>
          <w:p w14:paraId="6918B967" w14:textId="043E7420" w:rsidR="00AF7CD8" w:rsidRPr="005114E7" w:rsidRDefault="00E732E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748D8FF1" w14:textId="77777777" w:rsidR="00AF7CD8" w:rsidRPr="005114E7" w:rsidRDefault="00AF7CD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AF7CD8" w:rsidRPr="005114E7" w:rsidRDefault="00AF7CD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0</w:t>
            </w:r>
          </w:p>
        </w:tc>
        <w:tc>
          <w:tcPr>
            <w:tcW w:w="699" w:type="pct"/>
            <w:shd w:val="clear" w:color="auto" w:fill="auto"/>
            <w:noWrap/>
            <w:vAlign w:val="bottom"/>
            <w:hideMark/>
          </w:tcPr>
          <w:p w14:paraId="78BD7F42" w14:textId="77777777" w:rsidR="00AF7CD8" w:rsidRPr="005114E7" w:rsidRDefault="00AF7CD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7</w:t>
            </w:r>
          </w:p>
        </w:tc>
      </w:tr>
      <w:tr w:rsidR="001B610F" w:rsidRPr="005114E7" w14:paraId="43038C41" w14:textId="77777777" w:rsidTr="008217EE">
        <w:tc>
          <w:tcPr>
            <w:tcW w:w="800" w:type="pct"/>
            <w:shd w:val="clear" w:color="auto" w:fill="FAF9F8"/>
            <w:noWrap/>
            <w:vAlign w:val="bottom"/>
            <w:hideMark/>
          </w:tcPr>
          <w:p w14:paraId="4DF8F3C0" w14:textId="00A29C78" w:rsidR="00AF7CD8" w:rsidRPr="005114E7" w:rsidRDefault="00BF4CBA" w:rsidP="00BF4CBA">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w:t>
            </w:r>
            <w:r w:rsidR="00AF7CD8" w:rsidRPr="005114E7">
              <w:rPr>
                <w:rFonts w:eastAsia="Times New Roman" w:cs="Arial"/>
                <w:color w:val="000000"/>
                <w:sz w:val="20"/>
                <w:szCs w:val="20"/>
                <w:lang w:eastAsia="en-AU"/>
              </w:rPr>
              <w:t>4</w:t>
            </w:r>
          </w:p>
        </w:tc>
        <w:tc>
          <w:tcPr>
            <w:tcW w:w="720" w:type="pct"/>
            <w:shd w:val="clear" w:color="auto" w:fill="FAF9F8"/>
            <w:noWrap/>
            <w:vAlign w:val="bottom"/>
            <w:hideMark/>
          </w:tcPr>
          <w:p w14:paraId="62ABDE45" w14:textId="77777777" w:rsidR="00AF7CD8" w:rsidRPr="005114E7" w:rsidRDefault="00AF7CD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10</w:t>
            </w:r>
          </w:p>
        </w:tc>
        <w:tc>
          <w:tcPr>
            <w:tcW w:w="681" w:type="pct"/>
            <w:shd w:val="clear" w:color="auto" w:fill="FAF9F8"/>
            <w:noWrap/>
            <w:vAlign w:val="bottom"/>
            <w:hideMark/>
          </w:tcPr>
          <w:p w14:paraId="767AEEE1" w14:textId="77777777" w:rsidR="00AF7CD8" w:rsidRPr="005114E7" w:rsidRDefault="00AF7CD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15</w:t>
            </w:r>
          </w:p>
        </w:tc>
        <w:tc>
          <w:tcPr>
            <w:tcW w:w="700" w:type="pct"/>
            <w:shd w:val="clear" w:color="auto" w:fill="FAF9F8"/>
            <w:noWrap/>
            <w:vAlign w:val="bottom"/>
            <w:hideMark/>
          </w:tcPr>
          <w:p w14:paraId="652B2A91" w14:textId="77777777" w:rsidR="00AF7CD8" w:rsidRPr="005114E7" w:rsidRDefault="00AF7CD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700" w:type="pct"/>
            <w:shd w:val="clear" w:color="auto" w:fill="FAF9F8"/>
            <w:noWrap/>
            <w:vAlign w:val="bottom"/>
            <w:hideMark/>
          </w:tcPr>
          <w:p w14:paraId="440CEE31" w14:textId="77777777" w:rsidR="00AF7CD8" w:rsidRPr="005114E7" w:rsidRDefault="00AF7CD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3F1AAEC2" w14:textId="77777777" w:rsidR="00AF7CD8" w:rsidRPr="005114E7" w:rsidRDefault="00AF7CD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shd w:val="clear" w:color="auto" w:fill="FAF9F8"/>
            <w:noWrap/>
            <w:vAlign w:val="bottom"/>
            <w:hideMark/>
          </w:tcPr>
          <w:p w14:paraId="7DAF23F6" w14:textId="77777777" w:rsidR="00AF7CD8" w:rsidRPr="005114E7" w:rsidRDefault="00AF7CD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31</w:t>
            </w:r>
          </w:p>
        </w:tc>
      </w:tr>
      <w:tr w:rsidR="001B610F" w:rsidRPr="005114E7" w14:paraId="511AF1A6" w14:textId="77777777" w:rsidTr="008217EE">
        <w:tc>
          <w:tcPr>
            <w:tcW w:w="800" w:type="pct"/>
            <w:shd w:val="clear" w:color="auto" w:fill="E4E9F3"/>
            <w:noWrap/>
            <w:vAlign w:val="bottom"/>
            <w:hideMark/>
          </w:tcPr>
          <w:p w14:paraId="7A286510" w14:textId="41B95335" w:rsidR="00AF7CD8" w:rsidRPr="005114E7" w:rsidRDefault="008217EE" w:rsidP="002A249B">
            <w:pPr>
              <w:spacing w:after="0" w:line="240" w:lineRule="auto"/>
              <w:rPr>
                <w:rFonts w:eastAsia="Times New Roman" w:cs="Arial"/>
                <w:b/>
                <w:color w:val="000000"/>
                <w:sz w:val="20"/>
                <w:szCs w:val="20"/>
                <w:lang w:eastAsia="en-AU"/>
              </w:rPr>
            </w:pPr>
            <w:r w:rsidRPr="005114E7">
              <w:rPr>
                <w:rFonts w:eastAsia="Times New Roman" w:cs="Calibri"/>
                <w:b/>
                <w:bCs/>
                <w:color w:val="000000"/>
                <w:lang w:val="mk" w:eastAsia="en-AU"/>
              </w:rPr>
              <w:t>Севкупно</w:t>
            </w:r>
          </w:p>
        </w:tc>
        <w:tc>
          <w:tcPr>
            <w:tcW w:w="720" w:type="pct"/>
            <w:shd w:val="clear" w:color="auto" w:fill="E4E9F3"/>
            <w:noWrap/>
            <w:vAlign w:val="bottom"/>
            <w:hideMark/>
          </w:tcPr>
          <w:p w14:paraId="7ABA13A4" w14:textId="6AF998D5" w:rsidR="00AF7CD8" w:rsidRPr="005114E7" w:rsidRDefault="00E732EA"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20</w:t>
            </w:r>
          </w:p>
        </w:tc>
        <w:tc>
          <w:tcPr>
            <w:tcW w:w="681" w:type="pct"/>
            <w:shd w:val="clear" w:color="auto" w:fill="E4E9F3"/>
            <w:noWrap/>
            <w:vAlign w:val="bottom"/>
            <w:hideMark/>
          </w:tcPr>
          <w:p w14:paraId="4F906C18" w14:textId="04691FD7" w:rsidR="00AF7CD8" w:rsidRPr="005114E7" w:rsidRDefault="00E732EA"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AF7CD8" w:rsidRPr="005114E7" w:rsidRDefault="00E732EA"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AF7CD8" w:rsidRPr="005114E7" w:rsidRDefault="00AF7CD8"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AF7CD8" w:rsidRPr="005114E7" w:rsidRDefault="00AF7CD8"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0</w:t>
            </w:r>
          </w:p>
        </w:tc>
        <w:tc>
          <w:tcPr>
            <w:tcW w:w="699" w:type="pct"/>
            <w:shd w:val="clear" w:color="auto" w:fill="E4E9F3"/>
            <w:noWrap/>
            <w:vAlign w:val="bottom"/>
            <w:hideMark/>
          </w:tcPr>
          <w:p w14:paraId="23DC2F9A" w14:textId="77777777" w:rsidR="00AF7CD8" w:rsidRPr="005114E7" w:rsidRDefault="00AF7CD8"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63</w:t>
            </w:r>
          </w:p>
        </w:tc>
      </w:tr>
    </w:tbl>
    <w:p w14:paraId="68EBE025" w14:textId="77777777" w:rsidR="008E35C9" w:rsidRPr="005114E7" w:rsidRDefault="008E35C9">
      <w:r w:rsidRPr="005114E7">
        <w:br w:type="page"/>
      </w:r>
    </w:p>
    <w:p w14:paraId="7E6FCA5D" w14:textId="28BF09E5" w:rsidR="00C62233" w:rsidRPr="005114E7" w:rsidRDefault="008B50BE" w:rsidP="00DA227A">
      <w:pPr>
        <w:pStyle w:val="Heading1"/>
      </w:pPr>
      <w:bookmarkStart w:id="16" w:name="_Toc153454136"/>
      <w:proofErr w:type="spellStart"/>
      <w:r w:rsidRPr="005114E7">
        <w:lastRenderedPageBreak/>
        <w:t>План</w:t>
      </w:r>
      <w:proofErr w:type="spellEnd"/>
      <w:r w:rsidRPr="005114E7">
        <w:t xml:space="preserve"> </w:t>
      </w:r>
      <w:proofErr w:type="spellStart"/>
      <w:r w:rsidRPr="005114E7">
        <w:t>за</w:t>
      </w:r>
      <w:proofErr w:type="spellEnd"/>
      <w:r w:rsidRPr="005114E7">
        <w:t xml:space="preserve"> </w:t>
      </w:r>
      <w:proofErr w:type="spellStart"/>
      <w:r w:rsidRPr="005114E7">
        <w:t>насочена</w:t>
      </w:r>
      <w:proofErr w:type="spellEnd"/>
      <w:r w:rsidRPr="005114E7">
        <w:t xml:space="preserve"> </w:t>
      </w:r>
      <w:proofErr w:type="spellStart"/>
      <w:r w:rsidRPr="005114E7">
        <w:t>акција</w:t>
      </w:r>
      <w:proofErr w:type="spellEnd"/>
      <w:r w:rsidRPr="005114E7">
        <w:t xml:space="preserve"> </w:t>
      </w:r>
      <w:proofErr w:type="spellStart"/>
      <w:r w:rsidRPr="005114E7">
        <w:t>за</w:t>
      </w:r>
      <w:proofErr w:type="spellEnd"/>
      <w:r w:rsidRPr="005114E7">
        <w:t xml:space="preserve"> </w:t>
      </w:r>
      <w:proofErr w:type="spellStart"/>
      <w:r w:rsidRPr="005114E7">
        <w:t>раното</w:t>
      </w:r>
      <w:proofErr w:type="spellEnd"/>
      <w:r w:rsidRPr="005114E7">
        <w:t xml:space="preserve"> </w:t>
      </w:r>
      <w:proofErr w:type="spellStart"/>
      <w:r w:rsidRPr="005114E7">
        <w:t>детство</w:t>
      </w:r>
      <w:bookmarkEnd w:id="16"/>
      <w:proofErr w:type="spellEnd"/>
    </w:p>
    <w:p w14:paraId="78711C3D" w14:textId="3DEE5100" w:rsidR="00DA227A" w:rsidRPr="005114E7" w:rsidRDefault="008B50BE" w:rsidP="00515A1C">
      <w:pPr>
        <w:pStyle w:val="Heading2"/>
        <w:pBdr>
          <w:top w:val="none" w:sz="0" w:space="0" w:color="auto"/>
        </w:pBdr>
      </w:pPr>
      <w:bookmarkStart w:id="17" w:name="_Toc153454137"/>
      <w:r w:rsidRPr="005114E7">
        <w:rPr>
          <w:rFonts w:cs="Arial"/>
          <w:lang w:val="mk-MK"/>
        </w:rPr>
        <w:t>Вовед</w:t>
      </w:r>
      <w:bookmarkEnd w:id="17"/>
    </w:p>
    <w:p w14:paraId="62FBE8FB" w14:textId="77777777" w:rsidR="008B50BE" w:rsidRPr="005114E7" w:rsidRDefault="008B50BE" w:rsidP="008B50BE">
      <w:pPr>
        <w:spacing w:before="240" w:after="240" w:line="240" w:lineRule="auto"/>
        <w:rPr>
          <w:rFonts w:cs="Arial"/>
        </w:rPr>
      </w:pPr>
      <w:r w:rsidRPr="005114E7">
        <w:rPr>
          <w:rFonts w:cs="Arial"/>
          <w:lang w:val="mk-MK"/>
        </w:rPr>
        <w:t>Планот ТАР за раното детство (</w:t>
      </w:r>
      <w:r w:rsidRPr="005114E7">
        <w:rPr>
          <w:rFonts w:cs="Arial"/>
        </w:rPr>
        <w:t>Early Childhood TAP</w:t>
      </w:r>
      <w:r w:rsidRPr="005114E7">
        <w:rPr>
          <w:rFonts w:cs="Arial"/>
          <w:lang w:val="mk-MK"/>
        </w:rPr>
        <w:t>) има цел да поттикне напредок во однос на областите од Стратегијата</w:t>
      </w:r>
      <w:r w:rsidRPr="005114E7">
        <w:rPr>
          <w:rFonts w:cs="Arial"/>
        </w:rPr>
        <w:t xml:space="preserve"> ADS</w:t>
      </w:r>
      <w:r w:rsidRPr="005114E7">
        <w:rPr>
          <w:rFonts w:cs="Arial"/>
          <w:lang w:val="mk-MK"/>
        </w:rPr>
        <w:t xml:space="preserve"> во коишто треба да се постигнат резултати во поглед на здравјето и добросостојбата, образованието и учењето, инклузивните домови и заедници и личната поддршка и поддршката во заедницата</w:t>
      </w:r>
      <w:r w:rsidRPr="005114E7">
        <w:rPr>
          <w:rFonts w:cs="Arial"/>
        </w:rPr>
        <w:t xml:space="preserve">. </w:t>
      </w:r>
    </w:p>
    <w:p w14:paraId="7525DF50" w14:textId="77777777" w:rsidR="008B50BE" w:rsidRPr="005114E7" w:rsidRDefault="008B50BE" w:rsidP="008B50BE">
      <w:pPr>
        <w:spacing w:before="240" w:after="240" w:line="240" w:lineRule="auto"/>
        <w:rPr>
          <w:rFonts w:cs="Arial"/>
        </w:rPr>
      </w:pPr>
      <w:r w:rsidRPr="005114E7">
        <w:rPr>
          <w:rFonts w:cs="Arial"/>
          <w:lang w:val="mk-MK"/>
        </w:rPr>
        <w:t>Секоја од тие области во коишто треба да се постигнат резултати има за цел да осигури дека луѓето со онеспособеност ќе ги постигнуваат највисоките можни резултати во поглед на здравјето и добросостојбата во текот на целиот свој живот; дека ќе го остварат својот целосен потенцијал преку образование и учење; дека ќе живеат во инклузивни, лесно пристапни и добро осмислени домови и заедници и дека ќе имаат пристап до низа разновидни поддршки што ќе им помогнат да живеат самостојно и да учествуваат во животот на својата заедница</w:t>
      </w:r>
      <w:r w:rsidRPr="005114E7">
        <w:rPr>
          <w:rFonts w:cs="Arial"/>
        </w:rPr>
        <w:t xml:space="preserve">. </w:t>
      </w:r>
    </w:p>
    <w:p w14:paraId="48F5031D" w14:textId="77777777" w:rsidR="008B50BE" w:rsidRPr="005114E7" w:rsidRDefault="008B50BE" w:rsidP="008B50BE">
      <w:pPr>
        <w:spacing w:before="240" w:after="240" w:line="240" w:lineRule="auto"/>
        <w:rPr>
          <w:rFonts w:cs="Arial"/>
        </w:rPr>
      </w:pPr>
      <w:r w:rsidRPr="005114E7">
        <w:rPr>
          <w:rFonts w:cs="Arial"/>
          <w:lang w:val="mk-MK"/>
        </w:rPr>
        <w:t xml:space="preserve">Планот </w:t>
      </w:r>
      <w:r w:rsidRPr="005114E7">
        <w:rPr>
          <w:rFonts w:cs="Arial"/>
        </w:rPr>
        <w:t>TAP</w:t>
      </w:r>
      <w:r w:rsidRPr="005114E7">
        <w:rPr>
          <w:rFonts w:cs="Arial"/>
          <w:lang w:val="mk-MK"/>
        </w:rPr>
        <w:t xml:space="preserve"> за раното детство опфаќа 7</w:t>
      </w:r>
      <w:r w:rsidRPr="005114E7">
        <w:rPr>
          <w:rFonts w:cs="Arial"/>
          <w:lang w:val="en-US"/>
        </w:rPr>
        <w:t>4</w:t>
      </w:r>
      <w:r w:rsidRPr="005114E7">
        <w:rPr>
          <w:rFonts w:cs="Arial"/>
          <w:lang w:val="mk-MK"/>
        </w:rPr>
        <w:t xml:space="preserve"> акции од страна на австралиската влада и владите на државите и териториите за коишто се поднесува извештај за периодот </w:t>
      </w:r>
      <w:r w:rsidRPr="005114E7">
        <w:rPr>
          <w:rFonts w:cs="Arial"/>
        </w:rPr>
        <w:t>2022-2023</w:t>
      </w:r>
      <w:r w:rsidRPr="005114E7">
        <w:rPr>
          <w:rFonts w:cs="Arial"/>
          <w:lang w:val="mk-MK"/>
        </w:rPr>
        <w:t xml:space="preserve"> г.</w:t>
      </w:r>
    </w:p>
    <w:p w14:paraId="5EF7C98C" w14:textId="7A853D88" w:rsidR="008B50BE" w:rsidRPr="005114E7" w:rsidRDefault="008B50BE" w:rsidP="008B50BE">
      <w:pPr>
        <w:spacing w:before="240" w:after="240" w:line="240" w:lineRule="auto"/>
      </w:pPr>
      <w:r w:rsidRPr="005114E7">
        <w:rPr>
          <w:rFonts w:cs="Arial"/>
          <w:lang w:val="mk-MK"/>
        </w:rPr>
        <w:t>Тука спаѓаат акции за изработка на информативни материјали, за воспоставување групи за врсничка поддршка, за поддршка на родителите и негувателите и за унапредување на инклузивните начини на постапување во детските градинки и во установите за образование и згрижување во раното детство.</w:t>
      </w:r>
    </w:p>
    <w:p w14:paraId="25AA41AC" w14:textId="3DA0D01F" w:rsidR="00C62233" w:rsidRPr="005114E7" w:rsidRDefault="008B50BE" w:rsidP="00F52039">
      <w:pPr>
        <w:pStyle w:val="Heading2"/>
      </w:pPr>
      <w:bookmarkStart w:id="18" w:name="_Toc153454138"/>
      <w:r w:rsidRPr="005114E7">
        <w:rPr>
          <w:rFonts w:cs="Arial"/>
          <w:lang w:val="mk-MK"/>
        </w:rPr>
        <w:t>Цели:</w:t>
      </w:r>
      <w:bookmarkEnd w:id="18"/>
    </w:p>
    <w:p w14:paraId="7EE121AE" w14:textId="411D5C72" w:rsidR="008B50BE" w:rsidRPr="005114E7" w:rsidRDefault="008B50BE" w:rsidP="008B50BE">
      <w:pPr>
        <w:pStyle w:val="ListParagraph"/>
        <w:numPr>
          <w:ilvl w:val="0"/>
          <w:numId w:val="24"/>
        </w:numPr>
        <w:spacing w:before="120" w:after="120" w:line="240" w:lineRule="auto"/>
        <w:ind w:left="806" w:hanging="446"/>
        <w:contextualSpacing w:val="0"/>
        <w:rPr>
          <w:rFonts w:cs="Arial"/>
        </w:rPr>
      </w:pPr>
      <w:r w:rsidRPr="005114E7">
        <w:rPr>
          <w:rFonts w:cs="Arial"/>
          <w:lang w:val="mk-MK"/>
        </w:rPr>
        <w:t>Да се овозможи рано препознавање на онеспособеноста или на проблемите во развојот и да се воведат појасни насоки и навремен пристап до соодветните поддршки.</w:t>
      </w:r>
      <w:r w:rsidRPr="005114E7">
        <w:rPr>
          <w:rFonts w:cs="Arial"/>
        </w:rPr>
        <w:t xml:space="preserve"> </w:t>
      </w:r>
    </w:p>
    <w:p w14:paraId="0DB94466" w14:textId="77777777" w:rsidR="008B50BE" w:rsidRPr="005114E7" w:rsidRDefault="008B50BE" w:rsidP="008B50BE">
      <w:pPr>
        <w:pStyle w:val="ListParagraph"/>
        <w:numPr>
          <w:ilvl w:val="0"/>
          <w:numId w:val="24"/>
        </w:numPr>
        <w:spacing w:before="120" w:after="120" w:line="240" w:lineRule="auto"/>
        <w:ind w:left="806" w:hanging="446"/>
        <w:contextualSpacing w:val="0"/>
        <w:rPr>
          <w:rFonts w:cs="Arial"/>
        </w:rPr>
      </w:pPr>
      <w:r w:rsidRPr="005114E7">
        <w:rPr>
          <w:rFonts w:cs="Arial"/>
          <w:lang w:val="mk-MK"/>
        </w:rPr>
        <w:t>Да се зголемат способноста и капацитетот на клучните служби и системи да им даваат поддршка на родителите и негувателите за истите да можат да носат информирани одлуки во врска со своето дете.</w:t>
      </w:r>
      <w:r w:rsidRPr="005114E7">
        <w:rPr>
          <w:rFonts w:cs="Arial"/>
        </w:rPr>
        <w:t xml:space="preserve"> </w:t>
      </w:r>
    </w:p>
    <w:p w14:paraId="046A58E6" w14:textId="616963C9" w:rsidR="008B50BE" w:rsidRPr="005114E7" w:rsidRDefault="008B50BE" w:rsidP="008B50BE">
      <w:pPr>
        <w:pStyle w:val="ListParagraph"/>
        <w:numPr>
          <w:ilvl w:val="0"/>
          <w:numId w:val="24"/>
        </w:numPr>
        <w:spacing w:before="120" w:after="120" w:line="240" w:lineRule="auto"/>
        <w:ind w:left="806" w:hanging="446"/>
        <w:contextualSpacing w:val="0"/>
        <w:rPr>
          <w:rFonts w:cs="Arial"/>
        </w:rPr>
      </w:pPr>
      <w:r w:rsidRPr="005114E7">
        <w:rPr>
          <w:rFonts w:cs="Arial"/>
          <w:lang w:val="mk-MK"/>
        </w:rPr>
        <w:t xml:space="preserve">Да се поттикне поголемо чувство за вклучителност и да се обезбедат можности за родителите, негувателите и децата да градат врснички мрежи, </w:t>
      </w:r>
      <w:r w:rsidRPr="005114E7">
        <w:rPr>
          <w:rFonts w:cs="Arial"/>
          <w:lang w:val="mk-MK"/>
        </w:rPr>
        <w:lastRenderedPageBreak/>
        <w:t>вклучувајќи ги и Абориџините и луѓето од островите во Торесовиот Теснец, како и родителите и негувателите со разновидно културно и јазично потекло.</w:t>
      </w:r>
    </w:p>
    <w:p w14:paraId="5D34BF7B" w14:textId="77777777" w:rsidR="00C62233" w:rsidRPr="005114E7" w:rsidRDefault="00C62233">
      <w:r w:rsidRPr="005114E7">
        <w:br w:type="page"/>
      </w:r>
    </w:p>
    <w:p w14:paraId="4BA2C9CB" w14:textId="68B3EFED" w:rsidR="00C62233" w:rsidRPr="005114E7" w:rsidRDefault="0052512A" w:rsidP="0066071F">
      <w:pPr>
        <w:rPr>
          <w:b/>
          <w:bCs/>
          <w:color w:val="6C1740"/>
          <w:sz w:val="94"/>
          <w:szCs w:val="94"/>
        </w:rPr>
      </w:pPr>
      <w:proofErr w:type="spellStart"/>
      <w:r w:rsidRPr="005114E7">
        <w:rPr>
          <w:b/>
          <w:bCs/>
          <w:color w:val="6C1740"/>
          <w:sz w:val="94"/>
          <w:szCs w:val="94"/>
        </w:rPr>
        <w:lastRenderedPageBreak/>
        <w:t>План</w:t>
      </w:r>
      <w:proofErr w:type="spellEnd"/>
      <w:r w:rsidRPr="005114E7">
        <w:rPr>
          <w:b/>
          <w:bCs/>
          <w:color w:val="6C1740"/>
          <w:sz w:val="94"/>
          <w:szCs w:val="94"/>
        </w:rPr>
        <w:t xml:space="preserve"> </w:t>
      </w:r>
      <w:proofErr w:type="spellStart"/>
      <w:r w:rsidRPr="005114E7">
        <w:rPr>
          <w:b/>
          <w:bCs/>
          <w:color w:val="6C1740"/>
          <w:sz w:val="94"/>
          <w:szCs w:val="94"/>
        </w:rPr>
        <w:t>за</w:t>
      </w:r>
      <w:proofErr w:type="spellEnd"/>
      <w:r w:rsidRPr="005114E7">
        <w:rPr>
          <w:b/>
          <w:bCs/>
          <w:color w:val="6C1740"/>
          <w:sz w:val="94"/>
          <w:szCs w:val="94"/>
        </w:rPr>
        <w:t xml:space="preserve"> </w:t>
      </w:r>
      <w:proofErr w:type="spellStart"/>
      <w:r w:rsidRPr="005114E7">
        <w:rPr>
          <w:b/>
          <w:bCs/>
          <w:color w:val="6C1740"/>
          <w:sz w:val="94"/>
          <w:szCs w:val="94"/>
        </w:rPr>
        <w:t>насочена</w:t>
      </w:r>
      <w:proofErr w:type="spellEnd"/>
      <w:r w:rsidRPr="005114E7">
        <w:rPr>
          <w:b/>
          <w:bCs/>
          <w:color w:val="6C1740"/>
          <w:sz w:val="94"/>
          <w:szCs w:val="94"/>
        </w:rPr>
        <w:t xml:space="preserve"> </w:t>
      </w:r>
      <w:proofErr w:type="spellStart"/>
      <w:r w:rsidRPr="005114E7">
        <w:rPr>
          <w:b/>
          <w:bCs/>
          <w:color w:val="6C1740"/>
          <w:sz w:val="94"/>
          <w:szCs w:val="94"/>
        </w:rPr>
        <w:t>акција</w:t>
      </w:r>
      <w:proofErr w:type="spellEnd"/>
      <w:r w:rsidRPr="005114E7">
        <w:rPr>
          <w:b/>
          <w:bCs/>
          <w:color w:val="6C1740"/>
          <w:sz w:val="94"/>
          <w:szCs w:val="94"/>
        </w:rPr>
        <w:t xml:space="preserve"> </w:t>
      </w:r>
      <w:proofErr w:type="spellStart"/>
      <w:r w:rsidRPr="005114E7">
        <w:rPr>
          <w:b/>
          <w:bCs/>
          <w:color w:val="6C1740"/>
          <w:sz w:val="94"/>
          <w:szCs w:val="94"/>
        </w:rPr>
        <w:t>за</w:t>
      </w:r>
      <w:proofErr w:type="spellEnd"/>
      <w:r w:rsidRPr="005114E7">
        <w:rPr>
          <w:b/>
          <w:bCs/>
          <w:color w:val="6C1740"/>
          <w:sz w:val="94"/>
          <w:szCs w:val="94"/>
        </w:rPr>
        <w:t xml:space="preserve"> </w:t>
      </w:r>
      <w:proofErr w:type="spellStart"/>
      <w:r w:rsidRPr="005114E7">
        <w:rPr>
          <w:b/>
          <w:bCs/>
          <w:color w:val="6C1740"/>
          <w:sz w:val="94"/>
          <w:szCs w:val="94"/>
        </w:rPr>
        <w:t>раното</w:t>
      </w:r>
      <w:proofErr w:type="spellEnd"/>
      <w:r w:rsidRPr="005114E7">
        <w:rPr>
          <w:b/>
          <w:bCs/>
          <w:color w:val="6C1740"/>
          <w:sz w:val="94"/>
          <w:szCs w:val="94"/>
        </w:rPr>
        <w:t xml:space="preserve"> </w:t>
      </w:r>
      <w:proofErr w:type="spellStart"/>
      <w:r w:rsidRPr="005114E7">
        <w:rPr>
          <w:b/>
          <w:bCs/>
          <w:color w:val="6C1740"/>
          <w:sz w:val="94"/>
          <w:szCs w:val="94"/>
        </w:rPr>
        <w:t>детство</w:t>
      </w:r>
      <w:proofErr w:type="spellEnd"/>
    </w:p>
    <w:p w14:paraId="6F4842E9" w14:textId="7BDFD663" w:rsidR="00C62233" w:rsidRPr="005114E7" w:rsidRDefault="0052512A" w:rsidP="0008481A">
      <w:pPr>
        <w:spacing w:before="240" w:after="240" w:line="240" w:lineRule="auto"/>
      </w:pPr>
      <w:r w:rsidRPr="005114E7">
        <w:rPr>
          <w:rFonts w:cs="Arial"/>
          <w:lang w:val="mk-MK"/>
        </w:rPr>
        <w:t xml:space="preserve">Табела 7: Планот </w:t>
      </w:r>
      <w:r w:rsidRPr="005114E7">
        <w:rPr>
          <w:rFonts w:cs="Arial"/>
        </w:rPr>
        <w:t>TAP</w:t>
      </w:r>
      <w:r w:rsidRPr="005114E7">
        <w:rPr>
          <w:rFonts w:cs="Arial"/>
          <w:lang w:val="mk-MK"/>
        </w:rPr>
        <w:t xml:space="preserve"> за раното детство – напредување на акциите преземени од владата во </w:t>
      </w:r>
      <w:r w:rsidRPr="005114E7">
        <w:rPr>
          <w:rFonts w:cs="Arial"/>
        </w:rPr>
        <w:t>2022-2023</w:t>
      </w:r>
      <w:r w:rsidRPr="005114E7">
        <w:rPr>
          <w:rFonts w:cs="Arial"/>
          <w:lang w:val="mk-MK"/>
        </w:rPr>
        <w:t xml:space="preserve"> г.</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78"/>
        <w:gridCol w:w="1331"/>
        <w:gridCol w:w="1259"/>
        <w:gridCol w:w="1294"/>
        <w:gridCol w:w="1294"/>
        <w:gridCol w:w="1294"/>
        <w:gridCol w:w="1292"/>
      </w:tblGrid>
      <w:tr w:rsidR="0052512A" w:rsidRPr="005114E7" w14:paraId="0F859A2B" w14:textId="77777777" w:rsidTr="0052512A">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08E71B03" w:rsidR="0052512A" w:rsidRPr="005114E7" w:rsidRDefault="0052512A" w:rsidP="002A249B">
            <w:pPr>
              <w:spacing w:after="0" w:line="240" w:lineRule="auto"/>
              <w:rPr>
                <w:rFonts w:eastAsia="Times New Roman" w:cs="Arial"/>
                <w:b/>
                <w:color w:val="FFFFFF" w:themeColor="background1"/>
                <w:sz w:val="20"/>
                <w:szCs w:val="20"/>
                <w:lang w:eastAsia="en-AU"/>
              </w:rPr>
            </w:pPr>
            <w:bookmarkStart w:id="19" w:name="Title_07"/>
            <w:bookmarkEnd w:id="19"/>
            <w:r w:rsidRPr="005114E7">
              <w:rPr>
                <w:rFonts w:eastAsia="Times New Roman" w:cs="Calibri"/>
                <w:b/>
                <w:bCs/>
                <w:color w:val="FFFFFF" w:themeColor="background1"/>
                <w:lang w:val="mk" w:eastAsia="en-AU"/>
              </w:rPr>
              <w:t>Влада</w:t>
            </w:r>
          </w:p>
        </w:tc>
        <w:tc>
          <w:tcPr>
            <w:tcW w:w="72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217B09AC" w:rsidR="0052512A" w:rsidRPr="005114E7" w:rsidRDefault="0052512A" w:rsidP="00464AAF">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Завршено</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0754B308" w:rsidR="0052512A" w:rsidRPr="005114E7" w:rsidRDefault="0052512A"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Навреме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546F8BBB" w:rsidR="0052512A" w:rsidRPr="005114E7" w:rsidRDefault="0052512A"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Доцнење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67222323" w:rsidR="0052512A" w:rsidRPr="005114E7" w:rsidRDefault="0052512A"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Паузира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70CE685C" w:rsidR="0052512A" w:rsidRPr="005114E7" w:rsidRDefault="0052512A"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Ќе започне во иднина</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7834B3D3" w:rsidR="0052512A" w:rsidRPr="005114E7" w:rsidRDefault="0052512A"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Вкупно</w:t>
            </w:r>
          </w:p>
        </w:tc>
      </w:tr>
      <w:tr w:rsidR="0052512A" w:rsidRPr="005114E7" w14:paraId="7BBDA31B" w14:textId="77777777" w:rsidTr="0052512A">
        <w:trPr>
          <w:cantSplit/>
        </w:trPr>
        <w:tc>
          <w:tcPr>
            <w:tcW w:w="800" w:type="pct"/>
            <w:tcBorders>
              <w:top w:val="single" w:sz="4" w:space="0" w:color="auto"/>
            </w:tcBorders>
            <w:shd w:val="clear" w:color="auto" w:fill="auto"/>
            <w:noWrap/>
            <w:vAlign w:val="bottom"/>
            <w:hideMark/>
          </w:tcPr>
          <w:p w14:paraId="13781574" w14:textId="643E704F" w:rsidR="0052512A" w:rsidRPr="005114E7" w:rsidRDefault="0052512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Австралиска влада</w:t>
            </w:r>
          </w:p>
        </w:tc>
        <w:tc>
          <w:tcPr>
            <w:tcW w:w="720" w:type="pct"/>
            <w:tcBorders>
              <w:top w:val="single" w:sz="4" w:space="0" w:color="auto"/>
            </w:tcBorders>
            <w:shd w:val="clear" w:color="auto" w:fill="auto"/>
            <w:noWrap/>
            <w:vAlign w:val="bottom"/>
            <w:hideMark/>
          </w:tcPr>
          <w:p w14:paraId="00DBAE9A" w14:textId="28E7050E"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681" w:type="pct"/>
            <w:tcBorders>
              <w:top w:val="single" w:sz="4" w:space="0" w:color="auto"/>
            </w:tcBorders>
            <w:shd w:val="clear" w:color="auto" w:fill="auto"/>
            <w:noWrap/>
            <w:vAlign w:val="bottom"/>
            <w:hideMark/>
          </w:tcPr>
          <w:p w14:paraId="06C60AE9" w14:textId="36503EAE"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11</w:t>
            </w:r>
          </w:p>
        </w:tc>
      </w:tr>
      <w:tr w:rsidR="0052512A" w:rsidRPr="005114E7" w14:paraId="3C414D09" w14:textId="77777777" w:rsidTr="0052512A">
        <w:trPr>
          <w:cantSplit/>
        </w:trPr>
        <w:tc>
          <w:tcPr>
            <w:tcW w:w="800" w:type="pct"/>
            <w:shd w:val="clear" w:color="auto" w:fill="FAF9F8"/>
            <w:noWrap/>
            <w:vAlign w:val="bottom"/>
            <w:hideMark/>
          </w:tcPr>
          <w:p w14:paraId="35273F0A" w14:textId="7C007384" w:rsidR="0052512A" w:rsidRPr="005114E7" w:rsidRDefault="0052512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Нов Јужен Велс</w:t>
            </w:r>
          </w:p>
        </w:tc>
        <w:tc>
          <w:tcPr>
            <w:tcW w:w="720" w:type="pct"/>
            <w:shd w:val="clear" w:color="auto" w:fill="FAF9F8"/>
            <w:noWrap/>
            <w:vAlign w:val="bottom"/>
            <w:hideMark/>
          </w:tcPr>
          <w:p w14:paraId="3DAA42C4"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shd w:val="clear" w:color="auto" w:fill="FAF9F8"/>
            <w:noWrap/>
            <w:vAlign w:val="bottom"/>
            <w:hideMark/>
          </w:tcPr>
          <w:p w14:paraId="47D034C4"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FAF9F8"/>
            <w:noWrap/>
            <w:vAlign w:val="bottom"/>
            <w:hideMark/>
          </w:tcPr>
          <w:p w14:paraId="19851BB2"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228442FF"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FAF9F8"/>
            <w:noWrap/>
            <w:vAlign w:val="bottom"/>
            <w:hideMark/>
          </w:tcPr>
          <w:p w14:paraId="470B077A"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0D2AC12B"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5</w:t>
            </w:r>
          </w:p>
        </w:tc>
      </w:tr>
      <w:tr w:rsidR="0052512A" w:rsidRPr="005114E7" w14:paraId="4CF8F4ED" w14:textId="77777777" w:rsidTr="0052512A">
        <w:trPr>
          <w:cantSplit/>
        </w:trPr>
        <w:tc>
          <w:tcPr>
            <w:tcW w:w="800" w:type="pct"/>
            <w:shd w:val="clear" w:color="auto" w:fill="auto"/>
            <w:noWrap/>
            <w:vAlign w:val="bottom"/>
            <w:hideMark/>
          </w:tcPr>
          <w:p w14:paraId="303537E0" w14:textId="50ADB18F" w:rsidR="0052512A" w:rsidRPr="005114E7" w:rsidRDefault="0052512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Викторија</w:t>
            </w:r>
          </w:p>
        </w:tc>
        <w:tc>
          <w:tcPr>
            <w:tcW w:w="720" w:type="pct"/>
            <w:shd w:val="clear" w:color="auto" w:fill="auto"/>
            <w:noWrap/>
            <w:vAlign w:val="bottom"/>
            <w:hideMark/>
          </w:tcPr>
          <w:p w14:paraId="04AD4B8B"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681" w:type="pct"/>
            <w:shd w:val="clear" w:color="auto" w:fill="auto"/>
            <w:noWrap/>
            <w:vAlign w:val="bottom"/>
            <w:hideMark/>
          </w:tcPr>
          <w:p w14:paraId="0737CBB2"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auto"/>
            <w:noWrap/>
            <w:vAlign w:val="bottom"/>
            <w:hideMark/>
          </w:tcPr>
          <w:p w14:paraId="028E27FC"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22A0AA7E"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08B9633E"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4B21063B"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4</w:t>
            </w:r>
          </w:p>
        </w:tc>
      </w:tr>
      <w:tr w:rsidR="0052512A" w:rsidRPr="005114E7" w14:paraId="73C88263" w14:textId="77777777" w:rsidTr="0052512A">
        <w:trPr>
          <w:cantSplit/>
        </w:trPr>
        <w:tc>
          <w:tcPr>
            <w:tcW w:w="800" w:type="pct"/>
            <w:shd w:val="clear" w:color="auto" w:fill="FAF9F8"/>
            <w:noWrap/>
            <w:vAlign w:val="bottom"/>
            <w:hideMark/>
          </w:tcPr>
          <w:p w14:paraId="05D90CBB" w14:textId="2FB480E0" w:rsidR="0052512A" w:rsidRPr="005114E7" w:rsidRDefault="0052512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Квинсленд</w:t>
            </w:r>
          </w:p>
        </w:tc>
        <w:tc>
          <w:tcPr>
            <w:tcW w:w="720" w:type="pct"/>
            <w:shd w:val="clear" w:color="auto" w:fill="FAF9F8"/>
            <w:noWrap/>
            <w:vAlign w:val="bottom"/>
            <w:hideMark/>
          </w:tcPr>
          <w:p w14:paraId="72CA133C"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681" w:type="pct"/>
            <w:shd w:val="clear" w:color="auto" w:fill="FAF9F8"/>
            <w:noWrap/>
            <w:vAlign w:val="bottom"/>
            <w:hideMark/>
          </w:tcPr>
          <w:p w14:paraId="4D50D291"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7</w:t>
            </w:r>
          </w:p>
        </w:tc>
        <w:tc>
          <w:tcPr>
            <w:tcW w:w="700" w:type="pct"/>
            <w:shd w:val="clear" w:color="auto" w:fill="FAF9F8"/>
            <w:noWrap/>
            <w:vAlign w:val="bottom"/>
            <w:hideMark/>
          </w:tcPr>
          <w:p w14:paraId="30AAE290"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26C278A5"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0D9B0C9D"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103F9F22"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9</w:t>
            </w:r>
          </w:p>
        </w:tc>
      </w:tr>
      <w:tr w:rsidR="0052512A" w:rsidRPr="005114E7" w14:paraId="3C10E678" w14:textId="77777777" w:rsidTr="0052512A">
        <w:trPr>
          <w:cantSplit/>
        </w:trPr>
        <w:tc>
          <w:tcPr>
            <w:tcW w:w="800" w:type="pct"/>
            <w:shd w:val="clear" w:color="auto" w:fill="auto"/>
            <w:noWrap/>
            <w:vAlign w:val="bottom"/>
            <w:hideMark/>
          </w:tcPr>
          <w:p w14:paraId="6E3F0227" w14:textId="1506DA6D" w:rsidR="0052512A" w:rsidRPr="005114E7" w:rsidRDefault="0052512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Западна Австралија</w:t>
            </w:r>
          </w:p>
        </w:tc>
        <w:tc>
          <w:tcPr>
            <w:tcW w:w="720" w:type="pct"/>
            <w:shd w:val="clear" w:color="auto" w:fill="auto"/>
            <w:noWrap/>
            <w:vAlign w:val="bottom"/>
            <w:hideMark/>
          </w:tcPr>
          <w:p w14:paraId="02428B7B"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shd w:val="clear" w:color="auto" w:fill="auto"/>
            <w:noWrap/>
            <w:vAlign w:val="bottom"/>
            <w:hideMark/>
          </w:tcPr>
          <w:p w14:paraId="4DEDA428"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shd w:val="clear" w:color="auto" w:fill="auto"/>
            <w:noWrap/>
            <w:vAlign w:val="bottom"/>
            <w:hideMark/>
          </w:tcPr>
          <w:p w14:paraId="30BF6E66"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3AFAFDB2"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49E369CF"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345F035D"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5</w:t>
            </w:r>
          </w:p>
        </w:tc>
      </w:tr>
      <w:tr w:rsidR="0052512A" w:rsidRPr="005114E7" w14:paraId="1E835043" w14:textId="77777777" w:rsidTr="0052512A">
        <w:trPr>
          <w:cantSplit/>
        </w:trPr>
        <w:tc>
          <w:tcPr>
            <w:tcW w:w="800" w:type="pct"/>
            <w:shd w:val="clear" w:color="auto" w:fill="FAF9F8"/>
            <w:noWrap/>
            <w:vAlign w:val="bottom"/>
            <w:hideMark/>
          </w:tcPr>
          <w:p w14:paraId="6F6661B5" w14:textId="79E94938" w:rsidR="0052512A" w:rsidRPr="005114E7" w:rsidRDefault="0052512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Јужна Австралија</w:t>
            </w:r>
          </w:p>
        </w:tc>
        <w:tc>
          <w:tcPr>
            <w:tcW w:w="720" w:type="pct"/>
            <w:shd w:val="clear" w:color="auto" w:fill="FAF9F8"/>
            <w:noWrap/>
            <w:vAlign w:val="bottom"/>
            <w:hideMark/>
          </w:tcPr>
          <w:p w14:paraId="45BF4DF8"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7</w:t>
            </w:r>
          </w:p>
        </w:tc>
        <w:tc>
          <w:tcPr>
            <w:tcW w:w="681" w:type="pct"/>
            <w:shd w:val="clear" w:color="auto" w:fill="FAF9F8"/>
            <w:noWrap/>
            <w:vAlign w:val="bottom"/>
            <w:hideMark/>
          </w:tcPr>
          <w:p w14:paraId="571F0E9D"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700" w:type="pct"/>
            <w:shd w:val="clear" w:color="auto" w:fill="FAF9F8"/>
            <w:noWrap/>
            <w:vAlign w:val="bottom"/>
            <w:hideMark/>
          </w:tcPr>
          <w:p w14:paraId="5D808FF9"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FAF9F8"/>
            <w:noWrap/>
            <w:vAlign w:val="bottom"/>
            <w:hideMark/>
          </w:tcPr>
          <w:p w14:paraId="282035B9"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76B9D41E"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FAF9F8"/>
            <w:noWrap/>
            <w:vAlign w:val="bottom"/>
            <w:hideMark/>
          </w:tcPr>
          <w:p w14:paraId="520B81E7"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15</w:t>
            </w:r>
          </w:p>
        </w:tc>
      </w:tr>
      <w:tr w:rsidR="0052512A" w:rsidRPr="005114E7" w14:paraId="0A629A38" w14:textId="77777777" w:rsidTr="0052512A">
        <w:trPr>
          <w:cantSplit/>
        </w:trPr>
        <w:tc>
          <w:tcPr>
            <w:tcW w:w="800" w:type="pct"/>
            <w:shd w:val="clear" w:color="auto" w:fill="auto"/>
            <w:noWrap/>
            <w:vAlign w:val="bottom"/>
            <w:hideMark/>
          </w:tcPr>
          <w:p w14:paraId="2EAAEFE9" w14:textId="08BA5271" w:rsidR="0052512A" w:rsidRPr="005114E7" w:rsidRDefault="0052512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Тасманија</w:t>
            </w:r>
          </w:p>
        </w:tc>
        <w:tc>
          <w:tcPr>
            <w:tcW w:w="720" w:type="pct"/>
            <w:shd w:val="clear" w:color="auto" w:fill="auto"/>
            <w:noWrap/>
            <w:vAlign w:val="bottom"/>
            <w:hideMark/>
          </w:tcPr>
          <w:p w14:paraId="6EC281C0"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shd w:val="clear" w:color="auto" w:fill="auto"/>
            <w:noWrap/>
            <w:vAlign w:val="bottom"/>
            <w:hideMark/>
          </w:tcPr>
          <w:p w14:paraId="36F8A739"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shd w:val="clear" w:color="auto" w:fill="auto"/>
            <w:noWrap/>
            <w:vAlign w:val="bottom"/>
            <w:hideMark/>
          </w:tcPr>
          <w:p w14:paraId="7C3414F0"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auto"/>
            <w:noWrap/>
            <w:vAlign w:val="bottom"/>
            <w:hideMark/>
          </w:tcPr>
          <w:p w14:paraId="75143638"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2370E613"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3D3737C0"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6</w:t>
            </w:r>
          </w:p>
        </w:tc>
      </w:tr>
      <w:tr w:rsidR="0052512A" w:rsidRPr="005114E7" w14:paraId="13287316" w14:textId="77777777" w:rsidTr="0052512A">
        <w:trPr>
          <w:cantSplit/>
        </w:trPr>
        <w:tc>
          <w:tcPr>
            <w:tcW w:w="800" w:type="pct"/>
            <w:shd w:val="clear" w:color="auto" w:fill="FAF9F8"/>
            <w:noWrap/>
            <w:vAlign w:val="bottom"/>
            <w:hideMark/>
          </w:tcPr>
          <w:p w14:paraId="03C3052E" w14:textId="7046F9EA" w:rsidR="0052512A" w:rsidRPr="005114E7" w:rsidRDefault="0052512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Австралиска Престолничка Територија</w:t>
            </w:r>
          </w:p>
        </w:tc>
        <w:tc>
          <w:tcPr>
            <w:tcW w:w="720" w:type="pct"/>
            <w:shd w:val="clear" w:color="auto" w:fill="FAF9F8"/>
            <w:noWrap/>
            <w:vAlign w:val="bottom"/>
            <w:hideMark/>
          </w:tcPr>
          <w:p w14:paraId="6BAA56FA"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2</w:t>
            </w:r>
          </w:p>
        </w:tc>
        <w:tc>
          <w:tcPr>
            <w:tcW w:w="681" w:type="pct"/>
            <w:shd w:val="clear" w:color="auto" w:fill="FAF9F8"/>
            <w:noWrap/>
            <w:vAlign w:val="bottom"/>
            <w:hideMark/>
          </w:tcPr>
          <w:p w14:paraId="00D7A78A"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5</w:t>
            </w:r>
          </w:p>
        </w:tc>
      </w:tr>
      <w:tr w:rsidR="0052512A" w:rsidRPr="005114E7" w14:paraId="3B706D58" w14:textId="77777777" w:rsidTr="0052512A">
        <w:trPr>
          <w:cantSplit/>
        </w:trPr>
        <w:tc>
          <w:tcPr>
            <w:tcW w:w="800" w:type="pct"/>
            <w:shd w:val="clear" w:color="auto" w:fill="auto"/>
            <w:noWrap/>
            <w:vAlign w:val="bottom"/>
            <w:hideMark/>
          </w:tcPr>
          <w:p w14:paraId="11D3BBE8" w14:textId="6E780736" w:rsidR="0052512A" w:rsidRPr="005114E7" w:rsidRDefault="0052512A" w:rsidP="002A249B">
            <w:pPr>
              <w:spacing w:after="0" w:line="240" w:lineRule="auto"/>
              <w:rPr>
                <w:rFonts w:eastAsia="Times New Roman" w:cs="Arial"/>
                <w:color w:val="000000"/>
                <w:sz w:val="20"/>
                <w:szCs w:val="20"/>
                <w:lang w:eastAsia="en-AU"/>
              </w:rPr>
            </w:pPr>
            <w:r w:rsidRPr="005114E7">
              <w:rPr>
                <w:rFonts w:eastAsia="Times New Roman" w:cs="Calibri"/>
                <w:color w:val="000000"/>
                <w:lang w:val="mk" w:eastAsia="en-AU"/>
              </w:rPr>
              <w:t>Северна Територија</w:t>
            </w:r>
          </w:p>
        </w:tc>
        <w:tc>
          <w:tcPr>
            <w:tcW w:w="720" w:type="pct"/>
            <w:shd w:val="clear" w:color="auto" w:fill="auto"/>
            <w:noWrap/>
            <w:vAlign w:val="bottom"/>
            <w:hideMark/>
          </w:tcPr>
          <w:p w14:paraId="02DC6D81"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shd w:val="clear" w:color="auto" w:fill="auto"/>
            <w:noWrap/>
            <w:vAlign w:val="bottom"/>
            <w:hideMark/>
          </w:tcPr>
          <w:p w14:paraId="5D61A682"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13</w:t>
            </w:r>
          </w:p>
        </w:tc>
        <w:tc>
          <w:tcPr>
            <w:tcW w:w="700" w:type="pct"/>
            <w:shd w:val="clear" w:color="auto" w:fill="auto"/>
            <w:noWrap/>
            <w:vAlign w:val="bottom"/>
            <w:hideMark/>
          </w:tcPr>
          <w:p w14:paraId="063DAF5C"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077D16A5"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64DA7096" w14:textId="77777777" w:rsidR="0052512A" w:rsidRPr="005114E7" w:rsidRDefault="0052512A"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2B1E109F" w14:textId="77777777" w:rsidR="0052512A" w:rsidRPr="005114E7" w:rsidRDefault="0052512A"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14</w:t>
            </w:r>
          </w:p>
        </w:tc>
      </w:tr>
      <w:tr w:rsidR="0052512A" w:rsidRPr="005114E7" w14:paraId="638EE825" w14:textId="77777777" w:rsidTr="0052512A">
        <w:trPr>
          <w:cantSplit/>
        </w:trPr>
        <w:tc>
          <w:tcPr>
            <w:tcW w:w="800" w:type="pct"/>
            <w:shd w:val="clear" w:color="auto" w:fill="E4E9F3"/>
            <w:noWrap/>
            <w:vAlign w:val="bottom"/>
            <w:hideMark/>
          </w:tcPr>
          <w:p w14:paraId="631F8AAE" w14:textId="252F6978" w:rsidR="0052512A" w:rsidRPr="005114E7" w:rsidRDefault="0052512A" w:rsidP="002A249B">
            <w:pPr>
              <w:spacing w:after="0" w:line="240" w:lineRule="auto"/>
              <w:rPr>
                <w:rFonts w:eastAsia="Times New Roman" w:cs="Arial"/>
                <w:b/>
                <w:color w:val="000000"/>
                <w:sz w:val="20"/>
                <w:szCs w:val="20"/>
                <w:lang w:eastAsia="en-AU"/>
              </w:rPr>
            </w:pPr>
            <w:r w:rsidRPr="005114E7">
              <w:rPr>
                <w:rFonts w:eastAsia="Times New Roman" w:cs="Calibri"/>
                <w:b/>
                <w:bCs/>
                <w:color w:val="000000"/>
                <w:lang w:val="mk" w:eastAsia="en-AU"/>
              </w:rPr>
              <w:t>Вкупно на национално ниво</w:t>
            </w:r>
          </w:p>
        </w:tc>
        <w:tc>
          <w:tcPr>
            <w:tcW w:w="720" w:type="pct"/>
            <w:shd w:val="clear" w:color="auto" w:fill="E4E9F3"/>
            <w:noWrap/>
            <w:vAlign w:val="bottom"/>
            <w:hideMark/>
          </w:tcPr>
          <w:p w14:paraId="4C181A83" w14:textId="581FE8EF" w:rsidR="0052512A" w:rsidRPr="005114E7" w:rsidRDefault="0052512A"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20</w:t>
            </w:r>
          </w:p>
        </w:tc>
        <w:tc>
          <w:tcPr>
            <w:tcW w:w="681" w:type="pct"/>
            <w:shd w:val="clear" w:color="auto" w:fill="E4E9F3"/>
            <w:noWrap/>
            <w:vAlign w:val="bottom"/>
            <w:hideMark/>
          </w:tcPr>
          <w:p w14:paraId="53BE039B" w14:textId="5FF75BA2" w:rsidR="0052512A" w:rsidRPr="005114E7" w:rsidRDefault="0052512A" w:rsidP="003107A5">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52512A" w:rsidRPr="005114E7" w:rsidRDefault="0052512A"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52512A" w:rsidRPr="005114E7" w:rsidRDefault="0052512A"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52512A" w:rsidRPr="005114E7" w:rsidRDefault="0052512A"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52512A" w:rsidRPr="005114E7" w:rsidRDefault="0052512A"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74</w:t>
            </w:r>
          </w:p>
        </w:tc>
      </w:tr>
    </w:tbl>
    <w:p w14:paraId="1D6CC0D5" w14:textId="2162E1B7" w:rsidR="00C62233" w:rsidRPr="005114E7" w:rsidRDefault="0052512A" w:rsidP="0008481A">
      <w:pPr>
        <w:spacing w:before="240" w:after="240" w:line="240" w:lineRule="auto"/>
      </w:pPr>
      <w:r w:rsidRPr="005114E7">
        <w:rPr>
          <w:rFonts w:cs="Arial"/>
          <w:lang w:val="mk-MK"/>
        </w:rPr>
        <w:lastRenderedPageBreak/>
        <w:t xml:space="preserve">Табела 8: Планот </w:t>
      </w:r>
      <w:r w:rsidRPr="005114E7">
        <w:rPr>
          <w:rFonts w:cs="Arial"/>
        </w:rPr>
        <w:t>TAP</w:t>
      </w:r>
      <w:r w:rsidRPr="005114E7">
        <w:rPr>
          <w:rFonts w:cs="Arial"/>
          <w:lang w:val="mk-MK"/>
        </w:rPr>
        <w:t xml:space="preserve"> за раното детство – напредување на акциите согласно поставените цели во </w:t>
      </w:r>
      <w:r w:rsidRPr="005114E7">
        <w:rPr>
          <w:rFonts w:cs="Arial"/>
        </w:rPr>
        <w:t>2022-2023</w:t>
      </w:r>
      <w:r w:rsidRPr="005114E7">
        <w:rPr>
          <w:rFonts w:cs="Arial"/>
          <w:lang w:val="mk-MK"/>
        </w:rPr>
        <w:t xml:space="preserve"> г.</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80"/>
        <w:gridCol w:w="1327"/>
        <w:gridCol w:w="1261"/>
        <w:gridCol w:w="1294"/>
        <w:gridCol w:w="1294"/>
        <w:gridCol w:w="1294"/>
        <w:gridCol w:w="1292"/>
      </w:tblGrid>
      <w:tr w:rsidR="0052512A" w:rsidRPr="005114E7" w14:paraId="48214A0A" w14:textId="77777777" w:rsidTr="0052512A">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4EEEA158" w:rsidR="0052512A" w:rsidRPr="005114E7" w:rsidRDefault="0052512A" w:rsidP="00F441F3">
            <w:pPr>
              <w:spacing w:after="0" w:line="240" w:lineRule="auto"/>
              <w:rPr>
                <w:rFonts w:eastAsia="Times New Roman" w:cs="Arial"/>
                <w:b/>
                <w:bCs/>
                <w:color w:val="FFFFFF" w:themeColor="background1"/>
                <w:sz w:val="20"/>
                <w:szCs w:val="20"/>
                <w:lang w:eastAsia="en-AU"/>
              </w:rPr>
            </w:pPr>
            <w:bookmarkStart w:id="20" w:name="Title_08"/>
            <w:bookmarkEnd w:id="20"/>
            <w:r w:rsidRPr="005114E7">
              <w:rPr>
                <w:rFonts w:eastAsia="Times New Roman" w:cs="Calibri"/>
                <w:b/>
                <w:bCs/>
                <w:color w:val="FFFFFF" w:themeColor="background1"/>
                <w:lang w:val="mk" w:eastAsia="en-AU"/>
              </w:rPr>
              <w:t>Цел</w:t>
            </w:r>
          </w:p>
        </w:tc>
        <w:tc>
          <w:tcPr>
            <w:tcW w:w="71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146A64C6" w:rsidR="0052512A" w:rsidRPr="005114E7" w:rsidRDefault="0052512A" w:rsidP="00F441F3">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Завршено</w:t>
            </w:r>
          </w:p>
        </w:tc>
        <w:tc>
          <w:tcPr>
            <w:tcW w:w="68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718A5EE0" w:rsidR="0052512A" w:rsidRPr="005114E7" w:rsidRDefault="0052512A" w:rsidP="00F441F3">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Навреме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517E32E1" w:rsidR="0052512A" w:rsidRPr="005114E7" w:rsidRDefault="0052512A" w:rsidP="00F441F3">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Доцнење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5B3F3B2B" w:rsidR="0052512A" w:rsidRPr="005114E7" w:rsidRDefault="0052512A" w:rsidP="00F441F3">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Паузира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26601393" w:rsidR="0052512A" w:rsidRPr="005114E7" w:rsidRDefault="0052512A" w:rsidP="00F441F3">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Ќе започне во иднина</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5FBD8E48" w:rsidR="0052512A" w:rsidRPr="005114E7" w:rsidRDefault="0052512A" w:rsidP="00F441F3">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Вкупно</w:t>
            </w:r>
          </w:p>
        </w:tc>
      </w:tr>
      <w:tr w:rsidR="00785761" w:rsidRPr="005114E7" w14:paraId="1D2512DA" w14:textId="77777777" w:rsidTr="0052512A">
        <w:trPr>
          <w:cantSplit/>
        </w:trPr>
        <w:tc>
          <w:tcPr>
            <w:tcW w:w="801" w:type="pct"/>
            <w:tcBorders>
              <w:top w:val="single" w:sz="4" w:space="0" w:color="auto"/>
            </w:tcBorders>
            <w:shd w:val="clear" w:color="auto" w:fill="auto"/>
            <w:noWrap/>
            <w:vAlign w:val="bottom"/>
            <w:hideMark/>
          </w:tcPr>
          <w:p w14:paraId="40223195" w14:textId="7E2C1A1A" w:rsidR="00785761" w:rsidRPr="005114E7" w:rsidRDefault="0052512A" w:rsidP="00785761">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00785761" w:rsidRPr="005114E7">
              <w:rPr>
                <w:rFonts w:eastAsia="Times New Roman" w:cs="Arial"/>
                <w:sz w:val="20"/>
                <w:szCs w:val="20"/>
                <w:lang w:eastAsia="en-AU"/>
              </w:rPr>
              <w:t xml:space="preserve"> 1</w:t>
            </w:r>
          </w:p>
        </w:tc>
        <w:tc>
          <w:tcPr>
            <w:tcW w:w="718" w:type="pct"/>
            <w:tcBorders>
              <w:top w:val="single" w:sz="4" w:space="0" w:color="auto"/>
            </w:tcBorders>
            <w:shd w:val="clear" w:color="auto" w:fill="auto"/>
            <w:noWrap/>
            <w:vAlign w:val="bottom"/>
            <w:hideMark/>
          </w:tcPr>
          <w:p w14:paraId="7AD4F3B2" w14:textId="11F37C9F"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9</w:t>
            </w:r>
          </w:p>
        </w:tc>
        <w:tc>
          <w:tcPr>
            <w:tcW w:w="682" w:type="pct"/>
            <w:tcBorders>
              <w:top w:val="single" w:sz="4" w:space="0" w:color="auto"/>
            </w:tcBorders>
            <w:shd w:val="clear" w:color="auto" w:fill="auto"/>
            <w:noWrap/>
            <w:vAlign w:val="bottom"/>
            <w:hideMark/>
          </w:tcPr>
          <w:p w14:paraId="5695FA4F" w14:textId="44C0DE71"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785761" w:rsidRPr="005114E7" w:rsidRDefault="00785761" w:rsidP="00785761">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31</w:t>
            </w:r>
          </w:p>
        </w:tc>
      </w:tr>
      <w:tr w:rsidR="00785761" w:rsidRPr="005114E7" w14:paraId="49E3D338" w14:textId="77777777" w:rsidTr="0052512A">
        <w:trPr>
          <w:cantSplit/>
        </w:trPr>
        <w:tc>
          <w:tcPr>
            <w:tcW w:w="801" w:type="pct"/>
            <w:shd w:val="clear" w:color="auto" w:fill="FAF9F8"/>
            <w:noWrap/>
            <w:vAlign w:val="bottom"/>
            <w:hideMark/>
          </w:tcPr>
          <w:p w14:paraId="3251091E" w14:textId="767E3F78" w:rsidR="00785761" w:rsidRPr="005114E7" w:rsidRDefault="0052512A" w:rsidP="00785761">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00785761" w:rsidRPr="005114E7">
              <w:rPr>
                <w:rFonts w:eastAsia="Times New Roman" w:cs="Arial"/>
                <w:sz w:val="20"/>
                <w:szCs w:val="20"/>
                <w:lang w:eastAsia="en-AU"/>
              </w:rPr>
              <w:t xml:space="preserve"> 2</w:t>
            </w:r>
          </w:p>
        </w:tc>
        <w:tc>
          <w:tcPr>
            <w:tcW w:w="718" w:type="pct"/>
            <w:shd w:val="clear" w:color="auto" w:fill="FAF9F8"/>
            <w:noWrap/>
            <w:vAlign w:val="bottom"/>
            <w:hideMark/>
          </w:tcPr>
          <w:p w14:paraId="69D78828" w14:textId="59AAF1F8"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9</w:t>
            </w:r>
          </w:p>
        </w:tc>
        <w:tc>
          <w:tcPr>
            <w:tcW w:w="682" w:type="pct"/>
            <w:shd w:val="clear" w:color="auto" w:fill="FAF9F8"/>
            <w:noWrap/>
            <w:vAlign w:val="bottom"/>
            <w:hideMark/>
          </w:tcPr>
          <w:p w14:paraId="0C8F5295" w14:textId="527C17CC"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17</w:t>
            </w:r>
          </w:p>
        </w:tc>
        <w:tc>
          <w:tcPr>
            <w:tcW w:w="700" w:type="pct"/>
            <w:shd w:val="clear" w:color="auto" w:fill="FAF9F8"/>
            <w:noWrap/>
            <w:vAlign w:val="bottom"/>
            <w:hideMark/>
          </w:tcPr>
          <w:p w14:paraId="715FCEC1" w14:textId="7783EFF4"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FAF9F8"/>
            <w:noWrap/>
            <w:vAlign w:val="bottom"/>
            <w:hideMark/>
          </w:tcPr>
          <w:p w14:paraId="038BBDE6" w14:textId="6322CF0C"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FAF9F8"/>
            <w:noWrap/>
            <w:vAlign w:val="bottom"/>
            <w:hideMark/>
          </w:tcPr>
          <w:p w14:paraId="2300D6BB" w14:textId="17AADA43" w:rsidR="00785761" w:rsidRPr="005114E7" w:rsidRDefault="00785761"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shd w:val="clear" w:color="auto" w:fill="FAF9F8"/>
            <w:noWrap/>
            <w:vAlign w:val="bottom"/>
            <w:hideMark/>
          </w:tcPr>
          <w:p w14:paraId="723A83EB" w14:textId="30185C29" w:rsidR="00785761" w:rsidRPr="005114E7" w:rsidRDefault="00785761" w:rsidP="00785761">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29</w:t>
            </w:r>
          </w:p>
        </w:tc>
      </w:tr>
      <w:tr w:rsidR="0052512A" w:rsidRPr="005114E7" w14:paraId="6C460B42" w14:textId="77777777" w:rsidTr="0052512A">
        <w:trPr>
          <w:cantSplit/>
        </w:trPr>
        <w:tc>
          <w:tcPr>
            <w:tcW w:w="801" w:type="pct"/>
            <w:shd w:val="clear" w:color="auto" w:fill="auto"/>
            <w:noWrap/>
            <w:vAlign w:val="bottom"/>
            <w:hideMark/>
          </w:tcPr>
          <w:p w14:paraId="442AE722" w14:textId="6B823AB3" w:rsidR="0052512A" w:rsidRPr="005114E7" w:rsidRDefault="0052512A" w:rsidP="0052512A">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3</w:t>
            </w:r>
          </w:p>
        </w:tc>
        <w:tc>
          <w:tcPr>
            <w:tcW w:w="718" w:type="pct"/>
            <w:shd w:val="clear" w:color="auto" w:fill="auto"/>
            <w:noWrap/>
            <w:vAlign w:val="bottom"/>
            <w:hideMark/>
          </w:tcPr>
          <w:p w14:paraId="3CF1CA62" w14:textId="238DB9F7" w:rsidR="0052512A" w:rsidRPr="005114E7" w:rsidRDefault="0052512A"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682" w:type="pct"/>
            <w:shd w:val="clear" w:color="auto" w:fill="auto"/>
            <w:noWrap/>
            <w:vAlign w:val="bottom"/>
            <w:hideMark/>
          </w:tcPr>
          <w:p w14:paraId="22EDF2EF" w14:textId="737F3883" w:rsidR="0052512A" w:rsidRPr="005114E7" w:rsidRDefault="0052512A"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9</w:t>
            </w:r>
          </w:p>
        </w:tc>
        <w:tc>
          <w:tcPr>
            <w:tcW w:w="700" w:type="pct"/>
            <w:shd w:val="clear" w:color="auto" w:fill="auto"/>
            <w:noWrap/>
            <w:vAlign w:val="bottom"/>
            <w:hideMark/>
          </w:tcPr>
          <w:p w14:paraId="1D8D92CB" w14:textId="31A24D02" w:rsidR="0052512A" w:rsidRPr="005114E7" w:rsidRDefault="0052512A"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shd w:val="clear" w:color="auto" w:fill="auto"/>
            <w:noWrap/>
            <w:vAlign w:val="bottom"/>
            <w:hideMark/>
          </w:tcPr>
          <w:p w14:paraId="5B4532A9" w14:textId="1F4DE0F0" w:rsidR="0052512A" w:rsidRPr="005114E7" w:rsidRDefault="0052512A"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08B57116" w14:textId="6B0485DB" w:rsidR="0052512A" w:rsidRPr="005114E7" w:rsidRDefault="0052512A" w:rsidP="00785761">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shd w:val="clear" w:color="auto" w:fill="auto"/>
            <w:noWrap/>
            <w:vAlign w:val="bottom"/>
            <w:hideMark/>
          </w:tcPr>
          <w:p w14:paraId="33C01DDA" w14:textId="5A7F1F0A" w:rsidR="0052512A" w:rsidRPr="005114E7" w:rsidRDefault="0052512A" w:rsidP="00785761">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14</w:t>
            </w:r>
          </w:p>
        </w:tc>
      </w:tr>
      <w:tr w:rsidR="0052512A" w:rsidRPr="005114E7" w14:paraId="6283A8D4" w14:textId="77777777" w:rsidTr="0052512A">
        <w:trPr>
          <w:cantSplit/>
        </w:trPr>
        <w:tc>
          <w:tcPr>
            <w:tcW w:w="801" w:type="pct"/>
            <w:shd w:val="clear" w:color="auto" w:fill="E4E9F3"/>
            <w:noWrap/>
            <w:vAlign w:val="bottom"/>
            <w:hideMark/>
          </w:tcPr>
          <w:p w14:paraId="2CFF44A9" w14:textId="429D5B5A" w:rsidR="0052512A" w:rsidRPr="005114E7" w:rsidRDefault="0052512A" w:rsidP="00785761">
            <w:pPr>
              <w:spacing w:after="0" w:line="240" w:lineRule="auto"/>
              <w:rPr>
                <w:rFonts w:eastAsia="Times New Roman" w:cs="Arial"/>
                <w:b/>
                <w:sz w:val="20"/>
                <w:szCs w:val="20"/>
                <w:lang w:eastAsia="en-AU"/>
              </w:rPr>
            </w:pPr>
            <w:r w:rsidRPr="005114E7">
              <w:rPr>
                <w:rFonts w:eastAsia="Times New Roman" w:cs="Calibri"/>
                <w:b/>
                <w:bCs/>
                <w:color w:val="000000"/>
                <w:lang w:val="mk" w:eastAsia="en-AU"/>
              </w:rPr>
              <w:t>Севкупно</w:t>
            </w:r>
          </w:p>
        </w:tc>
        <w:tc>
          <w:tcPr>
            <w:tcW w:w="718" w:type="pct"/>
            <w:shd w:val="clear" w:color="auto" w:fill="E4E9F3"/>
            <w:noWrap/>
            <w:vAlign w:val="bottom"/>
            <w:hideMark/>
          </w:tcPr>
          <w:p w14:paraId="57F9D28C" w14:textId="1D680FA7" w:rsidR="0052512A" w:rsidRPr="005114E7" w:rsidRDefault="0052512A" w:rsidP="00785761">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20</w:t>
            </w:r>
          </w:p>
        </w:tc>
        <w:tc>
          <w:tcPr>
            <w:tcW w:w="682" w:type="pct"/>
            <w:shd w:val="clear" w:color="auto" w:fill="E4E9F3"/>
            <w:noWrap/>
            <w:vAlign w:val="bottom"/>
            <w:hideMark/>
          </w:tcPr>
          <w:p w14:paraId="260F25D2" w14:textId="2CF00D31" w:rsidR="0052512A" w:rsidRPr="005114E7" w:rsidRDefault="0052512A" w:rsidP="00785761">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52512A" w:rsidRPr="005114E7" w:rsidRDefault="0052512A" w:rsidP="00785761">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52512A" w:rsidRPr="005114E7" w:rsidRDefault="0052512A" w:rsidP="00785761">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52512A" w:rsidRPr="005114E7" w:rsidRDefault="0052512A" w:rsidP="00785761">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52512A" w:rsidRPr="005114E7" w:rsidRDefault="0052512A" w:rsidP="00785761">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74</w:t>
            </w:r>
          </w:p>
        </w:tc>
      </w:tr>
    </w:tbl>
    <w:p w14:paraId="2648F049" w14:textId="7E9623CF" w:rsidR="00C62233" w:rsidRPr="005114E7" w:rsidRDefault="00C62233">
      <w:r w:rsidRPr="005114E7">
        <w:br w:type="page"/>
      </w:r>
    </w:p>
    <w:p w14:paraId="62DD751A" w14:textId="70BBAEF1" w:rsidR="00C62233" w:rsidRPr="005114E7" w:rsidRDefault="00A23B5B" w:rsidP="0094489E">
      <w:pPr>
        <w:pStyle w:val="Heading1"/>
      </w:pPr>
      <w:bookmarkStart w:id="21" w:name="_Toc153454139"/>
      <w:proofErr w:type="spellStart"/>
      <w:r w:rsidRPr="005114E7">
        <w:lastRenderedPageBreak/>
        <w:t>План</w:t>
      </w:r>
      <w:proofErr w:type="spellEnd"/>
      <w:r w:rsidRPr="005114E7">
        <w:t xml:space="preserve"> </w:t>
      </w:r>
      <w:proofErr w:type="spellStart"/>
      <w:r w:rsidRPr="005114E7">
        <w:t>за</w:t>
      </w:r>
      <w:proofErr w:type="spellEnd"/>
      <w:r w:rsidRPr="005114E7">
        <w:t xml:space="preserve"> </w:t>
      </w:r>
      <w:proofErr w:type="spellStart"/>
      <w:r w:rsidRPr="005114E7">
        <w:t>насочена</w:t>
      </w:r>
      <w:proofErr w:type="spellEnd"/>
      <w:r w:rsidRPr="005114E7">
        <w:t xml:space="preserve"> </w:t>
      </w:r>
      <w:proofErr w:type="spellStart"/>
      <w:r w:rsidRPr="005114E7">
        <w:t>акција</w:t>
      </w:r>
      <w:proofErr w:type="spellEnd"/>
      <w:r w:rsidRPr="005114E7">
        <w:t xml:space="preserve"> </w:t>
      </w:r>
      <w:proofErr w:type="spellStart"/>
      <w:r w:rsidRPr="005114E7">
        <w:t>за</w:t>
      </w:r>
      <w:proofErr w:type="spellEnd"/>
      <w:r w:rsidRPr="005114E7">
        <w:t xml:space="preserve"> </w:t>
      </w:r>
      <w:proofErr w:type="spellStart"/>
      <w:r w:rsidRPr="005114E7">
        <w:t>безбедност</w:t>
      </w:r>
      <w:bookmarkEnd w:id="21"/>
      <w:proofErr w:type="spellEnd"/>
    </w:p>
    <w:p w14:paraId="583BD182" w14:textId="5E262C87" w:rsidR="00DA227A" w:rsidRPr="005114E7" w:rsidRDefault="00A23B5B" w:rsidP="00515A1C">
      <w:pPr>
        <w:pStyle w:val="Heading2"/>
        <w:pBdr>
          <w:top w:val="none" w:sz="0" w:space="0" w:color="auto"/>
        </w:pBdr>
      </w:pPr>
      <w:bookmarkStart w:id="22" w:name="_Toc153454140"/>
      <w:r w:rsidRPr="005114E7">
        <w:rPr>
          <w:rFonts w:cs="Arial"/>
          <w:lang w:val="mk-MK"/>
        </w:rPr>
        <w:t>Вовед</w:t>
      </w:r>
      <w:bookmarkEnd w:id="22"/>
    </w:p>
    <w:p w14:paraId="194B2A9C" w14:textId="77777777" w:rsidR="005114E7" w:rsidRPr="005114E7" w:rsidRDefault="005114E7" w:rsidP="005114E7">
      <w:pPr>
        <w:spacing w:before="240" w:after="240" w:line="240" w:lineRule="auto"/>
        <w:rPr>
          <w:rFonts w:cs="Arial"/>
        </w:rPr>
      </w:pPr>
      <w:r w:rsidRPr="005114E7">
        <w:rPr>
          <w:rFonts w:cs="Arial"/>
          <w:lang w:val="mk-MK"/>
        </w:rPr>
        <w:t xml:space="preserve">Планот </w:t>
      </w:r>
      <w:r w:rsidRPr="005114E7">
        <w:rPr>
          <w:rFonts w:cs="Arial"/>
        </w:rPr>
        <w:t>TAP</w:t>
      </w:r>
      <w:r w:rsidRPr="005114E7">
        <w:rPr>
          <w:rFonts w:cs="Arial"/>
          <w:lang w:val="mk-MK"/>
        </w:rPr>
        <w:t xml:space="preserve"> за безбедност (</w:t>
      </w:r>
      <w:r w:rsidRPr="005114E7">
        <w:rPr>
          <w:rFonts w:cs="Arial"/>
        </w:rPr>
        <w:t>Safety TAP</w:t>
      </w:r>
      <w:r w:rsidRPr="005114E7">
        <w:rPr>
          <w:rFonts w:cs="Arial"/>
          <w:lang w:val="mk-MK"/>
        </w:rPr>
        <w:t>) има цел да поттикне напредок во однос на областа од Стратегијата</w:t>
      </w:r>
      <w:r w:rsidRPr="005114E7">
        <w:rPr>
          <w:rFonts w:cs="Arial"/>
        </w:rPr>
        <w:t xml:space="preserve"> ADS</w:t>
      </w:r>
      <w:r w:rsidRPr="005114E7">
        <w:rPr>
          <w:rFonts w:cs="Arial"/>
          <w:lang w:val="mk-MK"/>
        </w:rPr>
        <w:t xml:space="preserve"> во којашто треба да се постигнат резултати во поглед на безбедноста, правата и правдата (</w:t>
      </w:r>
      <w:r w:rsidRPr="005114E7">
        <w:rPr>
          <w:rFonts w:cs="Arial"/>
        </w:rPr>
        <w:t>Safety, Rights and Justice Outcome Area</w:t>
      </w:r>
      <w:r w:rsidRPr="005114E7">
        <w:rPr>
          <w:rFonts w:cs="Arial"/>
          <w:lang w:val="mk-MK"/>
        </w:rPr>
        <w:t>)</w:t>
      </w:r>
      <w:r w:rsidRPr="005114E7">
        <w:rPr>
          <w:rFonts w:cs="Arial"/>
        </w:rPr>
        <w:t xml:space="preserve">. </w:t>
      </w:r>
    </w:p>
    <w:p w14:paraId="73AE67AE" w14:textId="77777777" w:rsidR="005114E7" w:rsidRPr="005114E7" w:rsidRDefault="005114E7" w:rsidP="005114E7">
      <w:pPr>
        <w:spacing w:before="240" w:after="240" w:line="240" w:lineRule="auto"/>
        <w:rPr>
          <w:rFonts w:cs="Arial"/>
        </w:rPr>
      </w:pPr>
      <w:r w:rsidRPr="005114E7">
        <w:rPr>
          <w:rFonts w:cs="Arial"/>
          <w:lang w:val="mk-MK"/>
        </w:rPr>
        <w:t>Оваа област во којашто треба да се постигнат резултати се стреми да осигури дека луѓето со онеспособеност се поттикнувани, поддржувани и заштитени и дека се чувствуваат безбедни и рамноправни пред законот.</w:t>
      </w:r>
    </w:p>
    <w:p w14:paraId="04CC6338" w14:textId="77777777" w:rsidR="005114E7" w:rsidRPr="005114E7" w:rsidRDefault="005114E7" w:rsidP="005114E7">
      <w:pPr>
        <w:spacing w:before="240" w:after="240" w:line="240" w:lineRule="auto"/>
        <w:rPr>
          <w:rFonts w:cs="Arial"/>
        </w:rPr>
      </w:pPr>
      <w:r w:rsidRPr="005114E7">
        <w:rPr>
          <w:rFonts w:cs="Arial"/>
          <w:lang w:val="mk-MK"/>
        </w:rPr>
        <w:t xml:space="preserve">Планот </w:t>
      </w:r>
      <w:r w:rsidRPr="005114E7">
        <w:rPr>
          <w:rFonts w:cs="Arial"/>
        </w:rPr>
        <w:t>TAP</w:t>
      </w:r>
      <w:r w:rsidRPr="005114E7">
        <w:rPr>
          <w:rFonts w:cs="Arial"/>
          <w:lang w:val="mk-MK"/>
        </w:rPr>
        <w:t xml:space="preserve"> за безбедноста опфаќа 117 акции од страна на австралиската влада и владите на државите и териториите за коишто се поднесува извештај за периодот </w:t>
      </w:r>
      <w:r w:rsidRPr="005114E7">
        <w:rPr>
          <w:rFonts w:cs="Arial"/>
        </w:rPr>
        <w:t>2022-2023</w:t>
      </w:r>
      <w:r w:rsidRPr="005114E7">
        <w:rPr>
          <w:rFonts w:cs="Arial"/>
          <w:lang w:val="mk-MK"/>
        </w:rPr>
        <w:t xml:space="preserve"> г.</w:t>
      </w:r>
    </w:p>
    <w:p w14:paraId="42D24FC6" w14:textId="30070920" w:rsidR="005114E7" w:rsidRPr="005114E7" w:rsidRDefault="005114E7" w:rsidP="005114E7">
      <w:pPr>
        <w:spacing w:before="240" w:after="240" w:line="240" w:lineRule="auto"/>
      </w:pPr>
      <w:r w:rsidRPr="005114E7">
        <w:rPr>
          <w:rFonts w:cs="Arial"/>
          <w:lang w:val="mk-MK"/>
        </w:rPr>
        <w:t>Тука спаѓаат акции што поддржуваат препознавање на луѓето со онеспособеност кои се во опасност да претрпат нешто лошо; акции што разгледуваат како подобро да се усогласат националното законодавство и политика и да се подобрат услугите и ресурсите со коишто се поддржуваат луѓето кои се во опасност.</w:t>
      </w:r>
    </w:p>
    <w:p w14:paraId="1ABC1D7A" w14:textId="333C0BF9" w:rsidR="00C62233" w:rsidRPr="005114E7" w:rsidRDefault="00A23B5B" w:rsidP="00B71B33">
      <w:pPr>
        <w:pStyle w:val="Heading2"/>
      </w:pPr>
      <w:bookmarkStart w:id="23" w:name="_Toc153454141"/>
      <w:r w:rsidRPr="005114E7">
        <w:rPr>
          <w:rFonts w:cs="Arial"/>
          <w:lang w:val="mk-MK"/>
        </w:rPr>
        <w:t>Цели</w:t>
      </w:r>
      <w:bookmarkEnd w:id="23"/>
    </w:p>
    <w:p w14:paraId="15EE8502" w14:textId="60218A84" w:rsidR="005114E7" w:rsidRPr="005114E7" w:rsidRDefault="005114E7" w:rsidP="005114E7">
      <w:pPr>
        <w:pStyle w:val="ListParagraph"/>
        <w:numPr>
          <w:ilvl w:val="0"/>
          <w:numId w:val="26"/>
        </w:numPr>
        <w:spacing w:before="120" w:after="120" w:line="240" w:lineRule="auto"/>
        <w:ind w:left="806" w:hanging="446"/>
        <w:contextualSpacing w:val="0"/>
        <w:rPr>
          <w:rFonts w:cs="Arial"/>
        </w:rPr>
      </w:pPr>
      <w:r w:rsidRPr="005114E7">
        <w:rPr>
          <w:rFonts w:cs="Arial"/>
          <w:lang w:val="mk-MK"/>
        </w:rPr>
        <w:t xml:space="preserve">Да се развие способност за препознавање и за реагирање на опасноста, како и заштитните фактори што ќе доведат до тоа некое лице со онеспособеност да искуси, или можеби да дојде </w:t>
      </w:r>
      <w:proofErr w:type="spellStart"/>
      <w:r w:rsidRPr="005114E7">
        <w:rPr>
          <w:rFonts w:cs="Arial"/>
        </w:rPr>
        <w:t>во</w:t>
      </w:r>
      <w:proofErr w:type="spellEnd"/>
      <w:r w:rsidRPr="005114E7">
        <w:rPr>
          <w:rFonts w:cs="Arial"/>
        </w:rPr>
        <w:t xml:space="preserve"> </w:t>
      </w:r>
      <w:proofErr w:type="spellStart"/>
      <w:r w:rsidRPr="005114E7">
        <w:rPr>
          <w:rFonts w:cs="Arial"/>
        </w:rPr>
        <w:t>опасност</w:t>
      </w:r>
      <w:proofErr w:type="spellEnd"/>
      <w:r w:rsidRPr="005114E7">
        <w:rPr>
          <w:rFonts w:cs="Arial"/>
        </w:rPr>
        <w:t xml:space="preserve"> </w:t>
      </w:r>
      <w:proofErr w:type="spellStart"/>
      <w:r w:rsidRPr="005114E7">
        <w:rPr>
          <w:rFonts w:cs="Arial"/>
        </w:rPr>
        <w:t>да</w:t>
      </w:r>
      <w:proofErr w:type="spellEnd"/>
      <w:r w:rsidRPr="005114E7">
        <w:rPr>
          <w:rFonts w:cs="Arial"/>
        </w:rPr>
        <w:t xml:space="preserve"> </w:t>
      </w:r>
      <w:proofErr w:type="spellStart"/>
      <w:r w:rsidRPr="005114E7">
        <w:rPr>
          <w:rFonts w:cs="Arial"/>
        </w:rPr>
        <w:t>искуси</w:t>
      </w:r>
      <w:proofErr w:type="spellEnd"/>
      <w:r w:rsidRPr="005114E7">
        <w:rPr>
          <w:rFonts w:cs="Arial"/>
        </w:rPr>
        <w:t xml:space="preserve"> </w:t>
      </w:r>
      <w:proofErr w:type="spellStart"/>
      <w:r w:rsidRPr="005114E7">
        <w:rPr>
          <w:rFonts w:cs="Arial"/>
        </w:rPr>
        <w:t>нешто</w:t>
      </w:r>
      <w:proofErr w:type="spellEnd"/>
      <w:r w:rsidRPr="005114E7">
        <w:rPr>
          <w:rFonts w:cs="Arial"/>
        </w:rPr>
        <w:t xml:space="preserve"> </w:t>
      </w:r>
      <w:proofErr w:type="spellStart"/>
      <w:r w:rsidRPr="005114E7">
        <w:rPr>
          <w:rFonts w:cs="Arial"/>
        </w:rPr>
        <w:t>лошо</w:t>
      </w:r>
      <w:proofErr w:type="spellEnd"/>
      <w:r w:rsidRPr="005114E7">
        <w:rPr>
          <w:rFonts w:cs="Arial"/>
          <w:lang w:val="mk-MK"/>
        </w:rPr>
        <w:t>.</w:t>
      </w:r>
      <w:r w:rsidRPr="005114E7">
        <w:rPr>
          <w:rFonts w:cs="Arial"/>
        </w:rPr>
        <w:t xml:space="preserve"> </w:t>
      </w:r>
    </w:p>
    <w:p w14:paraId="7A71504D" w14:textId="536B4789" w:rsidR="005114E7" w:rsidRPr="005114E7" w:rsidRDefault="005114E7" w:rsidP="005114E7">
      <w:pPr>
        <w:pStyle w:val="ListParagraph"/>
        <w:numPr>
          <w:ilvl w:val="0"/>
          <w:numId w:val="26"/>
        </w:numPr>
        <w:spacing w:before="120" w:after="120" w:line="240" w:lineRule="auto"/>
        <w:ind w:left="806" w:hanging="446"/>
        <w:contextualSpacing w:val="0"/>
        <w:rPr>
          <w:rFonts w:cs="Arial"/>
        </w:rPr>
      </w:pPr>
      <w:r w:rsidRPr="005114E7">
        <w:rPr>
          <w:rFonts w:cs="Arial"/>
          <w:lang w:val="mk-MK"/>
        </w:rPr>
        <w:t xml:space="preserve">Да се осигури дека општите и специјализираните служби за онеспособеност обезбедуваат соодветни и добро одмерени заштити за луѓето со онеспособеност кои искусуваат или можеби се </w:t>
      </w:r>
      <w:proofErr w:type="spellStart"/>
      <w:r w:rsidRPr="005114E7">
        <w:rPr>
          <w:rFonts w:cs="Arial"/>
        </w:rPr>
        <w:t>во</w:t>
      </w:r>
      <w:proofErr w:type="spellEnd"/>
      <w:r w:rsidRPr="005114E7">
        <w:rPr>
          <w:rFonts w:cs="Arial"/>
        </w:rPr>
        <w:t xml:space="preserve"> </w:t>
      </w:r>
      <w:proofErr w:type="spellStart"/>
      <w:r w:rsidRPr="005114E7">
        <w:rPr>
          <w:rFonts w:cs="Arial"/>
        </w:rPr>
        <w:t>опасност</w:t>
      </w:r>
      <w:proofErr w:type="spellEnd"/>
      <w:r w:rsidRPr="005114E7">
        <w:rPr>
          <w:rFonts w:cs="Arial"/>
        </w:rPr>
        <w:t xml:space="preserve"> </w:t>
      </w:r>
      <w:proofErr w:type="spellStart"/>
      <w:r w:rsidRPr="005114E7">
        <w:rPr>
          <w:rFonts w:cs="Arial"/>
        </w:rPr>
        <w:t>да</w:t>
      </w:r>
      <w:proofErr w:type="spellEnd"/>
      <w:r w:rsidRPr="005114E7">
        <w:rPr>
          <w:rFonts w:cs="Arial"/>
        </w:rPr>
        <w:t xml:space="preserve"> </w:t>
      </w:r>
      <w:proofErr w:type="spellStart"/>
      <w:r w:rsidRPr="005114E7">
        <w:rPr>
          <w:rFonts w:cs="Arial"/>
        </w:rPr>
        <w:t>искусат</w:t>
      </w:r>
      <w:proofErr w:type="spellEnd"/>
      <w:r w:rsidRPr="005114E7">
        <w:rPr>
          <w:rFonts w:cs="Arial"/>
        </w:rPr>
        <w:t xml:space="preserve"> </w:t>
      </w:r>
      <w:proofErr w:type="spellStart"/>
      <w:r w:rsidRPr="005114E7">
        <w:rPr>
          <w:rFonts w:cs="Arial"/>
        </w:rPr>
        <w:t>нешто</w:t>
      </w:r>
      <w:proofErr w:type="spellEnd"/>
      <w:r w:rsidRPr="005114E7">
        <w:rPr>
          <w:rFonts w:cs="Arial"/>
        </w:rPr>
        <w:t xml:space="preserve"> </w:t>
      </w:r>
      <w:proofErr w:type="spellStart"/>
      <w:r w:rsidRPr="005114E7">
        <w:rPr>
          <w:rFonts w:cs="Arial"/>
        </w:rPr>
        <w:t>лошо</w:t>
      </w:r>
      <w:proofErr w:type="spellEnd"/>
      <w:r w:rsidRPr="005114E7">
        <w:rPr>
          <w:rFonts w:cs="Arial"/>
          <w:lang w:val="mk-MK"/>
        </w:rPr>
        <w:t>.</w:t>
      </w:r>
      <w:r w:rsidRPr="005114E7">
        <w:rPr>
          <w:rFonts w:cs="Arial"/>
        </w:rPr>
        <w:t xml:space="preserve"> </w:t>
      </w:r>
    </w:p>
    <w:p w14:paraId="68228B1D" w14:textId="4A8F1B31" w:rsidR="005114E7" w:rsidRPr="005114E7" w:rsidRDefault="005114E7" w:rsidP="005114E7">
      <w:pPr>
        <w:pStyle w:val="ListParagraph"/>
        <w:numPr>
          <w:ilvl w:val="0"/>
          <w:numId w:val="26"/>
        </w:numPr>
        <w:spacing w:before="120" w:after="120" w:line="240" w:lineRule="auto"/>
        <w:ind w:left="806" w:hanging="446"/>
        <w:contextualSpacing w:val="0"/>
        <w:rPr>
          <w:rFonts w:cs="Arial"/>
        </w:rPr>
      </w:pPr>
      <w:r w:rsidRPr="005114E7">
        <w:rPr>
          <w:rFonts w:cs="Arial"/>
          <w:lang w:val="mk-MK"/>
        </w:rPr>
        <w:t>Да се засилат системите на сите државни служби и поддршките што истите им ги даваат на луѓето со онеспособеност на кои им се заканува опасност да им се случи нешто лошо.</w:t>
      </w:r>
      <w:r w:rsidRPr="005114E7">
        <w:rPr>
          <w:rFonts w:cs="Arial"/>
        </w:rPr>
        <w:t xml:space="preserve"> </w:t>
      </w:r>
    </w:p>
    <w:p w14:paraId="642886A3" w14:textId="77777777" w:rsidR="005114E7" w:rsidRDefault="005114E7" w:rsidP="005114E7">
      <w:pPr>
        <w:pStyle w:val="ListParagraph"/>
        <w:numPr>
          <w:ilvl w:val="0"/>
          <w:numId w:val="26"/>
        </w:numPr>
        <w:spacing w:before="120" w:after="120" w:line="240" w:lineRule="auto"/>
        <w:ind w:left="806" w:hanging="446"/>
        <w:contextualSpacing w:val="0"/>
        <w:rPr>
          <w:rFonts w:cs="Arial"/>
        </w:rPr>
      </w:pPr>
      <w:r w:rsidRPr="005114E7">
        <w:rPr>
          <w:rFonts w:cs="Arial"/>
          <w:lang w:val="mk-MK"/>
        </w:rPr>
        <w:t>Да се намали и да се укине користењето на практики за ограничување во сите системи на државните служби.</w:t>
      </w:r>
      <w:r w:rsidRPr="005114E7">
        <w:rPr>
          <w:rFonts w:cs="Arial"/>
        </w:rPr>
        <w:t xml:space="preserve"> </w:t>
      </w:r>
    </w:p>
    <w:p w14:paraId="4B8A5BBF" w14:textId="282C3669" w:rsidR="005114E7" w:rsidRPr="005114E7" w:rsidRDefault="005114E7" w:rsidP="005114E7">
      <w:pPr>
        <w:pStyle w:val="ListParagraph"/>
        <w:numPr>
          <w:ilvl w:val="0"/>
          <w:numId w:val="26"/>
        </w:numPr>
        <w:spacing w:before="120" w:after="120" w:line="240" w:lineRule="auto"/>
        <w:ind w:left="806" w:hanging="446"/>
        <w:contextualSpacing w:val="0"/>
        <w:rPr>
          <w:rFonts w:cs="Arial"/>
        </w:rPr>
      </w:pPr>
      <w:r w:rsidRPr="005114E7">
        <w:rPr>
          <w:rFonts w:cs="Arial"/>
          <w:lang w:val="mk-MK"/>
        </w:rPr>
        <w:lastRenderedPageBreak/>
        <w:t>Да се развиваат личните капацитети и делотворни природни одбрани (на пример, неформалните поддршки и заштита како што е поврзаноста со семејството и со заедницата) на луѓето со онеспособеност.</w:t>
      </w:r>
    </w:p>
    <w:p w14:paraId="6F491625" w14:textId="77777777" w:rsidR="00C62233" w:rsidRPr="005114E7" w:rsidRDefault="00C62233">
      <w:r w:rsidRPr="005114E7">
        <w:br w:type="page"/>
      </w:r>
    </w:p>
    <w:p w14:paraId="61E37569" w14:textId="601CB185" w:rsidR="00C62233" w:rsidRPr="005114E7" w:rsidRDefault="00F84EB8" w:rsidP="0066071F">
      <w:pPr>
        <w:rPr>
          <w:b/>
          <w:bCs/>
          <w:color w:val="6C1740"/>
          <w:sz w:val="94"/>
          <w:szCs w:val="94"/>
        </w:rPr>
      </w:pPr>
      <w:proofErr w:type="spellStart"/>
      <w:r w:rsidRPr="00F84EB8">
        <w:rPr>
          <w:b/>
          <w:bCs/>
          <w:color w:val="6C1740"/>
          <w:sz w:val="94"/>
          <w:szCs w:val="94"/>
        </w:rPr>
        <w:lastRenderedPageBreak/>
        <w:t>План</w:t>
      </w:r>
      <w:proofErr w:type="spellEnd"/>
      <w:r w:rsidRPr="00F84EB8">
        <w:rPr>
          <w:b/>
          <w:bCs/>
          <w:color w:val="6C1740"/>
          <w:sz w:val="94"/>
          <w:szCs w:val="94"/>
        </w:rPr>
        <w:t xml:space="preserve"> </w:t>
      </w:r>
      <w:proofErr w:type="spellStart"/>
      <w:r w:rsidRPr="00F84EB8">
        <w:rPr>
          <w:b/>
          <w:bCs/>
          <w:color w:val="6C1740"/>
          <w:sz w:val="94"/>
          <w:szCs w:val="94"/>
        </w:rPr>
        <w:t>за</w:t>
      </w:r>
      <w:proofErr w:type="spellEnd"/>
      <w:r w:rsidRPr="00F84EB8">
        <w:rPr>
          <w:b/>
          <w:bCs/>
          <w:color w:val="6C1740"/>
          <w:sz w:val="94"/>
          <w:szCs w:val="94"/>
        </w:rPr>
        <w:t xml:space="preserve"> </w:t>
      </w:r>
      <w:proofErr w:type="spellStart"/>
      <w:r w:rsidRPr="00F84EB8">
        <w:rPr>
          <w:b/>
          <w:bCs/>
          <w:color w:val="6C1740"/>
          <w:sz w:val="94"/>
          <w:szCs w:val="94"/>
        </w:rPr>
        <w:t>насочена</w:t>
      </w:r>
      <w:proofErr w:type="spellEnd"/>
      <w:r w:rsidRPr="00F84EB8">
        <w:rPr>
          <w:b/>
          <w:bCs/>
          <w:color w:val="6C1740"/>
          <w:sz w:val="94"/>
          <w:szCs w:val="94"/>
        </w:rPr>
        <w:t xml:space="preserve"> </w:t>
      </w:r>
      <w:proofErr w:type="spellStart"/>
      <w:r w:rsidRPr="00F84EB8">
        <w:rPr>
          <w:b/>
          <w:bCs/>
          <w:color w:val="6C1740"/>
          <w:sz w:val="94"/>
          <w:szCs w:val="94"/>
        </w:rPr>
        <w:t>акција</w:t>
      </w:r>
      <w:proofErr w:type="spellEnd"/>
      <w:r w:rsidRPr="00F84EB8">
        <w:rPr>
          <w:b/>
          <w:bCs/>
          <w:color w:val="6C1740"/>
          <w:sz w:val="94"/>
          <w:szCs w:val="94"/>
        </w:rPr>
        <w:t xml:space="preserve"> </w:t>
      </w:r>
      <w:proofErr w:type="spellStart"/>
      <w:r w:rsidRPr="00F84EB8">
        <w:rPr>
          <w:b/>
          <w:bCs/>
          <w:color w:val="6C1740"/>
          <w:sz w:val="94"/>
          <w:szCs w:val="94"/>
        </w:rPr>
        <w:t>за</w:t>
      </w:r>
      <w:proofErr w:type="spellEnd"/>
      <w:r w:rsidRPr="00F84EB8">
        <w:rPr>
          <w:b/>
          <w:bCs/>
          <w:color w:val="6C1740"/>
          <w:sz w:val="94"/>
          <w:szCs w:val="94"/>
        </w:rPr>
        <w:t xml:space="preserve"> </w:t>
      </w:r>
      <w:proofErr w:type="spellStart"/>
      <w:r w:rsidRPr="00F84EB8">
        <w:rPr>
          <w:b/>
          <w:bCs/>
          <w:color w:val="6C1740"/>
          <w:sz w:val="94"/>
          <w:szCs w:val="94"/>
        </w:rPr>
        <w:t>безбедност</w:t>
      </w:r>
      <w:proofErr w:type="spellEnd"/>
    </w:p>
    <w:p w14:paraId="4AF4A1D1" w14:textId="05F30513" w:rsidR="00C62233" w:rsidRPr="005114E7" w:rsidRDefault="00F84EB8" w:rsidP="00697A46">
      <w:pPr>
        <w:spacing w:before="240" w:after="240" w:line="240" w:lineRule="auto"/>
      </w:pPr>
      <w:r w:rsidRPr="00D36EB6">
        <w:rPr>
          <w:rFonts w:cs="Arial"/>
          <w:lang w:val="mk-MK"/>
        </w:rPr>
        <w:t xml:space="preserve">Табела 9: Планот </w:t>
      </w:r>
      <w:r w:rsidRPr="00D36EB6">
        <w:rPr>
          <w:rFonts w:cs="Arial"/>
        </w:rPr>
        <w:t>TAP</w:t>
      </w:r>
      <w:r w:rsidRPr="00D36EB6">
        <w:rPr>
          <w:rFonts w:cs="Arial"/>
          <w:lang w:val="mk-MK"/>
        </w:rPr>
        <w:t xml:space="preserve"> за безбедност – напредување на акциите преземени од владата во </w:t>
      </w:r>
      <w:r w:rsidRPr="00D36EB6">
        <w:rPr>
          <w:rFonts w:cs="Arial"/>
        </w:rPr>
        <w:t>2022-2023</w:t>
      </w:r>
      <w:r w:rsidRPr="00D36EB6">
        <w:rPr>
          <w:rFonts w:cs="Arial"/>
          <w:lang w:val="mk-MK"/>
        </w:rPr>
        <w:t xml:space="preserve"> г.</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78"/>
        <w:gridCol w:w="1331"/>
        <w:gridCol w:w="1259"/>
        <w:gridCol w:w="1294"/>
        <w:gridCol w:w="1294"/>
        <w:gridCol w:w="1294"/>
        <w:gridCol w:w="1292"/>
      </w:tblGrid>
      <w:tr w:rsidR="00F35B3F" w:rsidRPr="005114E7" w14:paraId="4A6BA6AA" w14:textId="77777777" w:rsidTr="00F35B3F">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24078AA6" w:rsidR="00F35B3F" w:rsidRPr="005114E7" w:rsidRDefault="00F35B3F" w:rsidP="002A249B">
            <w:pPr>
              <w:spacing w:after="0" w:line="240" w:lineRule="auto"/>
              <w:rPr>
                <w:rFonts w:eastAsia="Times New Roman" w:cs="Arial"/>
                <w:b/>
                <w:bCs/>
                <w:color w:val="FFFFFF" w:themeColor="background1"/>
                <w:sz w:val="20"/>
                <w:szCs w:val="20"/>
                <w:lang w:eastAsia="en-AU"/>
              </w:rPr>
            </w:pPr>
            <w:bookmarkStart w:id="24" w:name="Title_09"/>
            <w:bookmarkEnd w:id="24"/>
            <w:r w:rsidRPr="005114E7">
              <w:rPr>
                <w:rFonts w:eastAsia="Times New Roman" w:cs="Calibri"/>
                <w:b/>
                <w:bCs/>
                <w:color w:val="FFFFFF" w:themeColor="background1"/>
                <w:lang w:val="mk" w:eastAsia="en-AU"/>
              </w:rPr>
              <w:t>Влада</w:t>
            </w:r>
          </w:p>
        </w:tc>
        <w:tc>
          <w:tcPr>
            <w:tcW w:w="72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5CB86818" w:rsidR="00F35B3F" w:rsidRPr="005114E7" w:rsidRDefault="00F35B3F" w:rsidP="00464AAF">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Завршено</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6C56DD93" w:rsidR="00F35B3F" w:rsidRPr="005114E7" w:rsidRDefault="00F35B3F" w:rsidP="002A249B">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Навреме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3A75A7D3" w:rsidR="00F35B3F" w:rsidRPr="005114E7" w:rsidRDefault="00F35B3F" w:rsidP="002A249B">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Доцнење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6C55B1E3" w:rsidR="00F35B3F" w:rsidRPr="005114E7" w:rsidRDefault="00F35B3F" w:rsidP="002A249B">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Паузира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565ACF37" w:rsidR="00F35B3F" w:rsidRPr="005114E7" w:rsidRDefault="00F35B3F" w:rsidP="002A249B">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Ќе започне во иднина</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5FFFA230" w:rsidR="00F35B3F" w:rsidRPr="005114E7" w:rsidRDefault="00F35B3F"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Вкупно</w:t>
            </w:r>
          </w:p>
        </w:tc>
      </w:tr>
      <w:tr w:rsidR="00F35B3F" w:rsidRPr="005114E7" w14:paraId="1A6B4889" w14:textId="77777777" w:rsidTr="00F35B3F">
        <w:trPr>
          <w:cantSplit/>
        </w:trPr>
        <w:tc>
          <w:tcPr>
            <w:tcW w:w="800" w:type="pct"/>
            <w:tcBorders>
              <w:top w:val="single" w:sz="4" w:space="0" w:color="auto"/>
            </w:tcBorders>
            <w:noWrap/>
            <w:vAlign w:val="bottom"/>
            <w:hideMark/>
          </w:tcPr>
          <w:p w14:paraId="1EE59503" w14:textId="335077E6" w:rsidR="00F35B3F"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Австралиска влада</w:t>
            </w:r>
          </w:p>
        </w:tc>
        <w:tc>
          <w:tcPr>
            <w:tcW w:w="720" w:type="pct"/>
            <w:tcBorders>
              <w:top w:val="single" w:sz="4" w:space="0" w:color="auto"/>
            </w:tcBorders>
            <w:noWrap/>
            <w:hideMark/>
          </w:tcPr>
          <w:p w14:paraId="6892605D"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5</w:t>
            </w:r>
          </w:p>
        </w:tc>
        <w:tc>
          <w:tcPr>
            <w:tcW w:w="681" w:type="pct"/>
            <w:tcBorders>
              <w:top w:val="single" w:sz="4" w:space="0" w:color="auto"/>
            </w:tcBorders>
            <w:noWrap/>
            <w:hideMark/>
          </w:tcPr>
          <w:p w14:paraId="5287CC8A"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tcBorders>
              <w:top w:val="single" w:sz="4" w:space="0" w:color="auto"/>
            </w:tcBorders>
            <w:noWrap/>
            <w:hideMark/>
          </w:tcPr>
          <w:p w14:paraId="3EBEB488"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8</w:t>
            </w:r>
          </w:p>
        </w:tc>
        <w:tc>
          <w:tcPr>
            <w:tcW w:w="700" w:type="pct"/>
            <w:tcBorders>
              <w:top w:val="single" w:sz="4" w:space="0" w:color="auto"/>
            </w:tcBorders>
            <w:noWrap/>
            <w:hideMark/>
          </w:tcPr>
          <w:p w14:paraId="35209C8D"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tcBorders>
            <w:noWrap/>
            <w:hideMark/>
          </w:tcPr>
          <w:p w14:paraId="3F228A37"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tcBorders>
              <w:top w:val="single" w:sz="4" w:space="0" w:color="auto"/>
            </w:tcBorders>
            <w:noWrap/>
            <w:hideMark/>
          </w:tcPr>
          <w:p w14:paraId="2B1D3447"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19</w:t>
            </w:r>
          </w:p>
        </w:tc>
      </w:tr>
      <w:tr w:rsidR="00F35B3F" w:rsidRPr="005114E7" w14:paraId="41FE6ECC" w14:textId="77777777" w:rsidTr="00F35B3F">
        <w:trPr>
          <w:cantSplit/>
        </w:trPr>
        <w:tc>
          <w:tcPr>
            <w:tcW w:w="800" w:type="pct"/>
            <w:shd w:val="clear" w:color="auto" w:fill="FAF9F8"/>
            <w:noWrap/>
            <w:vAlign w:val="bottom"/>
            <w:hideMark/>
          </w:tcPr>
          <w:p w14:paraId="20CA60DA" w14:textId="7AA30426" w:rsidR="00F35B3F"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Нов Јужен Велс</w:t>
            </w:r>
          </w:p>
        </w:tc>
        <w:tc>
          <w:tcPr>
            <w:tcW w:w="720" w:type="pct"/>
            <w:shd w:val="clear" w:color="auto" w:fill="FAF9F8"/>
            <w:noWrap/>
            <w:hideMark/>
          </w:tcPr>
          <w:p w14:paraId="0EF23DB3"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shd w:val="clear" w:color="auto" w:fill="FAF9F8"/>
            <w:noWrap/>
            <w:hideMark/>
          </w:tcPr>
          <w:p w14:paraId="7E35BFD5"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9</w:t>
            </w:r>
          </w:p>
        </w:tc>
        <w:tc>
          <w:tcPr>
            <w:tcW w:w="700" w:type="pct"/>
            <w:shd w:val="clear" w:color="auto" w:fill="FAF9F8"/>
            <w:noWrap/>
            <w:hideMark/>
          </w:tcPr>
          <w:p w14:paraId="6F0D5D57"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7</w:t>
            </w:r>
          </w:p>
        </w:tc>
        <w:tc>
          <w:tcPr>
            <w:tcW w:w="700" w:type="pct"/>
            <w:shd w:val="clear" w:color="auto" w:fill="FAF9F8"/>
            <w:noWrap/>
            <w:hideMark/>
          </w:tcPr>
          <w:p w14:paraId="6EC2C252"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FAF9F8"/>
            <w:noWrap/>
            <w:hideMark/>
          </w:tcPr>
          <w:p w14:paraId="40A5BD66"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hideMark/>
          </w:tcPr>
          <w:p w14:paraId="315FC467"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18</w:t>
            </w:r>
          </w:p>
        </w:tc>
      </w:tr>
      <w:tr w:rsidR="00F35B3F" w:rsidRPr="005114E7" w14:paraId="54AFFBF3" w14:textId="77777777" w:rsidTr="00F35B3F">
        <w:trPr>
          <w:cantSplit/>
        </w:trPr>
        <w:tc>
          <w:tcPr>
            <w:tcW w:w="800" w:type="pct"/>
            <w:noWrap/>
            <w:vAlign w:val="bottom"/>
            <w:hideMark/>
          </w:tcPr>
          <w:p w14:paraId="58ED579B" w14:textId="53E5F28C" w:rsidR="00F35B3F"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Викторија</w:t>
            </w:r>
          </w:p>
        </w:tc>
        <w:tc>
          <w:tcPr>
            <w:tcW w:w="720" w:type="pct"/>
            <w:noWrap/>
            <w:hideMark/>
          </w:tcPr>
          <w:p w14:paraId="2446CACC"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681" w:type="pct"/>
            <w:noWrap/>
            <w:hideMark/>
          </w:tcPr>
          <w:p w14:paraId="4ADEC6C1"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8</w:t>
            </w:r>
          </w:p>
        </w:tc>
        <w:tc>
          <w:tcPr>
            <w:tcW w:w="700" w:type="pct"/>
            <w:noWrap/>
            <w:hideMark/>
          </w:tcPr>
          <w:p w14:paraId="5F7BC15D"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noWrap/>
            <w:hideMark/>
          </w:tcPr>
          <w:p w14:paraId="29B5F22A"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noWrap/>
            <w:hideMark/>
          </w:tcPr>
          <w:p w14:paraId="441805E1"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noWrap/>
            <w:hideMark/>
          </w:tcPr>
          <w:p w14:paraId="68A673A9"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14</w:t>
            </w:r>
          </w:p>
        </w:tc>
      </w:tr>
      <w:tr w:rsidR="00F35B3F" w:rsidRPr="005114E7" w14:paraId="04301E7D" w14:textId="77777777" w:rsidTr="00F35B3F">
        <w:trPr>
          <w:cantSplit/>
        </w:trPr>
        <w:tc>
          <w:tcPr>
            <w:tcW w:w="800" w:type="pct"/>
            <w:shd w:val="clear" w:color="auto" w:fill="FAF9F8"/>
            <w:noWrap/>
            <w:vAlign w:val="bottom"/>
            <w:hideMark/>
          </w:tcPr>
          <w:p w14:paraId="7E618625" w14:textId="31041DD3" w:rsidR="00F35B3F"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Квинсленд</w:t>
            </w:r>
          </w:p>
        </w:tc>
        <w:tc>
          <w:tcPr>
            <w:tcW w:w="720" w:type="pct"/>
            <w:shd w:val="clear" w:color="auto" w:fill="FAF9F8"/>
            <w:noWrap/>
            <w:hideMark/>
          </w:tcPr>
          <w:p w14:paraId="7E6436B8"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681" w:type="pct"/>
            <w:shd w:val="clear" w:color="auto" w:fill="FAF9F8"/>
            <w:noWrap/>
            <w:hideMark/>
          </w:tcPr>
          <w:p w14:paraId="659425A8"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700" w:type="pct"/>
            <w:shd w:val="clear" w:color="auto" w:fill="FAF9F8"/>
            <w:noWrap/>
            <w:hideMark/>
          </w:tcPr>
          <w:p w14:paraId="7F757EC3"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shd w:val="clear" w:color="auto" w:fill="FAF9F8"/>
            <w:noWrap/>
            <w:hideMark/>
          </w:tcPr>
          <w:p w14:paraId="598CEBC9"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hideMark/>
          </w:tcPr>
          <w:p w14:paraId="0E3E5C0F"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hideMark/>
          </w:tcPr>
          <w:p w14:paraId="095E5D5B"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13</w:t>
            </w:r>
          </w:p>
        </w:tc>
      </w:tr>
      <w:tr w:rsidR="00F35B3F" w:rsidRPr="005114E7" w14:paraId="6376A06A" w14:textId="77777777" w:rsidTr="00F35B3F">
        <w:trPr>
          <w:cantSplit/>
        </w:trPr>
        <w:tc>
          <w:tcPr>
            <w:tcW w:w="800" w:type="pct"/>
            <w:noWrap/>
            <w:vAlign w:val="bottom"/>
            <w:hideMark/>
          </w:tcPr>
          <w:p w14:paraId="450E5E40" w14:textId="3B148375" w:rsidR="00F35B3F"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Западна Австралија</w:t>
            </w:r>
          </w:p>
        </w:tc>
        <w:tc>
          <w:tcPr>
            <w:tcW w:w="720" w:type="pct"/>
            <w:noWrap/>
            <w:hideMark/>
          </w:tcPr>
          <w:p w14:paraId="5342A9F8"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5</w:t>
            </w:r>
          </w:p>
        </w:tc>
        <w:tc>
          <w:tcPr>
            <w:tcW w:w="681" w:type="pct"/>
            <w:noWrap/>
            <w:hideMark/>
          </w:tcPr>
          <w:p w14:paraId="3F7F7E70"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700" w:type="pct"/>
            <w:noWrap/>
            <w:hideMark/>
          </w:tcPr>
          <w:p w14:paraId="19226562"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noWrap/>
            <w:hideMark/>
          </w:tcPr>
          <w:p w14:paraId="57981A25"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noWrap/>
            <w:hideMark/>
          </w:tcPr>
          <w:p w14:paraId="012FEA77"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noWrap/>
            <w:hideMark/>
          </w:tcPr>
          <w:p w14:paraId="264295B9"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11</w:t>
            </w:r>
          </w:p>
        </w:tc>
      </w:tr>
      <w:tr w:rsidR="00F35B3F" w:rsidRPr="005114E7" w14:paraId="33572A73" w14:textId="77777777" w:rsidTr="00F35B3F">
        <w:trPr>
          <w:cantSplit/>
        </w:trPr>
        <w:tc>
          <w:tcPr>
            <w:tcW w:w="800" w:type="pct"/>
            <w:shd w:val="clear" w:color="auto" w:fill="FAF9F8"/>
            <w:noWrap/>
            <w:vAlign w:val="bottom"/>
            <w:hideMark/>
          </w:tcPr>
          <w:p w14:paraId="58F4EF6A" w14:textId="3B3CA541" w:rsidR="00F35B3F"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Јужна Австралија</w:t>
            </w:r>
          </w:p>
        </w:tc>
        <w:tc>
          <w:tcPr>
            <w:tcW w:w="720" w:type="pct"/>
            <w:shd w:val="clear" w:color="auto" w:fill="FAF9F8"/>
            <w:noWrap/>
            <w:hideMark/>
          </w:tcPr>
          <w:p w14:paraId="4791A30E"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681" w:type="pct"/>
            <w:shd w:val="clear" w:color="auto" w:fill="FAF9F8"/>
            <w:noWrap/>
            <w:hideMark/>
          </w:tcPr>
          <w:p w14:paraId="392918FE"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7</w:t>
            </w:r>
          </w:p>
        </w:tc>
        <w:tc>
          <w:tcPr>
            <w:tcW w:w="700" w:type="pct"/>
            <w:shd w:val="clear" w:color="auto" w:fill="FAF9F8"/>
            <w:noWrap/>
            <w:hideMark/>
          </w:tcPr>
          <w:p w14:paraId="78B097FE"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shd w:val="clear" w:color="auto" w:fill="FAF9F8"/>
            <w:noWrap/>
            <w:hideMark/>
          </w:tcPr>
          <w:p w14:paraId="29C3F5AB"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FAF9F8"/>
            <w:noWrap/>
            <w:hideMark/>
          </w:tcPr>
          <w:p w14:paraId="5DB4677A"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hideMark/>
          </w:tcPr>
          <w:p w14:paraId="6CF2A2A9"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15</w:t>
            </w:r>
          </w:p>
        </w:tc>
      </w:tr>
      <w:tr w:rsidR="00F35B3F" w:rsidRPr="005114E7" w14:paraId="79FB5A6D" w14:textId="77777777" w:rsidTr="00F35B3F">
        <w:trPr>
          <w:cantSplit/>
        </w:trPr>
        <w:tc>
          <w:tcPr>
            <w:tcW w:w="800" w:type="pct"/>
            <w:noWrap/>
            <w:vAlign w:val="bottom"/>
            <w:hideMark/>
          </w:tcPr>
          <w:p w14:paraId="32045DC3" w14:textId="30E67368" w:rsidR="00F35B3F"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Тасманија</w:t>
            </w:r>
          </w:p>
        </w:tc>
        <w:tc>
          <w:tcPr>
            <w:tcW w:w="720" w:type="pct"/>
            <w:noWrap/>
            <w:hideMark/>
          </w:tcPr>
          <w:p w14:paraId="6C8DCF77"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81" w:type="pct"/>
            <w:noWrap/>
            <w:hideMark/>
          </w:tcPr>
          <w:p w14:paraId="175CE8F7"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700" w:type="pct"/>
            <w:noWrap/>
            <w:hideMark/>
          </w:tcPr>
          <w:p w14:paraId="62621263"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noWrap/>
            <w:hideMark/>
          </w:tcPr>
          <w:p w14:paraId="676844D1"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noWrap/>
            <w:hideMark/>
          </w:tcPr>
          <w:p w14:paraId="2624F280"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noWrap/>
            <w:hideMark/>
          </w:tcPr>
          <w:p w14:paraId="7277D38A"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7</w:t>
            </w:r>
          </w:p>
        </w:tc>
      </w:tr>
      <w:tr w:rsidR="00F35B3F" w:rsidRPr="005114E7" w14:paraId="08D656B7" w14:textId="77777777" w:rsidTr="00F35B3F">
        <w:trPr>
          <w:cantSplit/>
        </w:trPr>
        <w:tc>
          <w:tcPr>
            <w:tcW w:w="800" w:type="pct"/>
            <w:shd w:val="clear" w:color="auto" w:fill="FAF9F8"/>
            <w:noWrap/>
            <w:vAlign w:val="bottom"/>
            <w:hideMark/>
          </w:tcPr>
          <w:p w14:paraId="3AC90D32" w14:textId="01D2E30D" w:rsidR="00F35B3F"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Австралиска Престолничка Територија</w:t>
            </w:r>
          </w:p>
        </w:tc>
        <w:tc>
          <w:tcPr>
            <w:tcW w:w="720" w:type="pct"/>
            <w:shd w:val="clear" w:color="auto" w:fill="FAF9F8"/>
            <w:noWrap/>
            <w:hideMark/>
          </w:tcPr>
          <w:p w14:paraId="4E0C0BE8"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9</w:t>
            </w:r>
          </w:p>
        </w:tc>
        <w:tc>
          <w:tcPr>
            <w:tcW w:w="681" w:type="pct"/>
            <w:shd w:val="clear" w:color="auto" w:fill="FAF9F8"/>
            <w:noWrap/>
            <w:hideMark/>
          </w:tcPr>
          <w:p w14:paraId="3F31ADD4"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shd w:val="clear" w:color="auto" w:fill="FAF9F8"/>
            <w:noWrap/>
            <w:hideMark/>
          </w:tcPr>
          <w:p w14:paraId="6FE68317"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FAF9F8"/>
            <w:noWrap/>
            <w:hideMark/>
          </w:tcPr>
          <w:p w14:paraId="79400AD4"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hideMark/>
          </w:tcPr>
          <w:p w14:paraId="28EC626D"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hideMark/>
          </w:tcPr>
          <w:p w14:paraId="0F88A95F"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14</w:t>
            </w:r>
          </w:p>
        </w:tc>
      </w:tr>
      <w:tr w:rsidR="00F35B3F" w:rsidRPr="005114E7" w14:paraId="374EAD0F" w14:textId="77777777" w:rsidTr="00F35B3F">
        <w:trPr>
          <w:cantSplit/>
        </w:trPr>
        <w:tc>
          <w:tcPr>
            <w:tcW w:w="800" w:type="pct"/>
            <w:noWrap/>
            <w:vAlign w:val="bottom"/>
            <w:hideMark/>
          </w:tcPr>
          <w:p w14:paraId="21C95C9C" w14:textId="174A7552" w:rsidR="00F35B3F"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Северна Територија</w:t>
            </w:r>
          </w:p>
        </w:tc>
        <w:tc>
          <w:tcPr>
            <w:tcW w:w="720" w:type="pct"/>
            <w:noWrap/>
            <w:hideMark/>
          </w:tcPr>
          <w:p w14:paraId="44F29401"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681" w:type="pct"/>
            <w:noWrap/>
            <w:hideMark/>
          </w:tcPr>
          <w:p w14:paraId="2924C135"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noWrap/>
            <w:hideMark/>
          </w:tcPr>
          <w:p w14:paraId="0214D5BD"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noWrap/>
            <w:hideMark/>
          </w:tcPr>
          <w:p w14:paraId="74587213"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noWrap/>
            <w:hideMark/>
          </w:tcPr>
          <w:p w14:paraId="001D2883"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noWrap/>
            <w:hideMark/>
          </w:tcPr>
          <w:p w14:paraId="79A7D977"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6</w:t>
            </w:r>
          </w:p>
        </w:tc>
      </w:tr>
      <w:tr w:rsidR="00F35B3F" w:rsidRPr="005114E7" w14:paraId="685DB864" w14:textId="77777777" w:rsidTr="00F35B3F">
        <w:trPr>
          <w:cantSplit/>
        </w:trPr>
        <w:tc>
          <w:tcPr>
            <w:tcW w:w="800" w:type="pct"/>
            <w:shd w:val="clear" w:color="auto" w:fill="E4E9F3"/>
            <w:noWrap/>
            <w:vAlign w:val="bottom"/>
            <w:hideMark/>
          </w:tcPr>
          <w:p w14:paraId="6051DFDB" w14:textId="35508B39" w:rsidR="00F35B3F" w:rsidRPr="005114E7" w:rsidRDefault="00F35B3F" w:rsidP="002A249B">
            <w:pPr>
              <w:spacing w:after="0" w:line="240" w:lineRule="auto"/>
              <w:rPr>
                <w:rFonts w:eastAsia="Times New Roman" w:cs="Arial"/>
                <w:b/>
                <w:sz w:val="20"/>
                <w:szCs w:val="20"/>
                <w:lang w:eastAsia="en-AU"/>
              </w:rPr>
            </w:pPr>
            <w:r w:rsidRPr="005114E7">
              <w:rPr>
                <w:rFonts w:eastAsia="Times New Roman" w:cs="Calibri"/>
                <w:b/>
                <w:bCs/>
                <w:color w:val="000000"/>
                <w:lang w:val="mk" w:eastAsia="en-AU"/>
              </w:rPr>
              <w:t>Вкупно на национално ниво</w:t>
            </w:r>
          </w:p>
        </w:tc>
        <w:tc>
          <w:tcPr>
            <w:tcW w:w="720" w:type="pct"/>
            <w:shd w:val="clear" w:color="auto" w:fill="E4E9F3"/>
            <w:noWrap/>
            <w:hideMark/>
          </w:tcPr>
          <w:p w14:paraId="4005B25E"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34</w:t>
            </w:r>
          </w:p>
        </w:tc>
        <w:tc>
          <w:tcPr>
            <w:tcW w:w="681" w:type="pct"/>
            <w:shd w:val="clear" w:color="auto" w:fill="E4E9F3"/>
            <w:noWrap/>
            <w:hideMark/>
          </w:tcPr>
          <w:p w14:paraId="3598A9E0"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52</w:t>
            </w:r>
          </w:p>
        </w:tc>
        <w:tc>
          <w:tcPr>
            <w:tcW w:w="700" w:type="pct"/>
            <w:shd w:val="clear" w:color="auto" w:fill="E4E9F3"/>
            <w:noWrap/>
            <w:hideMark/>
          </w:tcPr>
          <w:p w14:paraId="3CB9B52A"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25</w:t>
            </w:r>
          </w:p>
        </w:tc>
        <w:tc>
          <w:tcPr>
            <w:tcW w:w="700" w:type="pct"/>
            <w:shd w:val="clear" w:color="auto" w:fill="E4E9F3"/>
            <w:noWrap/>
            <w:hideMark/>
          </w:tcPr>
          <w:p w14:paraId="3B67EE57"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4</w:t>
            </w:r>
          </w:p>
        </w:tc>
        <w:tc>
          <w:tcPr>
            <w:tcW w:w="700" w:type="pct"/>
            <w:shd w:val="clear" w:color="auto" w:fill="E4E9F3"/>
            <w:noWrap/>
            <w:hideMark/>
          </w:tcPr>
          <w:p w14:paraId="1D2F5088"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2</w:t>
            </w:r>
          </w:p>
        </w:tc>
        <w:tc>
          <w:tcPr>
            <w:tcW w:w="700" w:type="pct"/>
            <w:shd w:val="clear" w:color="auto" w:fill="E4E9F3"/>
            <w:noWrap/>
            <w:hideMark/>
          </w:tcPr>
          <w:p w14:paraId="3B312B7A"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117</w:t>
            </w:r>
          </w:p>
        </w:tc>
      </w:tr>
    </w:tbl>
    <w:p w14:paraId="7DB54C4E" w14:textId="1C2508AC" w:rsidR="00C62233" w:rsidRPr="005114E7" w:rsidRDefault="00F84EB8" w:rsidP="009A28E1">
      <w:pPr>
        <w:spacing w:before="240" w:after="240" w:line="240" w:lineRule="auto"/>
      </w:pPr>
      <w:r w:rsidRPr="00D36EB6">
        <w:rPr>
          <w:rFonts w:cs="Arial"/>
          <w:lang w:val="mk-MK"/>
        </w:rPr>
        <w:lastRenderedPageBreak/>
        <w:t xml:space="preserve">Табела 10: Планот </w:t>
      </w:r>
      <w:r w:rsidRPr="00D36EB6">
        <w:rPr>
          <w:rFonts w:cs="Arial"/>
        </w:rPr>
        <w:t>TAP</w:t>
      </w:r>
      <w:r w:rsidRPr="00D36EB6">
        <w:rPr>
          <w:rFonts w:cs="Arial"/>
          <w:lang w:val="mk-MK"/>
        </w:rPr>
        <w:t xml:space="preserve"> за безбедност – напредување на акциите согласно поставените цели во </w:t>
      </w:r>
      <w:r w:rsidRPr="00D36EB6">
        <w:rPr>
          <w:rFonts w:cs="Arial"/>
        </w:rPr>
        <w:t>2022-2023</w:t>
      </w:r>
      <w:r w:rsidRPr="00D36EB6">
        <w:rPr>
          <w:rFonts w:cs="Arial"/>
          <w:lang w:val="mk-MK"/>
        </w:rPr>
        <w:t xml:space="preserve"> г.</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78"/>
        <w:gridCol w:w="1331"/>
        <w:gridCol w:w="1259"/>
        <w:gridCol w:w="1294"/>
        <w:gridCol w:w="1294"/>
        <w:gridCol w:w="1294"/>
        <w:gridCol w:w="1292"/>
      </w:tblGrid>
      <w:tr w:rsidR="00F35B3F" w:rsidRPr="005114E7" w14:paraId="1A442218" w14:textId="77777777" w:rsidTr="00F35B3F">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23DF091B" w:rsidR="00F35B3F" w:rsidRPr="005114E7" w:rsidRDefault="00F35B3F" w:rsidP="002A249B">
            <w:pPr>
              <w:spacing w:after="0" w:line="240" w:lineRule="auto"/>
              <w:rPr>
                <w:rFonts w:eastAsia="Times New Roman" w:cs="Arial"/>
                <w:b/>
                <w:bCs/>
                <w:color w:val="FFFFFF" w:themeColor="background1"/>
                <w:sz w:val="20"/>
                <w:szCs w:val="20"/>
                <w:lang w:eastAsia="en-AU"/>
              </w:rPr>
            </w:pPr>
            <w:bookmarkStart w:id="25" w:name="Title_10"/>
            <w:bookmarkEnd w:id="25"/>
            <w:r w:rsidRPr="005114E7">
              <w:rPr>
                <w:rFonts w:eastAsia="Times New Roman" w:cs="Calibri"/>
                <w:b/>
                <w:bCs/>
                <w:color w:val="FFFFFF" w:themeColor="background1"/>
                <w:lang w:val="mk" w:eastAsia="en-AU"/>
              </w:rPr>
              <w:t>Цел</w:t>
            </w:r>
          </w:p>
        </w:tc>
        <w:tc>
          <w:tcPr>
            <w:tcW w:w="72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7BB3E35D" w:rsidR="00F35B3F" w:rsidRPr="005114E7" w:rsidRDefault="00F35B3F" w:rsidP="00464AAF">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Завршено</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3DF978B7" w:rsidR="00F35B3F" w:rsidRPr="005114E7" w:rsidRDefault="00F35B3F" w:rsidP="002A249B">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Навреме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4F093ED1" w:rsidR="00F35B3F" w:rsidRPr="005114E7" w:rsidRDefault="00F35B3F" w:rsidP="002A249B">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Доцнење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2DC4852D" w:rsidR="00F35B3F" w:rsidRPr="005114E7" w:rsidRDefault="00F35B3F" w:rsidP="002A249B">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Паузира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1734AB29" w:rsidR="00F35B3F" w:rsidRPr="005114E7" w:rsidRDefault="00F35B3F" w:rsidP="002A249B">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Ќе започне во иднина</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6D2F6296" w:rsidR="00F35B3F" w:rsidRPr="005114E7" w:rsidRDefault="00F35B3F"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Вкупно</w:t>
            </w:r>
          </w:p>
        </w:tc>
      </w:tr>
      <w:tr w:rsidR="00BE3F25" w:rsidRPr="005114E7" w14:paraId="50224A4E" w14:textId="77777777" w:rsidTr="00F35B3F">
        <w:trPr>
          <w:cantSplit/>
        </w:trPr>
        <w:tc>
          <w:tcPr>
            <w:tcW w:w="800" w:type="pct"/>
            <w:tcBorders>
              <w:top w:val="single" w:sz="4" w:space="0" w:color="auto"/>
            </w:tcBorders>
            <w:shd w:val="clear" w:color="auto" w:fill="auto"/>
            <w:noWrap/>
            <w:vAlign w:val="bottom"/>
            <w:hideMark/>
          </w:tcPr>
          <w:p w14:paraId="42DCB5DB" w14:textId="1DA367B0" w:rsidR="002A249B"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w:t>
            </w:r>
            <w:r w:rsidR="002A249B" w:rsidRPr="005114E7">
              <w:rPr>
                <w:rFonts w:eastAsia="Times New Roman" w:cs="Arial"/>
                <w:sz w:val="20"/>
                <w:szCs w:val="20"/>
                <w:lang w:eastAsia="en-AU"/>
              </w:rPr>
              <w:t>1</w:t>
            </w:r>
          </w:p>
        </w:tc>
        <w:tc>
          <w:tcPr>
            <w:tcW w:w="720" w:type="pct"/>
            <w:tcBorders>
              <w:top w:val="single" w:sz="4" w:space="0" w:color="auto"/>
            </w:tcBorders>
            <w:shd w:val="clear" w:color="auto" w:fill="auto"/>
            <w:noWrap/>
            <w:vAlign w:val="bottom"/>
            <w:hideMark/>
          </w:tcPr>
          <w:p w14:paraId="283962CF"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5</w:t>
            </w:r>
          </w:p>
        </w:tc>
        <w:tc>
          <w:tcPr>
            <w:tcW w:w="681" w:type="pct"/>
            <w:tcBorders>
              <w:top w:val="single" w:sz="4" w:space="0" w:color="auto"/>
            </w:tcBorders>
            <w:shd w:val="clear" w:color="auto" w:fill="auto"/>
            <w:noWrap/>
            <w:vAlign w:val="bottom"/>
            <w:hideMark/>
          </w:tcPr>
          <w:p w14:paraId="3C906748"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2652C37D" w14:textId="77777777" w:rsidR="002A249B" w:rsidRPr="005114E7" w:rsidRDefault="002A249B"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17</w:t>
            </w:r>
          </w:p>
        </w:tc>
      </w:tr>
      <w:tr w:rsidR="00BE3F25" w:rsidRPr="005114E7" w14:paraId="24E43643" w14:textId="77777777" w:rsidTr="00F35B3F">
        <w:trPr>
          <w:cantSplit/>
        </w:trPr>
        <w:tc>
          <w:tcPr>
            <w:tcW w:w="800" w:type="pct"/>
            <w:shd w:val="clear" w:color="auto" w:fill="FAF9F8"/>
            <w:noWrap/>
            <w:vAlign w:val="bottom"/>
            <w:hideMark/>
          </w:tcPr>
          <w:p w14:paraId="4E897F82" w14:textId="06C516B1" w:rsidR="002A249B"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w:t>
            </w:r>
            <w:r w:rsidR="002A249B" w:rsidRPr="005114E7">
              <w:rPr>
                <w:rFonts w:eastAsia="Times New Roman" w:cs="Arial"/>
                <w:sz w:val="20"/>
                <w:szCs w:val="20"/>
                <w:lang w:eastAsia="en-AU"/>
              </w:rPr>
              <w:t>2</w:t>
            </w:r>
          </w:p>
        </w:tc>
        <w:tc>
          <w:tcPr>
            <w:tcW w:w="720" w:type="pct"/>
            <w:shd w:val="clear" w:color="auto" w:fill="FAF9F8"/>
            <w:noWrap/>
            <w:vAlign w:val="bottom"/>
            <w:hideMark/>
          </w:tcPr>
          <w:p w14:paraId="0BED6AA8"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10</w:t>
            </w:r>
          </w:p>
        </w:tc>
        <w:tc>
          <w:tcPr>
            <w:tcW w:w="681" w:type="pct"/>
            <w:shd w:val="clear" w:color="auto" w:fill="FAF9F8"/>
            <w:noWrap/>
            <w:vAlign w:val="bottom"/>
            <w:hideMark/>
          </w:tcPr>
          <w:p w14:paraId="2E216D00"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11</w:t>
            </w:r>
          </w:p>
        </w:tc>
        <w:tc>
          <w:tcPr>
            <w:tcW w:w="700" w:type="pct"/>
            <w:shd w:val="clear" w:color="auto" w:fill="FAF9F8"/>
            <w:noWrap/>
            <w:vAlign w:val="bottom"/>
            <w:hideMark/>
          </w:tcPr>
          <w:p w14:paraId="535F54CB"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700" w:type="pct"/>
            <w:shd w:val="clear" w:color="auto" w:fill="FAF9F8"/>
            <w:noWrap/>
            <w:vAlign w:val="bottom"/>
            <w:hideMark/>
          </w:tcPr>
          <w:p w14:paraId="0B44C7A4"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68AB9486"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shd w:val="clear" w:color="auto" w:fill="FAF9F8"/>
            <w:noWrap/>
            <w:vAlign w:val="bottom"/>
            <w:hideMark/>
          </w:tcPr>
          <w:p w14:paraId="196DD07E" w14:textId="77777777" w:rsidR="002A249B" w:rsidRPr="005114E7" w:rsidRDefault="002A249B"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25</w:t>
            </w:r>
          </w:p>
        </w:tc>
      </w:tr>
      <w:tr w:rsidR="00BE3F25" w:rsidRPr="005114E7" w14:paraId="752C962F" w14:textId="77777777" w:rsidTr="00F35B3F">
        <w:trPr>
          <w:cantSplit/>
        </w:trPr>
        <w:tc>
          <w:tcPr>
            <w:tcW w:w="800" w:type="pct"/>
            <w:shd w:val="clear" w:color="auto" w:fill="auto"/>
            <w:noWrap/>
            <w:vAlign w:val="bottom"/>
            <w:hideMark/>
          </w:tcPr>
          <w:p w14:paraId="62025C90" w14:textId="075DF926" w:rsidR="002A249B"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w:t>
            </w:r>
            <w:r w:rsidR="002A249B" w:rsidRPr="005114E7">
              <w:rPr>
                <w:rFonts w:eastAsia="Times New Roman" w:cs="Arial"/>
                <w:sz w:val="20"/>
                <w:szCs w:val="20"/>
                <w:lang w:eastAsia="en-AU"/>
              </w:rPr>
              <w:t>3</w:t>
            </w:r>
          </w:p>
        </w:tc>
        <w:tc>
          <w:tcPr>
            <w:tcW w:w="720" w:type="pct"/>
            <w:shd w:val="clear" w:color="auto" w:fill="auto"/>
            <w:noWrap/>
            <w:vAlign w:val="bottom"/>
            <w:hideMark/>
          </w:tcPr>
          <w:p w14:paraId="0FA5F14F"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12</w:t>
            </w:r>
          </w:p>
        </w:tc>
        <w:tc>
          <w:tcPr>
            <w:tcW w:w="681" w:type="pct"/>
            <w:shd w:val="clear" w:color="auto" w:fill="auto"/>
            <w:noWrap/>
            <w:vAlign w:val="bottom"/>
            <w:hideMark/>
          </w:tcPr>
          <w:p w14:paraId="6C2713E0"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23</w:t>
            </w:r>
          </w:p>
        </w:tc>
        <w:tc>
          <w:tcPr>
            <w:tcW w:w="700" w:type="pct"/>
            <w:shd w:val="clear" w:color="auto" w:fill="auto"/>
            <w:noWrap/>
            <w:vAlign w:val="bottom"/>
            <w:hideMark/>
          </w:tcPr>
          <w:p w14:paraId="323270B6"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11</w:t>
            </w:r>
          </w:p>
        </w:tc>
        <w:tc>
          <w:tcPr>
            <w:tcW w:w="700" w:type="pct"/>
            <w:shd w:val="clear" w:color="auto" w:fill="auto"/>
            <w:noWrap/>
            <w:vAlign w:val="bottom"/>
            <w:hideMark/>
          </w:tcPr>
          <w:p w14:paraId="541AC52A"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auto"/>
            <w:noWrap/>
            <w:vAlign w:val="bottom"/>
            <w:hideMark/>
          </w:tcPr>
          <w:p w14:paraId="220ACE4D"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99" w:type="pct"/>
            <w:shd w:val="clear" w:color="auto" w:fill="auto"/>
            <w:noWrap/>
            <w:vAlign w:val="bottom"/>
            <w:hideMark/>
          </w:tcPr>
          <w:p w14:paraId="139924FC" w14:textId="77777777" w:rsidR="002A249B" w:rsidRPr="005114E7" w:rsidRDefault="002A249B"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48</w:t>
            </w:r>
          </w:p>
        </w:tc>
      </w:tr>
      <w:tr w:rsidR="00BE3F25" w:rsidRPr="005114E7" w14:paraId="6C97C360" w14:textId="77777777" w:rsidTr="00F35B3F">
        <w:trPr>
          <w:cantSplit/>
        </w:trPr>
        <w:tc>
          <w:tcPr>
            <w:tcW w:w="800" w:type="pct"/>
            <w:shd w:val="clear" w:color="auto" w:fill="FAF9F8"/>
            <w:noWrap/>
            <w:vAlign w:val="bottom"/>
            <w:hideMark/>
          </w:tcPr>
          <w:p w14:paraId="4A8A8395" w14:textId="1D44E39D" w:rsidR="002A249B" w:rsidRPr="005114E7" w:rsidRDefault="00F35B3F"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w:t>
            </w:r>
            <w:r w:rsidR="002A249B" w:rsidRPr="005114E7">
              <w:rPr>
                <w:rFonts w:eastAsia="Times New Roman" w:cs="Arial"/>
                <w:sz w:val="20"/>
                <w:szCs w:val="20"/>
                <w:lang w:eastAsia="en-AU"/>
              </w:rPr>
              <w:t>4</w:t>
            </w:r>
          </w:p>
        </w:tc>
        <w:tc>
          <w:tcPr>
            <w:tcW w:w="720" w:type="pct"/>
            <w:shd w:val="clear" w:color="auto" w:fill="FAF9F8"/>
            <w:noWrap/>
            <w:vAlign w:val="bottom"/>
            <w:hideMark/>
          </w:tcPr>
          <w:p w14:paraId="3EE6C45E"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681" w:type="pct"/>
            <w:shd w:val="clear" w:color="auto" w:fill="FAF9F8"/>
            <w:noWrap/>
            <w:vAlign w:val="bottom"/>
            <w:hideMark/>
          </w:tcPr>
          <w:p w14:paraId="360830CD"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10</w:t>
            </w:r>
          </w:p>
        </w:tc>
        <w:tc>
          <w:tcPr>
            <w:tcW w:w="700" w:type="pct"/>
            <w:shd w:val="clear" w:color="auto" w:fill="FAF9F8"/>
            <w:noWrap/>
            <w:vAlign w:val="bottom"/>
            <w:hideMark/>
          </w:tcPr>
          <w:p w14:paraId="7344FC77"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5</w:t>
            </w:r>
          </w:p>
        </w:tc>
        <w:tc>
          <w:tcPr>
            <w:tcW w:w="700" w:type="pct"/>
            <w:shd w:val="clear" w:color="auto" w:fill="FAF9F8"/>
            <w:noWrap/>
            <w:vAlign w:val="bottom"/>
            <w:hideMark/>
          </w:tcPr>
          <w:p w14:paraId="389652D3"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FAF9F8"/>
            <w:noWrap/>
            <w:vAlign w:val="bottom"/>
            <w:hideMark/>
          </w:tcPr>
          <w:p w14:paraId="79F42A36" w14:textId="77777777" w:rsidR="002A249B" w:rsidRPr="005114E7" w:rsidRDefault="002A249B"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shd w:val="clear" w:color="auto" w:fill="FAF9F8"/>
            <w:noWrap/>
            <w:vAlign w:val="bottom"/>
            <w:hideMark/>
          </w:tcPr>
          <w:p w14:paraId="27045759" w14:textId="77777777" w:rsidR="002A249B" w:rsidRPr="005114E7" w:rsidRDefault="002A249B"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21</w:t>
            </w:r>
          </w:p>
        </w:tc>
      </w:tr>
      <w:tr w:rsidR="00F35B3F" w:rsidRPr="005114E7" w14:paraId="53A6D06E" w14:textId="77777777" w:rsidTr="00F35B3F">
        <w:trPr>
          <w:cantSplit/>
        </w:trPr>
        <w:tc>
          <w:tcPr>
            <w:tcW w:w="800" w:type="pct"/>
            <w:shd w:val="clear" w:color="auto" w:fill="auto"/>
            <w:noWrap/>
            <w:vAlign w:val="bottom"/>
            <w:hideMark/>
          </w:tcPr>
          <w:p w14:paraId="152F361C" w14:textId="7826808F" w:rsidR="00F35B3F" w:rsidRPr="005114E7" w:rsidRDefault="00F35B3F" w:rsidP="00F35B3F">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w:t>
            </w:r>
            <w:r>
              <w:rPr>
                <w:rFonts w:eastAsia="Times New Roman" w:cs="Arial"/>
                <w:color w:val="000000"/>
                <w:sz w:val="20"/>
                <w:szCs w:val="20"/>
                <w:lang w:eastAsia="en-AU"/>
              </w:rPr>
              <w:t>5</w:t>
            </w:r>
          </w:p>
        </w:tc>
        <w:tc>
          <w:tcPr>
            <w:tcW w:w="720" w:type="pct"/>
            <w:shd w:val="clear" w:color="auto" w:fill="auto"/>
            <w:noWrap/>
            <w:vAlign w:val="bottom"/>
            <w:hideMark/>
          </w:tcPr>
          <w:p w14:paraId="4F3B89F1"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681" w:type="pct"/>
            <w:shd w:val="clear" w:color="auto" w:fill="auto"/>
            <w:noWrap/>
            <w:vAlign w:val="bottom"/>
            <w:hideMark/>
          </w:tcPr>
          <w:p w14:paraId="3A27BE1D"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auto"/>
            <w:noWrap/>
            <w:vAlign w:val="bottom"/>
            <w:hideMark/>
          </w:tcPr>
          <w:p w14:paraId="21B53707"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auto"/>
            <w:noWrap/>
            <w:vAlign w:val="bottom"/>
            <w:hideMark/>
          </w:tcPr>
          <w:p w14:paraId="400CCEE0"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auto"/>
            <w:noWrap/>
            <w:vAlign w:val="bottom"/>
            <w:hideMark/>
          </w:tcPr>
          <w:p w14:paraId="46693E38" w14:textId="77777777" w:rsidR="00F35B3F" w:rsidRPr="005114E7" w:rsidRDefault="00F35B3F"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shd w:val="clear" w:color="auto" w:fill="auto"/>
            <w:noWrap/>
            <w:vAlign w:val="bottom"/>
            <w:hideMark/>
          </w:tcPr>
          <w:p w14:paraId="4E84B1D3" w14:textId="77777777" w:rsidR="00F35B3F" w:rsidRPr="005114E7" w:rsidRDefault="00F35B3F"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6</w:t>
            </w:r>
          </w:p>
        </w:tc>
      </w:tr>
      <w:tr w:rsidR="00F35B3F" w:rsidRPr="005114E7" w14:paraId="10585727" w14:textId="77777777" w:rsidTr="00F35B3F">
        <w:trPr>
          <w:cantSplit/>
        </w:trPr>
        <w:tc>
          <w:tcPr>
            <w:tcW w:w="800" w:type="pct"/>
            <w:shd w:val="clear" w:color="auto" w:fill="E4E9F3"/>
            <w:noWrap/>
            <w:vAlign w:val="bottom"/>
            <w:hideMark/>
          </w:tcPr>
          <w:p w14:paraId="4196F190" w14:textId="5517D37D" w:rsidR="00F35B3F" w:rsidRPr="005114E7" w:rsidRDefault="00F35B3F" w:rsidP="002A249B">
            <w:pPr>
              <w:spacing w:after="0" w:line="240" w:lineRule="auto"/>
              <w:rPr>
                <w:rFonts w:eastAsia="Times New Roman" w:cs="Arial"/>
                <w:b/>
                <w:sz w:val="20"/>
                <w:szCs w:val="20"/>
                <w:lang w:eastAsia="en-AU"/>
              </w:rPr>
            </w:pPr>
            <w:r w:rsidRPr="005114E7">
              <w:rPr>
                <w:rFonts w:eastAsia="Times New Roman" w:cs="Calibri"/>
                <w:b/>
                <w:bCs/>
                <w:color w:val="000000"/>
                <w:lang w:val="mk" w:eastAsia="en-AU"/>
              </w:rPr>
              <w:t>Севкупно</w:t>
            </w:r>
          </w:p>
        </w:tc>
        <w:tc>
          <w:tcPr>
            <w:tcW w:w="720" w:type="pct"/>
            <w:shd w:val="clear" w:color="auto" w:fill="E4E9F3"/>
            <w:noWrap/>
            <w:vAlign w:val="bottom"/>
            <w:hideMark/>
          </w:tcPr>
          <w:p w14:paraId="56BE06D7"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34</w:t>
            </w:r>
          </w:p>
        </w:tc>
        <w:tc>
          <w:tcPr>
            <w:tcW w:w="681" w:type="pct"/>
            <w:shd w:val="clear" w:color="auto" w:fill="E4E9F3"/>
            <w:noWrap/>
            <w:vAlign w:val="bottom"/>
            <w:hideMark/>
          </w:tcPr>
          <w:p w14:paraId="531944AA"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2</w:t>
            </w:r>
          </w:p>
        </w:tc>
        <w:tc>
          <w:tcPr>
            <w:tcW w:w="699" w:type="pct"/>
            <w:shd w:val="clear" w:color="auto" w:fill="E4E9F3"/>
            <w:noWrap/>
            <w:vAlign w:val="bottom"/>
            <w:hideMark/>
          </w:tcPr>
          <w:p w14:paraId="6980E183" w14:textId="77777777" w:rsidR="00F35B3F" w:rsidRPr="005114E7" w:rsidRDefault="00F35B3F"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117</w:t>
            </w:r>
          </w:p>
        </w:tc>
      </w:tr>
    </w:tbl>
    <w:p w14:paraId="6EE09519" w14:textId="77777777" w:rsidR="00C62233" w:rsidRPr="005114E7" w:rsidRDefault="00C62233">
      <w:r w:rsidRPr="005114E7">
        <w:br w:type="page"/>
      </w:r>
    </w:p>
    <w:p w14:paraId="29DF166D" w14:textId="1758B2F2" w:rsidR="00C62233" w:rsidRPr="005114E7" w:rsidRDefault="009655C2" w:rsidP="00DA227A">
      <w:pPr>
        <w:pStyle w:val="Heading1"/>
      </w:pPr>
      <w:bookmarkStart w:id="26" w:name="_Toc153454142"/>
      <w:proofErr w:type="spellStart"/>
      <w:r w:rsidRPr="009655C2">
        <w:lastRenderedPageBreak/>
        <w:t>План</w:t>
      </w:r>
      <w:proofErr w:type="spellEnd"/>
      <w:r w:rsidRPr="009655C2">
        <w:t xml:space="preserve"> </w:t>
      </w:r>
      <w:proofErr w:type="spellStart"/>
      <w:r w:rsidRPr="009655C2">
        <w:t>за</w:t>
      </w:r>
      <w:proofErr w:type="spellEnd"/>
      <w:r w:rsidRPr="009655C2">
        <w:t xml:space="preserve"> </w:t>
      </w:r>
      <w:proofErr w:type="spellStart"/>
      <w:r w:rsidRPr="009655C2">
        <w:t>насочена</w:t>
      </w:r>
      <w:proofErr w:type="spellEnd"/>
      <w:r w:rsidRPr="009655C2">
        <w:t xml:space="preserve"> </w:t>
      </w:r>
      <w:proofErr w:type="spellStart"/>
      <w:r w:rsidRPr="009655C2">
        <w:t>акција</w:t>
      </w:r>
      <w:proofErr w:type="spellEnd"/>
      <w:r w:rsidRPr="009655C2">
        <w:t xml:space="preserve"> </w:t>
      </w:r>
      <w:proofErr w:type="spellStart"/>
      <w:r w:rsidRPr="009655C2">
        <w:t>за</w:t>
      </w:r>
      <w:proofErr w:type="spellEnd"/>
      <w:r w:rsidRPr="009655C2">
        <w:t xml:space="preserve"> </w:t>
      </w:r>
      <w:proofErr w:type="spellStart"/>
      <w:r w:rsidRPr="009655C2">
        <w:t>постапување</w:t>
      </w:r>
      <w:proofErr w:type="spellEnd"/>
      <w:r w:rsidRPr="009655C2">
        <w:t xml:space="preserve"> </w:t>
      </w:r>
      <w:proofErr w:type="spellStart"/>
      <w:r w:rsidRPr="009655C2">
        <w:t>во</w:t>
      </w:r>
      <w:proofErr w:type="spellEnd"/>
      <w:r w:rsidRPr="009655C2">
        <w:t xml:space="preserve"> </w:t>
      </w:r>
      <w:proofErr w:type="spellStart"/>
      <w:r w:rsidRPr="009655C2">
        <w:t>итни</w:t>
      </w:r>
      <w:proofErr w:type="spellEnd"/>
      <w:r w:rsidRPr="009655C2">
        <w:t xml:space="preserve"> </w:t>
      </w:r>
      <w:proofErr w:type="spellStart"/>
      <w:r w:rsidRPr="009655C2">
        <w:t>случаи</w:t>
      </w:r>
      <w:bookmarkEnd w:id="26"/>
      <w:proofErr w:type="spellEnd"/>
    </w:p>
    <w:p w14:paraId="41C85088" w14:textId="4D66B337" w:rsidR="00C62233" w:rsidRPr="009655C2" w:rsidRDefault="009655C2" w:rsidP="00515A1C">
      <w:pPr>
        <w:pStyle w:val="Heading2"/>
        <w:pBdr>
          <w:top w:val="none" w:sz="0" w:space="0" w:color="auto"/>
        </w:pBdr>
      </w:pPr>
      <w:bookmarkStart w:id="27" w:name="_Toc153454143"/>
      <w:r w:rsidRPr="009655C2">
        <w:rPr>
          <w:rFonts w:cs="Arial"/>
          <w:lang w:val="mk-MK"/>
        </w:rPr>
        <w:t>Вовед</w:t>
      </w:r>
      <w:bookmarkEnd w:id="27"/>
    </w:p>
    <w:p w14:paraId="78772398" w14:textId="77777777" w:rsidR="009655C2" w:rsidRPr="00D36EB6" w:rsidRDefault="009655C2" w:rsidP="009655C2">
      <w:pPr>
        <w:spacing w:before="240" w:after="240" w:line="240" w:lineRule="auto"/>
        <w:rPr>
          <w:rFonts w:cs="Arial"/>
        </w:rPr>
      </w:pPr>
      <w:r w:rsidRPr="00D36EB6">
        <w:rPr>
          <w:rFonts w:cs="Arial"/>
          <w:lang w:val="mk-MK"/>
        </w:rPr>
        <w:t xml:space="preserve">Планот </w:t>
      </w:r>
      <w:r w:rsidRPr="00D36EB6">
        <w:rPr>
          <w:rFonts w:cs="Arial"/>
        </w:rPr>
        <w:t>TAP</w:t>
      </w:r>
      <w:r w:rsidRPr="00D36EB6">
        <w:rPr>
          <w:rFonts w:cs="Arial"/>
          <w:lang w:val="mk-MK"/>
        </w:rPr>
        <w:t xml:space="preserve"> за постапување во итни случаи (</w:t>
      </w:r>
      <w:r w:rsidRPr="00D36EB6">
        <w:rPr>
          <w:rFonts w:cs="Arial"/>
        </w:rPr>
        <w:t>Emergency Management TAP</w:t>
      </w:r>
      <w:r w:rsidRPr="00D36EB6">
        <w:rPr>
          <w:rFonts w:cs="Arial"/>
          <w:lang w:val="mk-MK"/>
        </w:rPr>
        <w:t>) има цел да поттикне напредок во однос на областа од Стратегијата</w:t>
      </w:r>
      <w:r w:rsidRPr="00D36EB6">
        <w:rPr>
          <w:rFonts w:cs="Arial"/>
        </w:rPr>
        <w:t xml:space="preserve"> ADS</w:t>
      </w:r>
      <w:r w:rsidRPr="00D36EB6">
        <w:rPr>
          <w:rFonts w:cs="Arial"/>
          <w:lang w:val="mk-MK"/>
        </w:rPr>
        <w:t xml:space="preserve"> во којашто треба да се постигнат резултати во поглед на здравјето и добросостојбата (</w:t>
      </w:r>
      <w:r w:rsidRPr="00D36EB6">
        <w:rPr>
          <w:rFonts w:cs="Arial"/>
        </w:rPr>
        <w:t>Health and Wellbeing Outcome Area</w:t>
      </w:r>
      <w:r w:rsidRPr="00D36EB6">
        <w:rPr>
          <w:rFonts w:cs="Arial"/>
          <w:lang w:val="mk-MK"/>
        </w:rPr>
        <w:t>)</w:t>
      </w:r>
      <w:r w:rsidRPr="00D36EB6">
        <w:rPr>
          <w:rFonts w:cs="Arial"/>
        </w:rPr>
        <w:t xml:space="preserve">. </w:t>
      </w:r>
    </w:p>
    <w:p w14:paraId="0D9D72BC" w14:textId="77777777" w:rsidR="009655C2" w:rsidRPr="00D36EB6" w:rsidRDefault="009655C2" w:rsidP="009655C2">
      <w:pPr>
        <w:spacing w:before="240" w:after="240" w:line="240" w:lineRule="auto"/>
        <w:rPr>
          <w:rFonts w:cs="Arial"/>
        </w:rPr>
      </w:pPr>
      <w:r w:rsidRPr="00D36EB6">
        <w:rPr>
          <w:rFonts w:cs="Arial"/>
          <w:lang w:val="mk-MK"/>
        </w:rPr>
        <w:t>Оваа област во којашто треба да се постигнат резултати се стреми да осигури дека луѓето со онеспособеност ќе постигнуваат најдобри можни резултати во поглед на здравјето и добросостојбата во текот на целиот свој живот.</w:t>
      </w:r>
    </w:p>
    <w:p w14:paraId="6C475B27" w14:textId="77777777" w:rsidR="009655C2" w:rsidRPr="00D36EB6" w:rsidRDefault="009655C2" w:rsidP="009655C2">
      <w:pPr>
        <w:spacing w:before="240" w:after="240" w:line="240" w:lineRule="auto"/>
        <w:rPr>
          <w:rFonts w:cs="Arial"/>
        </w:rPr>
      </w:pPr>
      <w:r w:rsidRPr="00D36EB6">
        <w:rPr>
          <w:rFonts w:cs="Arial"/>
          <w:lang w:val="mk-MK"/>
        </w:rPr>
        <w:t xml:space="preserve">Планот </w:t>
      </w:r>
      <w:r w:rsidRPr="00D36EB6">
        <w:rPr>
          <w:rFonts w:cs="Arial"/>
        </w:rPr>
        <w:t>TAP</w:t>
      </w:r>
      <w:r w:rsidRPr="00D36EB6">
        <w:rPr>
          <w:rFonts w:cs="Arial"/>
          <w:lang w:val="mk-MK"/>
        </w:rPr>
        <w:t xml:space="preserve"> за постапување во итни случаи опфаќа 47 акции од страна на австралиската влада и владите на државите и териториите за коишто се поднесува извештај за периодот </w:t>
      </w:r>
      <w:r w:rsidRPr="00D36EB6">
        <w:rPr>
          <w:rFonts w:cs="Arial"/>
        </w:rPr>
        <w:t>2022-2023</w:t>
      </w:r>
      <w:r w:rsidRPr="00D36EB6">
        <w:rPr>
          <w:rFonts w:cs="Arial"/>
          <w:lang w:val="mk-MK"/>
        </w:rPr>
        <w:t xml:space="preserve"> г.</w:t>
      </w:r>
    </w:p>
    <w:p w14:paraId="6D33D4C9" w14:textId="0880E49A" w:rsidR="009655C2" w:rsidRPr="005114E7" w:rsidRDefault="009655C2" w:rsidP="009655C2">
      <w:pPr>
        <w:spacing w:before="240" w:after="240" w:line="240" w:lineRule="auto"/>
      </w:pPr>
      <w:r w:rsidRPr="00D36EB6">
        <w:rPr>
          <w:rFonts w:cs="Arial"/>
          <w:lang w:val="mk-MK"/>
        </w:rPr>
        <w:t>Тука спаѓаат акции што активно бараат повратни мислења од луѓето со онеспособеност и од секторот за онеспособеност, вршат ревизии и ги подобруваат плановите за постапување во итни случаи и подготвеноста за подобро вклучување на луѓето со онеспособеност, и ги подобруваат начините на комуницирање при итни случаи.</w:t>
      </w:r>
    </w:p>
    <w:p w14:paraId="0B4539E0" w14:textId="2CF66428" w:rsidR="00C62233" w:rsidRPr="009655C2" w:rsidRDefault="009655C2" w:rsidP="009B5AB0">
      <w:pPr>
        <w:pStyle w:val="Heading2"/>
      </w:pPr>
      <w:bookmarkStart w:id="28" w:name="_Toc153454144"/>
      <w:r w:rsidRPr="009655C2">
        <w:rPr>
          <w:rFonts w:cs="Arial"/>
          <w:lang w:val="mk-MK"/>
        </w:rPr>
        <w:t>Цели</w:t>
      </w:r>
      <w:bookmarkEnd w:id="28"/>
    </w:p>
    <w:p w14:paraId="7F4F3A16" w14:textId="77777777" w:rsidR="009655C2" w:rsidRPr="009655C2" w:rsidRDefault="009655C2" w:rsidP="009655C2">
      <w:pPr>
        <w:pStyle w:val="ListParagraph"/>
        <w:numPr>
          <w:ilvl w:val="0"/>
          <w:numId w:val="27"/>
        </w:numPr>
        <w:spacing w:after="0"/>
        <w:rPr>
          <w:rFonts w:cs="Arial"/>
        </w:rPr>
      </w:pPr>
      <w:r w:rsidRPr="009655C2">
        <w:rPr>
          <w:rFonts w:cs="Arial"/>
          <w:lang w:val="mk-MK"/>
        </w:rPr>
        <w:t>Да се осигури дека постапките за планирање при несреќи/итни случаи заради оценување на опасноста од несреќи и плановите за постапување при несреќи/итни случаи ги вклучуваат луѓето со онеспособеност.</w:t>
      </w:r>
    </w:p>
    <w:p w14:paraId="2B4AF08B" w14:textId="425E1987" w:rsidR="009655C2" w:rsidRPr="009655C2" w:rsidRDefault="009655C2" w:rsidP="009655C2">
      <w:pPr>
        <w:pStyle w:val="ListParagraph"/>
        <w:numPr>
          <w:ilvl w:val="0"/>
          <w:numId w:val="27"/>
        </w:numPr>
        <w:spacing w:after="0"/>
        <w:rPr>
          <w:rFonts w:cs="Arial"/>
        </w:rPr>
      </w:pPr>
      <w:r w:rsidRPr="009655C2">
        <w:rPr>
          <w:rFonts w:cs="Arial"/>
          <w:lang w:val="mk-MK"/>
        </w:rPr>
        <w:t xml:space="preserve">Да се осигури дека инклузивните постапки за постапување, подготвување и опоравување при несреќи/итни случаи ги поддржуваат здравјето и </w:t>
      </w:r>
      <w:r w:rsidRPr="009655C2">
        <w:rPr>
          <w:rFonts w:cs="Arial"/>
          <w:lang w:val="mk-MK"/>
        </w:rPr>
        <w:lastRenderedPageBreak/>
        <w:t>добросостојбата на луѓето со онеспособеност пред, во текот на, и по итните случаи.</w:t>
      </w:r>
    </w:p>
    <w:p w14:paraId="0D242A81" w14:textId="77777777" w:rsidR="00C62233" w:rsidRPr="005114E7" w:rsidRDefault="00C62233">
      <w:r w:rsidRPr="005114E7">
        <w:br w:type="page"/>
      </w:r>
    </w:p>
    <w:p w14:paraId="3F7F5B46" w14:textId="1BF598F0" w:rsidR="00C62233" w:rsidRPr="005114E7" w:rsidRDefault="00B055C8" w:rsidP="0066071F">
      <w:pPr>
        <w:rPr>
          <w:b/>
          <w:bCs/>
          <w:color w:val="6C1740"/>
          <w:sz w:val="94"/>
          <w:szCs w:val="94"/>
        </w:rPr>
      </w:pPr>
      <w:proofErr w:type="spellStart"/>
      <w:r w:rsidRPr="00B055C8">
        <w:rPr>
          <w:b/>
          <w:bCs/>
          <w:color w:val="6C1740"/>
          <w:sz w:val="94"/>
          <w:szCs w:val="94"/>
        </w:rPr>
        <w:lastRenderedPageBreak/>
        <w:t>План</w:t>
      </w:r>
      <w:proofErr w:type="spellEnd"/>
      <w:r w:rsidRPr="00B055C8">
        <w:rPr>
          <w:b/>
          <w:bCs/>
          <w:color w:val="6C1740"/>
          <w:sz w:val="94"/>
          <w:szCs w:val="94"/>
        </w:rPr>
        <w:t xml:space="preserve"> </w:t>
      </w:r>
      <w:proofErr w:type="spellStart"/>
      <w:r w:rsidRPr="00B055C8">
        <w:rPr>
          <w:b/>
          <w:bCs/>
          <w:color w:val="6C1740"/>
          <w:sz w:val="94"/>
          <w:szCs w:val="94"/>
        </w:rPr>
        <w:t>за</w:t>
      </w:r>
      <w:proofErr w:type="spellEnd"/>
      <w:r w:rsidRPr="00B055C8">
        <w:rPr>
          <w:b/>
          <w:bCs/>
          <w:color w:val="6C1740"/>
          <w:sz w:val="94"/>
          <w:szCs w:val="94"/>
        </w:rPr>
        <w:t xml:space="preserve"> </w:t>
      </w:r>
      <w:proofErr w:type="spellStart"/>
      <w:r w:rsidRPr="00B055C8">
        <w:rPr>
          <w:b/>
          <w:bCs/>
          <w:color w:val="6C1740"/>
          <w:sz w:val="94"/>
          <w:szCs w:val="94"/>
        </w:rPr>
        <w:t>насочена</w:t>
      </w:r>
      <w:proofErr w:type="spellEnd"/>
      <w:r w:rsidRPr="00B055C8">
        <w:rPr>
          <w:b/>
          <w:bCs/>
          <w:color w:val="6C1740"/>
          <w:sz w:val="94"/>
          <w:szCs w:val="94"/>
        </w:rPr>
        <w:t xml:space="preserve"> </w:t>
      </w:r>
      <w:proofErr w:type="spellStart"/>
      <w:r w:rsidRPr="00B055C8">
        <w:rPr>
          <w:b/>
          <w:bCs/>
          <w:color w:val="6C1740"/>
          <w:sz w:val="94"/>
          <w:szCs w:val="94"/>
        </w:rPr>
        <w:t>акција</w:t>
      </w:r>
      <w:proofErr w:type="spellEnd"/>
      <w:r w:rsidRPr="00B055C8">
        <w:rPr>
          <w:b/>
          <w:bCs/>
          <w:color w:val="6C1740"/>
          <w:sz w:val="94"/>
          <w:szCs w:val="94"/>
        </w:rPr>
        <w:t xml:space="preserve"> </w:t>
      </w:r>
      <w:proofErr w:type="spellStart"/>
      <w:r w:rsidRPr="00B055C8">
        <w:rPr>
          <w:b/>
          <w:bCs/>
          <w:color w:val="6C1740"/>
          <w:sz w:val="94"/>
          <w:szCs w:val="94"/>
        </w:rPr>
        <w:t>за</w:t>
      </w:r>
      <w:proofErr w:type="spellEnd"/>
      <w:r w:rsidRPr="00B055C8">
        <w:rPr>
          <w:b/>
          <w:bCs/>
          <w:color w:val="6C1740"/>
          <w:sz w:val="94"/>
          <w:szCs w:val="94"/>
        </w:rPr>
        <w:t xml:space="preserve"> </w:t>
      </w:r>
      <w:proofErr w:type="spellStart"/>
      <w:r w:rsidRPr="00B055C8">
        <w:rPr>
          <w:b/>
          <w:bCs/>
          <w:color w:val="6C1740"/>
          <w:sz w:val="94"/>
          <w:szCs w:val="94"/>
        </w:rPr>
        <w:t>постапување</w:t>
      </w:r>
      <w:proofErr w:type="spellEnd"/>
      <w:r w:rsidRPr="00B055C8">
        <w:rPr>
          <w:b/>
          <w:bCs/>
          <w:color w:val="6C1740"/>
          <w:sz w:val="94"/>
          <w:szCs w:val="94"/>
        </w:rPr>
        <w:t xml:space="preserve"> </w:t>
      </w:r>
      <w:proofErr w:type="spellStart"/>
      <w:r w:rsidRPr="00B055C8">
        <w:rPr>
          <w:b/>
          <w:bCs/>
          <w:color w:val="6C1740"/>
          <w:sz w:val="94"/>
          <w:szCs w:val="94"/>
        </w:rPr>
        <w:t>во</w:t>
      </w:r>
      <w:proofErr w:type="spellEnd"/>
      <w:r w:rsidRPr="00B055C8">
        <w:rPr>
          <w:b/>
          <w:bCs/>
          <w:color w:val="6C1740"/>
          <w:sz w:val="94"/>
          <w:szCs w:val="94"/>
        </w:rPr>
        <w:t xml:space="preserve"> </w:t>
      </w:r>
      <w:proofErr w:type="spellStart"/>
      <w:r w:rsidRPr="00B055C8">
        <w:rPr>
          <w:b/>
          <w:bCs/>
          <w:color w:val="6C1740"/>
          <w:sz w:val="94"/>
          <w:szCs w:val="94"/>
        </w:rPr>
        <w:t>итни</w:t>
      </w:r>
      <w:proofErr w:type="spellEnd"/>
      <w:r w:rsidRPr="00B055C8">
        <w:rPr>
          <w:b/>
          <w:bCs/>
          <w:color w:val="6C1740"/>
          <w:sz w:val="94"/>
          <w:szCs w:val="94"/>
        </w:rPr>
        <w:t xml:space="preserve"> </w:t>
      </w:r>
      <w:proofErr w:type="spellStart"/>
      <w:r w:rsidRPr="00B055C8">
        <w:rPr>
          <w:b/>
          <w:bCs/>
          <w:color w:val="6C1740"/>
          <w:sz w:val="94"/>
          <w:szCs w:val="94"/>
        </w:rPr>
        <w:t>случаи</w:t>
      </w:r>
      <w:proofErr w:type="spellEnd"/>
    </w:p>
    <w:p w14:paraId="2EBAA179" w14:textId="0B626E70" w:rsidR="00B12B54" w:rsidRPr="005114E7" w:rsidRDefault="00B055C8" w:rsidP="009B5AB0">
      <w:pPr>
        <w:spacing w:before="240" w:after="240" w:line="240" w:lineRule="auto"/>
      </w:pPr>
      <w:r w:rsidRPr="00D36EB6">
        <w:rPr>
          <w:rFonts w:cs="Arial"/>
          <w:lang w:val="mk-MK"/>
        </w:rPr>
        <w:t xml:space="preserve">Табела 11: Планот </w:t>
      </w:r>
      <w:r w:rsidRPr="00D36EB6">
        <w:rPr>
          <w:rFonts w:cs="Arial"/>
        </w:rPr>
        <w:t>TAP</w:t>
      </w:r>
      <w:r w:rsidRPr="00D36EB6">
        <w:rPr>
          <w:rFonts w:cs="Arial"/>
          <w:lang w:val="mk-MK"/>
        </w:rPr>
        <w:t xml:space="preserve"> за постапување во итни случаи – напредување на акциите преземени од владата во </w:t>
      </w:r>
      <w:r w:rsidRPr="00D36EB6">
        <w:rPr>
          <w:rFonts w:cs="Arial"/>
        </w:rPr>
        <w:t>2022-2023</w:t>
      </w:r>
      <w:r w:rsidRPr="00D36EB6">
        <w:rPr>
          <w:rFonts w:cs="Arial"/>
          <w:lang w:val="mk-MK"/>
        </w:rPr>
        <w:t xml:space="preserve"> г.</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78"/>
        <w:gridCol w:w="1331"/>
        <w:gridCol w:w="1259"/>
        <w:gridCol w:w="1294"/>
        <w:gridCol w:w="1294"/>
        <w:gridCol w:w="1294"/>
        <w:gridCol w:w="1292"/>
      </w:tblGrid>
      <w:tr w:rsidR="00B055C8" w:rsidRPr="005114E7" w14:paraId="1C137626" w14:textId="77777777" w:rsidTr="00B055C8">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58214E48" w:rsidR="00B055C8" w:rsidRPr="005114E7" w:rsidRDefault="00B055C8"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Влада</w:t>
            </w:r>
          </w:p>
        </w:tc>
        <w:tc>
          <w:tcPr>
            <w:tcW w:w="72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71E52437" w:rsidR="00B055C8" w:rsidRPr="005114E7" w:rsidRDefault="00B055C8" w:rsidP="00464AAF">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Завршено</w:t>
            </w:r>
          </w:p>
        </w:tc>
        <w:tc>
          <w:tcPr>
            <w:tcW w:w="68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0E571CFF" w:rsidR="00B055C8" w:rsidRPr="005114E7" w:rsidRDefault="00B055C8"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Навреме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0168A7B2" w:rsidR="00B055C8" w:rsidRPr="005114E7" w:rsidRDefault="00B055C8"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Доцнење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458C92FB" w:rsidR="00B055C8" w:rsidRPr="005114E7" w:rsidRDefault="00B055C8"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Паузира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48B601AA" w:rsidR="00B055C8" w:rsidRPr="005114E7" w:rsidRDefault="00B055C8"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Ќе започне во иднина</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5CE8F08C" w:rsidR="00B055C8" w:rsidRPr="005114E7" w:rsidRDefault="00B055C8" w:rsidP="002A249B">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Вкупно</w:t>
            </w:r>
          </w:p>
        </w:tc>
      </w:tr>
      <w:tr w:rsidR="00B055C8" w:rsidRPr="005114E7" w14:paraId="0DCF74B0" w14:textId="77777777" w:rsidTr="00B055C8">
        <w:tc>
          <w:tcPr>
            <w:tcW w:w="800" w:type="pct"/>
            <w:tcBorders>
              <w:top w:val="single" w:sz="4" w:space="0" w:color="auto"/>
            </w:tcBorders>
            <w:shd w:val="clear" w:color="auto" w:fill="auto"/>
            <w:noWrap/>
            <w:vAlign w:val="bottom"/>
            <w:hideMark/>
          </w:tcPr>
          <w:p w14:paraId="31A858C9" w14:textId="4DFD7DD6" w:rsidR="00B055C8" w:rsidRPr="005114E7" w:rsidRDefault="00B055C8"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Австралиска влада</w:t>
            </w:r>
          </w:p>
        </w:tc>
        <w:tc>
          <w:tcPr>
            <w:tcW w:w="720" w:type="pct"/>
            <w:tcBorders>
              <w:top w:val="single" w:sz="4" w:space="0" w:color="auto"/>
            </w:tcBorders>
            <w:shd w:val="clear" w:color="auto" w:fill="auto"/>
            <w:noWrap/>
            <w:vAlign w:val="bottom"/>
            <w:hideMark/>
          </w:tcPr>
          <w:p w14:paraId="2262EDB7"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81" w:type="pct"/>
            <w:tcBorders>
              <w:top w:val="single" w:sz="4" w:space="0" w:color="auto"/>
            </w:tcBorders>
            <w:shd w:val="clear" w:color="auto" w:fill="auto"/>
            <w:noWrap/>
            <w:vAlign w:val="bottom"/>
            <w:hideMark/>
          </w:tcPr>
          <w:p w14:paraId="48463F06"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B055C8" w:rsidRPr="005114E7" w:rsidRDefault="00B055C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12</w:t>
            </w:r>
          </w:p>
        </w:tc>
      </w:tr>
      <w:tr w:rsidR="00B055C8" w:rsidRPr="005114E7" w14:paraId="0C3BA2D8" w14:textId="77777777" w:rsidTr="00B055C8">
        <w:tc>
          <w:tcPr>
            <w:tcW w:w="800" w:type="pct"/>
            <w:shd w:val="clear" w:color="auto" w:fill="FAF9F8"/>
            <w:noWrap/>
            <w:vAlign w:val="bottom"/>
            <w:hideMark/>
          </w:tcPr>
          <w:p w14:paraId="6ABC2B46" w14:textId="4C9D87A9" w:rsidR="00B055C8" w:rsidRPr="005114E7" w:rsidRDefault="00B055C8"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Нов Јужен Велс</w:t>
            </w:r>
          </w:p>
        </w:tc>
        <w:tc>
          <w:tcPr>
            <w:tcW w:w="720" w:type="pct"/>
            <w:shd w:val="clear" w:color="auto" w:fill="FAF9F8"/>
            <w:noWrap/>
            <w:vAlign w:val="bottom"/>
            <w:hideMark/>
          </w:tcPr>
          <w:p w14:paraId="4FD50421"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shd w:val="clear" w:color="auto" w:fill="FAF9F8"/>
            <w:noWrap/>
            <w:vAlign w:val="bottom"/>
            <w:hideMark/>
          </w:tcPr>
          <w:p w14:paraId="3A0C4ED0"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FAF9F8"/>
            <w:noWrap/>
            <w:vAlign w:val="bottom"/>
            <w:hideMark/>
          </w:tcPr>
          <w:p w14:paraId="05385FD4"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shd w:val="clear" w:color="auto" w:fill="FAF9F8"/>
            <w:noWrap/>
            <w:vAlign w:val="bottom"/>
            <w:hideMark/>
          </w:tcPr>
          <w:p w14:paraId="5EC0E875"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29A2C34C"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642AF893" w14:textId="77777777" w:rsidR="00B055C8" w:rsidRPr="005114E7" w:rsidRDefault="00B055C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4</w:t>
            </w:r>
          </w:p>
        </w:tc>
      </w:tr>
      <w:tr w:rsidR="00B055C8" w:rsidRPr="005114E7" w14:paraId="013760D8" w14:textId="77777777" w:rsidTr="00B055C8">
        <w:tc>
          <w:tcPr>
            <w:tcW w:w="800" w:type="pct"/>
            <w:shd w:val="clear" w:color="auto" w:fill="auto"/>
            <w:noWrap/>
            <w:vAlign w:val="bottom"/>
            <w:hideMark/>
          </w:tcPr>
          <w:p w14:paraId="66E2EE6A" w14:textId="4DDA000A" w:rsidR="00B055C8" w:rsidRPr="005114E7" w:rsidRDefault="00B055C8"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Викторија</w:t>
            </w:r>
          </w:p>
        </w:tc>
        <w:tc>
          <w:tcPr>
            <w:tcW w:w="720" w:type="pct"/>
            <w:shd w:val="clear" w:color="auto" w:fill="auto"/>
            <w:noWrap/>
            <w:vAlign w:val="bottom"/>
            <w:hideMark/>
          </w:tcPr>
          <w:p w14:paraId="2AE15052"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681" w:type="pct"/>
            <w:shd w:val="clear" w:color="auto" w:fill="auto"/>
            <w:noWrap/>
            <w:vAlign w:val="bottom"/>
            <w:hideMark/>
          </w:tcPr>
          <w:p w14:paraId="20D31E47"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auto"/>
            <w:noWrap/>
            <w:vAlign w:val="bottom"/>
            <w:hideMark/>
          </w:tcPr>
          <w:p w14:paraId="5E3D3E04"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6E811071"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6860BBF4"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6217780C" w14:textId="77777777" w:rsidR="00B055C8" w:rsidRPr="005114E7" w:rsidRDefault="00B055C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4</w:t>
            </w:r>
          </w:p>
        </w:tc>
      </w:tr>
      <w:tr w:rsidR="00B055C8" w:rsidRPr="005114E7" w14:paraId="3CF3A435" w14:textId="77777777" w:rsidTr="00B055C8">
        <w:tc>
          <w:tcPr>
            <w:tcW w:w="800" w:type="pct"/>
            <w:shd w:val="clear" w:color="auto" w:fill="FAF9F8"/>
            <w:noWrap/>
            <w:vAlign w:val="bottom"/>
            <w:hideMark/>
          </w:tcPr>
          <w:p w14:paraId="448AE5BB" w14:textId="24FFAE40" w:rsidR="00B055C8" w:rsidRPr="005114E7" w:rsidRDefault="00B055C8"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Квинсленд</w:t>
            </w:r>
          </w:p>
        </w:tc>
        <w:tc>
          <w:tcPr>
            <w:tcW w:w="720" w:type="pct"/>
            <w:shd w:val="clear" w:color="auto" w:fill="FAF9F8"/>
            <w:noWrap/>
            <w:vAlign w:val="bottom"/>
            <w:hideMark/>
          </w:tcPr>
          <w:p w14:paraId="1F9C17AB"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81" w:type="pct"/>
            <w:shd w:val="clear" w:color="auto" w:fill="FAF9F8"/>
            <w:noWrap/>
            <w:vAlign w:val="bottom"/>
            <w:hideMark/>
          </w:tcPr>
          <w:p w14:paraId="4244CD2B"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shd w:val="clear" w:color="auto" w:fill="FAF9F8"/>
            <w:noWrap/>
            <w:vAlign w:val="bottom"/>
            <w:hideMark/>
          </w:tcPr>
          <w:p w14:paraId="647FC07D"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14085B65"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1FA6FF52"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649DA728" w14:textId="77777777" w:rsidR="00B055C8" w:rsidRPr="005114E7" w:rsidRDefault="00B055C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3</w:t>
            </w:r>
          </w:p>
        </w:tc>
      </w:tr>
      <w:tr w:rsidR="00B055C8" w:rsidRPr="005114E7" w14:paraId="50ACD9E3" w14:textId="77777777" w:rsidTr="00B055C8">
        <w:tc>
          <w:tcPr>
            <w:tcW w:w="800" w:type="pct"/>
            <w:shd w:val="clear" w:color="auto" w:fill="auto"/>
            <w:noWrap/>
            <w:vAlign w:val="bottom"/>
            <w:hideMark/>
          </w:tcPr>
          <w:p w14:paraId="69EF4F95" w14:textId="63E06C53" w:rsidR="00B055C8" w:rsidRPr="005114E7" w:rsidRDefault="00B055C8"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Западна Австралија</w:t>
            </w:r>
          </w:p>
        </w:tc>
        <w:tc>
          <w:tcPr>
            <w:tcW w:w="720" w:type="pct"/>
            <w:shd w:val="clear" w:color="auto" w:fill="auto"/>
            <w:noWrap/>
            <w:vAlign w:val="bottom"/>
            <w:hideMark/>
          </w:tcPr>
          <w:p w14:paraId="1CCCE82A"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681" w:type="pct"/>
            <w:shd w:val="clear" w:color="auto" w:fill="auto"/>
            <w:noWrap/>
            <w:vAlign w:val="bottom"/>
            <w:hideMark/>
          </w:tcPr>
          <w:p w14:paraId="7BF34F59"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shd w:val="clear" w:color="auto" w:fill="auto"/>
            <w:noWrap/>
            <w:vAlign w:val="bottom"/>
            <w:hideMark/>
          </w:tcPr>
          <w:p w14:paraId="4037FD19"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3EF573FC"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696F6475"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716DDB81" w14:textId="77777777" w:rsidR="00B055C8" w:rsidRPr="005114E7" w:rsidRDefault="00B055C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5</w:t>
            </w:r>
          </w:p>
        </w:tc>
      </w:tr>
      <w:tr w:rsidR="00B055C8" w:rsidRPr="005114E7" w14:paraId="3BAA5C76" w14:textId="77777777" w:rsidTr="00B055C8">
        <w:tc>
          <w:tcPr>
            <w:tcW w:w="800" w:type="pct"/>
            <w:shd w:val="clear" w:color="auto" w:fill="FAF9F8"/>
            <w:noWrap/>
            <w:vAlign w:val="bottom"/>
            <w:hideMark/>
          </w:tcPr>
          <w:p w14:paraId="122FAFA3" w14:textId="685EF6F0" w:rsidR="00B055C8" w:rsidRPr="005114E7" w:rsidRDefault="00B055C8"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Јужна Австралија</w:t>
            </w:r>
          </w:p>
        </w:tc>
        <w:tc>
          <w:tcPr>
            <w:tcW w:w="720" w:type="pct"/>
            <w:shd w:val="clear" w:color="auto" w:fill="FAF9F8"/>
            <w:noWrap/>
            <w:vAlign w:val="bottom"/>
            <w:hideMark/>
          </w:tcPr>
          <w:p w14:paraId="4A71AF58"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shd w:val="clear" w:color="auto" w:fill="FAF9F8"/>
            <w:noWrap/>
            <w:vAlign w:val="bottom"/>
            <w:hideMark/>
          </w:tcPr>
          <w:p w14:paraId="0660A67A"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8</w:t>
            </w:r>
          </w:p>
        </w:tc>
        <w:tc>
          <w:tcPr>
            <w:tcW w:w="700" w:type="pct"/>
            <w:shd w:val="clear" w:color="auto" w:fill="FAF9F8"/>
            <w:noWrap/>
            <w:vAlign w:val="bottom"/>
            <w:hideMark/>
          </w:tcPr>
          <w:p w14:paraId="44DF5230"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4660DA4C"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0CA36DCE"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74B8234B" w14:textId="77777777" w:rsidR="00B055C8" w:rsidRPr="005114E7" w:rsidRDefault="00B055C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9</w:t>
            </w:r>
          </w:p>
        </w:tc>
      </w:tr>
      <w:tr w:rsidR="00B055C8" w:rsidRPr="005114E7" w14:paraId="577B1584" w14:textId="77777777" w:rsidTr="00B055C8">
        <w:tc>
          <w:tcPr>
            <w:tcW w:w="800" w:type="pct"/>
            <w:shd w:val="clear" w:color="auto" w:fill="auto"/>
            <w:noWrap/>
            <w:vAlign w:val="bottom"/>
            <w:hideMark/>
          </w:tcPr>
          <w:p w14:paraId="11A9EE57" w14:textId="53D1A7A5" w:rsidR="00B055C8" w:rsidRPr="005114E7" w:rsidRDefault="00B055C8"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Тасманија</w:t>
            </w:r>
          </w:p>
        </w:tc>
        <w:tc>
          <w:tcPr>
            <w:tcW w:w="720" w:type="pct"/>
            <w:shd w:val="clear" w:color="auto" w:fill="auto"/>
            <w:noWrap/>
            <w:vAlign w:val="bottom"/>
            <w:hideMark/>
          </w:tcPr>
          <w:p w14:paraId="3F29406B"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shd w:val="clear" w:color="auto" w:fill="auto"/>
            <w:noWrap/>
            <w:vAlign w:val="bottom"/>
            <w:hideMark/>
          </w:tcPr>
          <w:p w14:paraId="2C992748"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shd w:val="clear" w:color="auto" w:fill="auto"/>
            <w:noWrap/>
            <w:vAlign w:val="bottom"/>
            <w:hideMark/>
          </w:tcPr>
          <w:p w14:paraId="0A84C9E7"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2342671B"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457A3586"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7C6430CA" w14:textId="77777777" w:rsidR="00B055C8" w:rsidRPr="005114E7" w:rsidRDefault="00B055C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4</w:t>
            </w:r>
          </w:p>
        </w:tc>
      </w:tr>
      <w:tr w:rsidR="00B055C8" w:rsidRPr="005114E7" w14:paraId="04318AD1" w14:textId="77777777" w:rsidTr="00B055C8">
        <w:tc>
          <w:tcPr>
            <w:tcW w:w="800" w:type="pct"/>
            <w:shd w:val="clear" w:color="auto" w:fill="FAF9F8"/>
            <w:noWrap/>
            <w:vAlign w:val="bottom"/>
            <w:hideMark/>
          </w:tcPr>
          <w:p w14:paraId="27F54484" w14:textId="3CC3CDBE" w:rsidR="00B055C8" w:rsidRPr="005114E7" w:rsidRDefault="00B055C8"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Австралиска Престолничка Територија</w:t>
            </w:r>
          </w:p>
        </w:tc>
        <w:tc>
          <w:tcPr>
            <w:tcW w:w="720" w:type="pct"/>
            <w:shd w:val="clear" w:color="auto" w:fill="FAF9F8"/>
            <w:noWrap/>
            <w:vAlign w:val="bottom"/>
            <w:hideMark/>
          </w:tcPr>
          <w:p w14:paraId="07525472"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681" w:type="pct"/>
            <w:shd w:val="clear" w:color="auto" w:fill="FAF9F8"/>
            <w:noWrap/>
            <w:vAlign w:val="bottom"/>
            <w:hideMark/>
          </w:tcPr>
          <w:p w14:paraId="7C7E60BE"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1752563B"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4CC2DCFD"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6AA4C1A8"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4DA62B83" w14:textId="77777777" w:rsidR="00B055C8" w:rsidRPr="005114E7" w:rsidRDefault="00B055C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2</w:t>
            </w:r>
          </w:p>
        </w:tc>
      </w:tr>
      <w:tr w:rsidR="00B055C8" w:rsidRPr="005114E7" w14:paraId="04C8CBED" w14:textId="77777777" w:rsidTr="00B055C8">
        <w:tc>
          <w:tcPr>
            <w:tcW w:w="800" w:type="pct"/>
            <w:shd w:val="clear" w:color="auto" w:fill="auto"/>
            <w:noWrap/>
            <w:vAlign w:val="bottom"/>
            <w:hideMark/>
          </w:tcPr>
          <w:p w14:paraId="7BA71BB6" w14:textId="5185F990" w:rsidR="00B055C8" w:rsidRPr="005114E7" w:rsidRDefault="00B055C8" w:rsidP="002A249B">
            <w:pPr>
              <w:spacing w:after="0" w:line="240" w:lineRule="auto"/>
              <w:rPr>
                <w:rFonts w:eastAsia="Times New Roman" w:cs="Arial"/>
                <w:sz w:val="20"/>
                <w:szCs w:val="20"/>
                <w:lang w:eastAsia="en-AU"/>
              </w:rPr>
            </w:pPr>
            <w:r w:rsidRPr="005114E7">
              <w:rPr>
                <w:rFonts w:eastAsia="Times New Roman" w:cs="Calibri"/>
                <w:color w:val="000000"/>
                <w:lang w:val="mk" w:eastAsia="en-AU"/>
              </w:rPr>
              <w:t>Северна Територија</w:t>
            </w:r>
          </w:p>
        </w:tc>
        <w:tc>
          <w:tcPr>
            <w:tcW w:w="720" w:type="pct"/>
            <w:shd w:val="clear" w:color="auto" w:fill="auto"/>
            <w:noWrap/>
            <w:vAlign w:val="bottom"/>
            <w:hideMark/>
          </w:tcPr>
          <w:p w14:paraId="54DF0044"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681" w:type="pct"/>
            <w:shd w:val="clear" w:color="auto" w:fill="auto"/>
            <w:noWrap/>
            <w:vAlign w:val="bottom"/>
            <w:hideMark/>
          </w:tcPr>
          <w:p w14:paraId="0A1A00F4"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3</w:t>
            </w:r>
          </w:p>
        </w:tc>
        <w:tc>
          <w:tcPr>
            <w:tcW w:w="700" w:type="pct"/>
            <w:shd w:val="clear" w:color="auto" w:fill="auto"/>
            <w:noWrap/>
            <w:vAlign w:val="bottom"/>
            <w:hideMark/>
          </w:tcPr>
          <w:p w14:paraId="22A358B9"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6F8F8101"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6F54EE5C" w14:textId="77777777" w:rsidR="00B055C8" w:rsidRPr="005114E7" w:rsidRDefault="00B055C8" w:rsidP="002A249B">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auto"/>
            <w:noWrap/>
            <w:vAlign w:val="bottom"/>
            <w:hideMark/>
          </w:tcPr>
          <w:p w14:paraId="284927F3" w14:textId="77777777" w:rsidR="00B055C8" w:rsidRPr="005114E7" w:rsidRDefault="00B055C8" w:rsidP="002A249B">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4</w:t>
            </w:r>
          </w:p>
        </w:tc>
      </w:tr>
      <w:tr w:rsidR="00B055C8" w:rsidRPr="005114E7" w14:paraId="3E058CF7" w14:textId="77777777" w:rsidTr="00B055C8">
        <w:tc>
          <w:tcPr>
            <w:tcW w:w="800" w:type="pct"/>
            <w:shd w:val="clear" w:color="auto" w:fill="E4E9F3"/>
            <w:noWrap/>
            <w:vAlign w:val="bottom"/>
            <w:hideMark/>
          </w:tcPr>
          <w:p w14:paraId="2643E38B" w14:textId="43C32E4A" w:rsidR="00B055C8" w:rsidRPr="005114E7" w:rsidRDefault="00B055C8" w:rsidP="002A249B">
            <w:pPr>
              <w:spacing w:after="0" w:line="240" w:lineRule="auto"/>
              <w:rPr>
                <w:rFonts w:eastAsia="Times New Roman" w:cs="Arial"/>
                <w:b/>
                <w:sz w:val="20"/>
                <w:szCs w:val="20"/>
                <w:lang w:eastAsia="en-AU"/>
              </w:rPr>
            </w:pPr>
            <w:r w:rsidRPr="005114E7">
              <w:rPr>
                <w:rFonts w:eastAsia="Times New Roman" w:cs="Calibri"/>
                <w:b/>
                <w:bCs/>
                <w:color w:val="000000"/>
                <w:lang w:val="mk" w:eastAsia="en-AU"/>
              </w:rPr>
              <w:lastRenderedPageBreak/>
              <w:t>Вкупно на национално ниво</w:t>
            </w:r>
          </w:p>
        </w:tc>
        <w:tc>
          <w:tcPr>
            <w:tcW w:w="720" w:type="pct"/>
            <w:shd w:val="clear" w:color="auto" w:fill="E4E9F3"/>
            <w:noWrap/>
            <w:vAlign w:val="bottom"/>
            <w:hideMark/>
          </w:tcPr>
          <w:p w14:paraId="157D17ED" w14:textId="77777777" w:rsidR="00B055C8" w:rsidRPr="005114E7" w:rsidRDefault="00B055C8"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10</w:t>
            </w:r>
          </w:p>
        </w:tc>
        <w:tc>
          <w:tcPr>
            <w:tcW w:w="681" w:type="pct"/>
            <w:shd w:val="clear" w:color="auto" w:fill="E4E9F3"/>
            <w:noWrap/>
            <w:vAlign w:val="bottom"/>
            <w:hideMark/>
          </w:tcPr>
          <w:p w14:paraId="7B0B9D0F" w14:textId="77777777" w:rsidR="00B055C8" w:rsidRPr="005114E7" w:rsidRDefault="00B055C8"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B055C8" w:rsidRPr="005114E7" w:rsidRDefault="00B055C8"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B055C8" w:rsidRPr="005114E7" w:rsidRDefault="00B055C8"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B055C8" w:rsidRPr="005114E7" w:rsidRDefault="00B055C8"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B055C8" w:rsidRPr="005114E7" w:rsidRDefault="00B055C8" w:rsidP="002A249B">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47</w:t>
            </w:r>
          </w:p>
        </w:tc>
      </w:tr>
    </w:tbl>
    <w:p w14:paraId="43278F31" w14:textId="0CA13221" w:rsidR="00B12B54" w:rsidRPr="005114E7" w:rsidRDefault="00B055C8" w:rsidP="00482017">
      <w:pPr>
        <w:spacing w:before="240" w:after="240" w:line="240" w:lineRule="auto"/>
      </w:pPr>
      <w:r w:rsidRPr="00D36EB6">
        <w:rPr>
          <w:rFonts w:cs="Arial"/>
          <w:lang w:val="mk-MK"/>
        </w:rPr>
        <w:t xml:space="preserve">Табела 12: Планот </w:t>
      </w:r>
      <w:r w:rsidRPr="00D36EB6">
        <w:rPr>
          <w:rFonts w:cs="Arial"/>
        </w:rPr>
        <w:t>TAP</w:t>
      </w:r>
      <w:r w:rsidRPr="00D36EB6">
        <w:rPr>
          <w:rFonts w:cs="Arial"/>
          <w:lang w:val="mk-MK"/>
        </w:rPr>
        <w:t xml:space="preserve"> за постапување во итни случаи – напредување на акциите согласно поставените цели во </w:t>
      </w:r>
      <w:r w:rsidRPr="00D36EB6">
        <w:rPr>
          <w:rFonts w:cs="Arial"/>
        </w:rPr>
        <w:t>2022-2023</w:t>
      </w:r>
      <w:r w:rsidRPr="00D36EB6">
        <w:rPr>
          <w:rFonts w:cs="Arial"/>
          <w:lang w:val="mk-MK"/>
        </w:rPr>
        <w:t xml:space="preserve"> г.</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80"/>
        <w:gridCol w:w="1327"/>
        <w:gridCol w:w="1261"/>
        <w:gridCol w:w="1294"/>
        <w:gridCol w:w="1294"/>
        <w:gridCol w:w="1294"/>
        <w:gridCol w:w="1292"/>
      </w:tblGrid>
      <w:tr w:rsidR="00B055C8" w:rsidRPr="005114E7" w14:paraId="122B5EAA" w14:textId="77777777" w:rsidTr="00B055C8">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5CD24C6D" w:rsidR="00B055C8" w:rsidRPr="005114E7" w:rsidRDefault="00B055C8" w:rsidP="00CA6879">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Цел</w:t>
            </w:r>
          </w:p>
        </w:tc>
        <w:tc>
          <w:tcPr>
            <w:tcW w:w="71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213BD5BE" w:rsidR="00B055C8" w:rsidRPr="005114E7" w:rsidRDefault="00B055C8" w:rsidP="00CA6879">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Завршено</w:t>
            </w:r>
          </w:p>
        </w:tc>
        <w:tc>
          <w:tcPr>
            <w:tcW w:w="68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44BB7A77" w:rsidR="00B055C8" w:rsidRPr="005114E7" w:rsidRDefault="00B055C8" w:rsidP="00CA6879">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Навреме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69CFDD12" w:rsidR="00B055C8" w:rsidRPr="005114E7" w:rsidRDefault="00B055C8" w:rsidP="00CA6879">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Доцнење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2F115771" w:rsidR="00B055C8" w:rsidRPr="005114E7" w:rsidRDefault="00B055C8" w:rsidP="00CA6879">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Паузира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09C887AE" w:rsidR="00B055C8" w:rsidRPr="005114E7" w:rsidRDefault="00B055C8" w:rsidP="00CA6879">
            <w:pPr>
              <w:spacing w:after="0" w:line="240" w:lineRule="auto"/>
              <w:rPr>
                <w:rFonts w:eastAsia="Times New Roman" w:cs="Arial"/>
                <w:b/>
                <w:bCs/>
                <w:color w:val="FFFFFF" w:themeColor="background1"/>
                <w:sz w:val="20"/>
                <w:szCs w:val="20"/>
                <w:lang w:eastAsia="en-AU"/>
              </w:rPr>
            </w:pPr>
            <w:r w:rsidRPr="005114E7">
              <w:rPr>
                <w:rFonts w:eastAsia="Times New Roman" w:cs="Calibri"/>
                <w:b/>
                <w:bCs/>
                <w:color w:val="FFFFFF" w:themeColor="background1"/>
                <w:lang w:val="mk" w:eastAsia="en-AU"/>
              </w:rPr>
              <w:t>Ќе започне во иднина</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2B486F6C" w:rsidR="00B055C8" w:rsidRPr="005114E7" w:rsidRDefault="00B055C8" w:rsidP="00CA6879">
            <w:pPr>
              <w:spacing w:after="0" w:line="240" w:lineRule="auto"/>
              <w:rPr>
                <w:rFonts w:eastAsia="Times New Roman" w:cs="Arial"/>
                <w:b/>
                <w:color w:val="FFFFFF" w:themeColor="background1"/>
                <w:sz w:val="20"/>
                <w:szCs w:val="20"/>
                <w:lang w:eastAsia="en-AU"/>
              </w:rPr>
            </w:pPr>
            <w:r w:rsidRPr="005114E7">
              <w:rPr>
                <w:rFonts w:eastAsia="Times New Roman" w:cs="Calibri"/>
                <w:b/>
                <w:bCs/>
                <w:color w:val="FFFFFF" w:themeColor="background1"/>
                <w:lang w:val="mk" w:eastAsia="en-AU"/>
              </w:rPr>
              <w:t>Вкупно</w:t>
            </w:r>
          </w:p>
        </w:tc>
      </w:tr>
      <w:tr w:rsidR="00CA6879" w:rsidRPr="005114E7" w14:paraId="75A5AFA8" w14:textId="77777777" w:rsidTr="00B055C8">
        <w:trPr>
          <w:cantSplit/>
        </w:trPr>
        <w:tc>
          <w:tcPr>
            <w:tcW w:w="801" w:type="pct"/>
            <w:tcBorders>
              <w:top w:val="single" w:sz="4" w:space="0" w:color="auto"/>
            </w:tcBorders>
            <w:shd w:val="clear" w:color="auto" w:fill="auto"/>
            <w:noWrap/>
            <w:vAlign w:val="bottom"/>
            <w:hideMark/>
          </w:tcPr>
          <w:p w14:paraId="24DB55B5" w14:textId="282E7DB2" w:rsidR="00CA6879" w:rsidRPr="005114E7" w:rsidRDefault="00B055C8" w:rsidP="00CA6879">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w:t>
            </w:r>
            <w:r w:rsidR="00CA6879" w:rsidRPr="005114E7">
              <w:rPr>
                <w:rFonts w:eastAsia="Times New Roman" w:cs="Arial"/>
                <w:sz w:val="20"/>
                <w:szCs w:val="20"/>
                <w:lang w:eastAsia="en-AU"/>
              </w:rPr>
              <w:t>1</w:t>
            </w:r>
          </w:p>
        </w:tc>
        <w:tc>
          <w:tcPr>
            <w:tcW w:w="718" w:type="pct"/>
            <w:tcBorders>
              <w:top w:val="single" w:sz="4" w:space="0" w:color="auto"/>
            </w:tcBorders>
            <w:shd w:val="clear" w:color="auto" w:fill="auto"/>
            <w:noWrap/>
            <w:vAlign w:val="bottom"/>
            <w:hideMark/>
          </w:tcPr>
          <w:p w14:paraId="0D73D234" w14:textId="6EDFD57D" w:rsidR="00CA6879" w:rsidRPr="005114E7" w:rsidRDefault="00CA6879"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6</w:t>
            </w:r>
          </w:p>
        </w:tc>
        <w:tc>
          <w:tcPr>
            <w:tcW w:w="682" w:type="pct"/>
            <w:tcBorders>
              <w:top w:val="single" w:sz="4" w:space="0" w:color="auto"/>
            </w:tcBorders>
            <w:shd w:val="clear" w:color="auto" w:fill="auto"/>
            <w:noWrap/>
            <w:vAlign w:val="bottom"/>
            <w:hideMark/>
          </w:tcPr>
          <w:p w14:paraId="2F53D960" w14:textId="62501D18" w:rsidR="00CA6879" w:rsidRPr="005114E7" w:rsidRDefault="00CA6879"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CA6879" w:rsidRPr="005114E7" w:rsidRDefault="00CA6879"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CA6879" w:rsidRPr="005114E7" w:rsidRDefault="00CA6879"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CA6879" w:rsidRPr="005114E7" w:rsidRDefault="00CA6879"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CA6879" w:rsidRPr="005114E7" w:rsidRDefault="00CA6879" w:rsidP="00CA6879">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24</w:t>
            </w:r>
          </w:p>
        </w:tc>
      </w:tr>
      <w:tr w:rsidR="00B055C8" w:rsidRPr="005114E7" w14:paraId="0462DD16" w14:textId="77777777" w:rsidTr="00B055C8">
        <w:trPr>
          <w:cantSplit/>
        </w:trPr>
        <w:tc>
          <w:tcPr>
            <w:tcW w:w="801" w:type="pct"/>
            <w:shd w:val="clear" w:color="auto" w:fill="FAF9F8"/>
            <w:noWrap/>
            <w:vAlign w:val="bottom"/>
            <w:hideMark/>
          </w:tcPr>
          <w:p w14:paraId="7050C660" w14:textId="2785A888" w:rsidR="00B055C8" w:rsidRPr="005114E7" w:rsidRDefault="00B055C8" w:rsidP="00B055C8">
            <w:pPr>
              <w:spacing w:after="0" w:line="240" w:lineRule="auto"/>
              <w:rPr>
                <w:rFonts w:eastAsia="Times New Roman" w:cs="Arial"/>
                <w:sz w:val="20"/>
                <w:szCs w:val="20"/>
                <w:lang w:eastAsia="en-AU"/>
              </w:rPr>
            </w:pPr>
            <w:r w:rsidRPr="005114E7">
              <w:rPr>
                <w:rFonts w:eastAsia="Times New Roman" w:cs="Calibri"/>
                <w:color w:val="000000"/>
                <w:lang w:val="mk" w:eastAsia="en-AU"/>
              </w:rPr>
              <w:t>Цел</w:t>
            </w:r>
            <w:r w:rsidRPr="005114E7">
              <w:rPr>
                <w:rFonts w:eastAsia="Times New Roman" w:cs="Arial"/>
                <w:color w:val="000000"/>
                <w:sz w:val="20"/>
                <w:szCs w:val="20"/>
                <w:lang w:eastAsia="en-AU"/>
              </w:rPr>
              <w:t xml:space="preserve"> </w:t>
            </w:r>
            <w:r>
              <w:rPr>
                <w:rFonts w:eastAsia="Times New Roman" w:cs="Arial"/>
                <w:color w:val="000000"/>
                <w:sz w:val="20"/>
                <w:szCs w:val="20"/>
                <w:lang w:eastAsia="en-AU"/>
              </w:rPr>
              <w:t>2</w:t>
            </w:r>
          </w:p>
        </w:tc>
        <w:tc>
          <w:tcPr>
            <w:tcW w:w="718" w:type="pct"/>
            <w:shd w:val="clear" w:color="auto" w:fill="FAF9F8"/>
            <w:noWrap/>
            <w:vAlign w:val="bottom"/>
            <w:hideMark/>
          </w:tcPr>
          <w:p w14:paraId="65D744F0" w14:textId="67E7B14E" w:rsidR="00B055C8" w:rsidRPr="005114E7" w:rsidRDefault="00B055C8"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4</w:t>
            </w:r>
          </w:p>
        </w:tc>
        <w:tc>
          <w:tcPr>
            <w:tcW w:w="682" w:type="pct"/>
            <w:shd w:val="clear" w:color="auto" w:fill="FAF9F8"/>
            <w:noWrap/>
            <w:vAlign w:val="bottom"/>
            <w:hideMark/>
          </w:tcPr>
          <w:p w14:paraId="0E7C92F7" w14:textId="4E40AF45" w:rsidR="00B055C8" w:rsidRPr="005114E7" w:rsidRDefault="00B055C8"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17</w:t>
            </w:r>
          </w:p>
        </w:tc>
        <w:tc>
          <w:tcPr>
            <w:tcW w:w="700" w:type="pct"/>
            <w:shd w:val="clear" w:color="auto" w:fill="FAF9F8"/>
            <w:noWrap/>
            <w:vAlign w:val="bottom"/>
            <w:hideMark/>
          </w:tcPr>
          <w:p w14:paraId="5C1ED729" w14:textId="28C95529" w:rsidR="00B055C8" w:rsidRPr="005114E7" w:rsidRDefault="00B055C8"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2</w:t>
            </w:r>
          </w:p>
        </w:tc>
        <w:tc>
          <w:tcPr>
            <w:tcW w:w="700" w:type="pct"/>
            <w:shd w:val="clear" w:color="auto" w:fill="FAF9F8"/>
            <w:noWrap/>
            <w:vAlign w:val="bottom"/>
            <w:hideMark/>
          </w:tcPr>
          <w:p w14:paraId="26311A09" w14:textId="531FF471" w:rsidR="00B055C8" w:rsidRPr="005114E7" w:rsidRDefault="00B055C8"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700" w:type="pct"/>
            <w:shd w:val="clear" w:color="auto" w:fill="FAF9F8"/>
            <w:noWrap/>
            <w:vAlign w:val="bottom"/>
            <w:hideMark/>
          </w:tcPr>
          <w:p w14:paraId="44C09274" w14:textId="466FC992" w:rsidR="00B055C8" w:rsidRPr="005114E7" w:rsidRDefault="00B055C8" w:rsidP="00CA6879">
            <w:pPr>
              <w:spacing w:after="0" w:line="240" w:lineRule="auto"/>
              <w:jc w:val="right"/>
              <w:rPr>
                <w:rFonts w:eastAsia="Times New Roman" w:cs="Arial"/>
                <w:sz w:val="20"/>
                <w:szCs w:val="20"/>
                <w:lang w:eastAsia="en-AU"/>
              </w:rPr>
            </w:pPr>
            <w:r w:rsidRPr="005114E7">
              <w:rPr>
                <w:rFonts w:eastAsia="Times New Roman" w:cs="Arial"/>
                <w:sz w:val="20"/>
                <w:szCs w:val="20"/>
                <w:lang w:eastAsia="en-AU"/>
              </w:rPr>
              <w:t>0</w:t>
            </w:r>
          </w:p>
        </w:tc>
        <w:tc>
          <w:tcPr>
            <w:tcW w:w="699" w:type="pct"/>
            <w:shd w:val="clear" w:color="auto" w:fill="FAF9F8"/>
            <w:noWrap/>
            <w:vAlign w:val="bottom"/>
            <w:hideMark/>
          </w:tcPr>
          <w:p w14:paraId="2ABF350C" w14:textId="6B892149" w:rsidR="00B055C8" w:rsidRPr="005114E7" w:rsidRDefault="00B055C8" w:rsidP="00CA6879">
            <w:pPr>
              <w:spacing w:after="0" w:line="240" w:lineRule="auto"/>
              <w:jc w:val="right"/>
              <w:rPr>
                <w:rFonts w:eastAsia="Times New Roman" w:cs="Arial"/>
                <w:color w:val="000000"/>
                <w:sz w:val="20"/>
                <w:szCs w:val="20"/>
                <w:lang w:eastAsia="en-AU"/>
              </w:rPr>
            </w:pPr>
            <w:r w:rsidRPr="005114E7">
              <w:rPr>
                <w:rFonts w:eastAsia="Times New Roman" w:cs="Arial"/>
                <w:color w:val="000000"/>
                <w:sz w:val="20"/>
                <w:szCs w:val="20"/>
                <w:lang w:eastAsia="en-AU"/>
              </w:rPr>
              <w:t>23</w:t>
            </w:r>
          </w:p>
        </w:tc>
      </w:tr>
      <w:tr w:rsidR="00B055C8" w:rsidRPr="005114E7" w14:paraId="6BE967BA" w14:textId="77777777" w:rsidTr="00B055C8">
        <w:trPr>
          <w:cantSplit/>
        </w:trPr>
        <w:tc>
          <w:tcPr>
            <w:tcW w:w="801" w:type="pct"/>
            <w:shd w:val="clear" w:color="auto" w:fill="E4E9F3"/>
            <w:noWrap/>
            <w:vAlign w:val="bottom"/>
            <w:hideMark/>
          </w:tcPr>
          <w:p w14:paraId="6F51DEF0" w14:textId="25C48BC2" w:rsidR="00B055C8" w:rsidRPr="005114E7" w:rsidRDefault="00B055C8" w:rsidP="00CA6879">
            <w:pPr>
              <w:spacing w:after="0" w:line="240" w:lineRule="auto"/>
              <w:rPr>
                <w:rFonts w:eastAsia="Times New Roman" w:cs="Arial"/>
                <w:b/>
                <w:sz w:val="20"/>
                <w:szCs w:val="20"/>
                <w:lang w:eastAsia="en-AU"/>
              </w:rPr>
            </w:pPr>
            <w:r w:rsidRPr="005114E7">
              <w:rPr>
                <w:rFonts w:eastAsia="Times New Roman" w:cs="Calibri"/>
                <w:b/>
                <w:bCs/>
                <w:color w:val="000000"/>
                <w:lang w:val="mk" w:eastAsia="en-AU"/>
              </w:rPr>
              <w:t>Севкупно</w:t>
            </w:r>
          </w:p>
        </w:tc>
        <w:tc>
          <w:tcPr>
            <w:tcW w:w="718" w:type="pct"/>
            <w:shd w:val="clear" w:color="auto" w:fill="E4E9F3"/>
            <w:noWrap/>
            <w:vAlign w:val="bottom"/>
            <w:hideMark/>
          </w:tcPr>
          <w:p w14:paraId="32E29AEB" w14:textId="4A12B482" w:rsidR="00B055C8" w:rsidRPr="005114E7" w:rsidRDefault="00B055C8" w:rsidP="00CA6879">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10</w:t>
            </w:r>
          </w:p>
        </w:tc>
        <w:tc>
          <w:tcPr>
            <w:tcW w:w="682" w:type="pct"/>
            <w:shd w:val="clear" w:color="auto" w:fill="E4E9F3"/>
            <w:noWrap/>
            <w:vAlign w:val="bottom"/>
            <w:hideMark/>
          </w:tcPr>
          <w:p w14:paraId="3A5DFB6B" w14:textId="0589B827" w:rsidR="00B055C8" w:rsidRPr="005114E7" w:rsidRDefault="00B055C8" w:rsidP="00CA6879">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B055C8" w:rsidRPr="005114E7" w:rsidRDefault="00B055C8" w:rsidP="00CA6879">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B055C8" w:rsidRPr="005114E7" w:rsidRDefault="00B055C8" w:rsidP="00CA6879">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B055C8" w:rsidRPr="005114E7" w:rsidRDefault="00B055C8" w:rsidP="00CA6879">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B055C8" w:rsidRPr="005114E7" w:rsidRDefault="00B055C8" w:rsidP="00CA6879">
            <w:pPr>
              <w:spacing w:after="0" w:line="240" w:lineRule="auto"/>
              <w:jc w:val="right"/>
              <w:rPr>
                <w:rFonts w:eastAsia="Times New Roman" w:cs="Arial"/>
                <w:b/>
                <w:color w:val="000000"/>
                <w:sz w:val="20"/>
                <w:szCs w:val="20"/>
                <w:lang w:eastAsia="en-AU"/>
              </w:rPr>
            </w:pPr>
            <w:r w:rsidRPr="005114E7">
              <w:rPr>
                <w:rFonts w:eastAsia="Times New Roman" w:cs="Arial"/>
                <w:b/>
                <w:color w:val="000000"/>
                <w:sz w:val="20"/>
                <w:szCs w:val="20"/>
                <w:lang w:eastAsia="en-AU"/>
              </w:rPr>
              <w:t>47</w:t>
            </w:r>
          </w:p>
        </w:tc>
      </w:tr>
    </w:tbl>
    <w:p w14:paraId="48ADB28E" w14:textId="0AE1FA6A" w:rsidR="00B12B54" w:rsidRPr="005114E7" w:rsidRDefault="00B12B54">
      <w:r w:rsidRPr="005114E7">
        <w:br w:type="page"/>
      </w:r>
    </w:p>
    <w:p w14:paraId="15D53C43" w14:textId="17366221" w:rsidR="00C62233" w:rsidRPr="005114E7" w:rsidRDefault="00EB7D1D" w:rsidP="003F7BC7">
      <w:pPr>
        <w:pStyle w:val="Heading1"/>
      </w:pPr>
      <w:bookmarkStart w:id="29" w:name="_Toc153454145"/>
      <w:proofErr w:type="spellStart"/>
      <w:r w:rsidRPr="00EB7D1D">
        <w:lastRenderedPageBreak/>
        <w:t>Акциите</w:t>
      </w:r>
      <w:proofErr w:type="spellEnd"/>
      <w:r w:rsidRPr="00EB7D1D">
        <w:t xml:space="preserve"> </w:t>
      </w:r>
      <w:proofErr w:type="spellStart"/>
      <w:r w:rsidRPr="00EB7D1D">
        <w:t>во</w:t>
      </w:r>
      <w:proofErr w:type="spellEnd"/>
      <w:r w:rsidRPr="00EB7D1D">
        <w:t xml:space="preserve"> </w:t>
      </w:r>
      <w:proofErr w:type="spellStart"/>
      <w:r w:rsidRPr="00EB7D1D">
        <w:t>пракса</w:t>
      </w:r>
      <w:bookmarkEnd w:id="29"/>
      <w:proofErr w:type="spellEnd"/>
    </w:p>
    <w:p w14:paraId="4B68A327" w14:textId="77777777" w:rsidR="00EB7D1D" w:rsidRPr="00D36EB6" w:rsidRDefault="00EB7D1D" w:rsidP="00EB7D1D">
      <w:pPr>
        <w:spacing w:before="240" w:after="240"/>
        <w:rPr>
          <w:rFonts w:cs="Arial"/>
        </w:rPr>
      </w:pPr>
      <w:r w:rsidRPr="00D36EB6">
        <w:rPr>
          <w:rFonts w:cs="Arial"/>
          <w:lang w:val="mk-MK"/>
        </w:rPr>
        <w:t>Во текот на периодот за којшто се известува, сите влади работеа на спроведувањето на акциите од плановите</w:t>
      </w:r>
      <w:r w:rsidRPr="00D36EB6">
        <w:rPr>
          <w:rFonts w:cs="Arial"/>
        </w:rPr>
        <w:t xml:space="preserve"> TAP. </w:t>
      </w:r>
    </w:p>
    <w:p w14:paraId="10C75DDD" w14:textId="0847EE08" w:rsidR="00EB7D1D" w:rsidRPr="005114E7" w:rsidRDefault="00EB7D1D" w:rsidP="00EB7D1D">
      <w:pPr>
        <w:spacing w:before="240" w:after="240"/>
        <w:rPr>
          <w:rFonts w:cs="Arial"/>
          <w:sz w:val="20"/>
          <w:szCs w:val="20"/>
        </w:rPr>
      </w:pPr>
      <w:r w:rsidRPr="00D36EB6">
        <w:rPr>
          <w:rFonts w:cs="Arial"/>
          <w:lang w:val="mk-MK"/>
        </w:rPr>
        <w:t>Следниот дел од извештајот дава одбрани примери од секој План за насочена акција и од секоја влада за активностите што се спроведени и за тоа како овие акции придонесуваат за подобрување на резултатите за луѓето со онеспособеност.</w:t>
      </w:r>
    </w:p>
    <w:p w14:paraId="66B0D314" w14:textId="364F4688" w:rsidR="00D1030A" w:rsidRPr="005114E7" w:rsidRDefault="00D1030A">
      <w:pPr>
        <w:rPr>
          <w:rFonts w:cs="Arial"/>
          <w:sz w:val="20"/>
          <w:szCs w:val="20"/>
        </w:rPr>
      </w:pPr>
      <w:r w:rsidRPr="005114E7">
        <w:rPr>
          <w:rFonts w:cs="Arial"/>
          <w:sz w:val="20"/>
          <w:szCs w:val="20"/>
        </w:rPr>
        <w:br w:type="page"/>
      </w:r>
    </w:p>
    <w:p w14:paraId="64ADD195" w14:textId="60B6387B" w:rsidR="00D1030A" w:rsidRPr="005114E7" w:rsidRDefault="00EC476F" w:rsidP="00515A1C">
      <w:pPr>
        <w:pStyle w:val="Heading2"/>
      </w:pPr>
      <w:bookmarkStart w:id="30" w:name="_Toc153454146"/>
      <w:r w:rsidRPr="00D36EB6">
        <w:rPr>
          <w:rFonts w:cs="Arial"/>
          <w:lang w:val="mk-MK"/>
        </w:rPr>
        <w:lastRenderedPageBreak/>
        <w:t>Работници со онеспособеност во јавниот сектор во Квинсленд</w:t>
      </w:r>
      <w:bookmarkEnd w:id="30"/>
    </w:p>
    <w:p w14:paraId="02B2F8C2" w14:textId="77777777" w:rsidR="00EC476F" w:rsidRPr="00D36EB6" w:rsidRDefault="00EC476F" w:rsidP="00EC476F">
      <w:pPr>
        <w:spacing w:before="240" w:after="240" w:line="240" w:lineRule="auto"/>
        <w:rPr>
          <w:rFonts w:cs="Arial"/>
          <w:b/>
          <w:lang w:val="mk-MK"/>
        </w:rPr>
      </w:pPr>
      <w:r w:rsidRPr="00D36EB6">
        <w:rPr>
          <w:rFonts w:cs="Arial"/>
          <w:b/>
          <w:lang w:val="mk-MK"/>
        </w:rPr>
        <w:t>Надлежност</w:t>
      </w:r>
      <w:r w:rsidRPr="00D36EB6">
        <w:rPr>
          <w:rFonts w:cs="Arial"/>
          <w:b/>
        </w:rPr>
        <w:t xml:space="preserve">: </w:t>
      </w:r>
      <w:r w:rsidRPr="00D36EB6">
        <w:rPr>
          <w:rFonts w:cs="Arial"/>
          <w:lang w:val="mk-MK"/>
        </w:rPr>
        <w:t>Квинсленд</w:t>
      </w:r>
    </w:p>
    <w:p w14:paraId="26FDD410" w14:textId="77777777" w:rsidR="00EC476F" w:rsidRPr="00D36EB6" w:rsidRDefault="00EC476F" w:rsidP="00EC476F">
      <w:pPr>
        <w:spacing w:before="240" w:after="240" w:line="240" w:lineRule="auto"/>
        <w:rPr>
          <w:rFonts w:cs="Arial"/>
        </w:rPr>
      </w:pPr>
      <w:r w:rsidRPr="00D36EB6">
        <w:rPr>
          <w:rFonts w:cs="Arial"/>
          <w:b/>
          <w:lang w:val="mk-MK"/>
        </w:rPr>
        <w:t>План за насочена акција</w:t>
      </w:r>
      <w:r w:rsidRPr="00D36EB6">
        <w:rPr>
          <w:rFonts w:cs="Arial"/>
          <w:b/>
        </w:rPr>
        <w:t xml:space="preserve">: </w:t>
      </w:r>
      <w:r w:rsidRPr="00D36EB6">
        <w:rPr>
          <w:rFonts w:cs="Arial"/>
          <w:lang w:val="mk-MK"/>
        </w:rPr>
        <w:t>Вработување</w:t>
      </w:r>
      <w:r w:rsidRPr="00D36EB6">
        <w:rPr>
          <w:rFonts w:cs="Arial"/>
        </w:rPr>
        <w:t xml:space="preserve"> </w:t>
      </w:r>
    </w:p>
    <w:p w14:paraId="72BD3C62" w14:textId="77777777" w:rsidR="00EC476F" w:rsidRPr="00D36EB6" w:rsidRDefault="00EC476F" w:rsidP="00EC476F">
      <w:pPr>
        <w:spacing w:before="240" w:after="240" w:line="240" w:lineRule="auto"/>
        <w:rPr>
          <w:rFonts w:cs="Arial"/>
          <w:lang w:val="mk-MK"/>
        </w:rPr>
      </w:pPr>
      <w:r w:rsidRPr="00D36EB6">
        <w:rPr>
          <w:rFonts w:cs="Arial"/>
          <w:b/>
          <w:lang w:val="mk-MK"/>
        </w:rPr>
        <w:t>Цел на планот за насочена акција</w:t>
      </w:r>
      <w:r w:rsidRPr="00D36EB6">
        <w:rPr>
          <w:rFonts w:cs="Arial"/>
          <w:b/>
        </w:rPr>
        <w:t xml:space="preserve">: </w:t>
      </w:r>
      <w:r w:rsidRPr="00D36EB6">
        <w:rPr>
          <w:rFonts w:cs="Arial"/>
        </w:rPr>
        <w:t>1.</w:t>
      </w:r>
      <w:r w:rsidRPr="00D36EB6">
        <w:rPr>
          <w:rFonts w:cs="Arial"/>
          <w:lang w:val="mk-MK"/>
        </w:rPr>
        <w:t xml:space="preserve"> Да се зголеми стапката на вработеност на луѓето со онеспособеност.</w:t>
      </w:r>
    </w:p>
    <w:p w14:paraId="60C272E3" w14:textId="77777777" w:rsidR="00EC476F" w:rsidRPr="00D36EB6" w:rsidRDefault="00EC476F" w:rsidP="00EC476F">
      <w:pPr>
        <w:spacing w:before="240" w:after="240" w:line="240" w:lineRule="auto"/>
        <w:rPr>
          <w:rFonts w:cs="Arial"/>
        </w:rPr>
      </w:pPr>
      <w:r w:rsidRPr="00D36EB6">
        <w:rPr>
          <w:rFonts w:cs="Arial"/>
          <w:b/>
          <w:lang w:val="mk-MK"/>
        </w:rPr>
        <w:t>Акција</w:t>
      </w:r>
      <w:r w:rsidRPr="00D36EB6">
        <w:rPr>
          <w:rFonts w:cs="Arial"/>
          <w:b/>
        </w:rPr>
        <w:t>:</w:t>
      </w:r>
      <w:r w:rsidRPr="00D36EB6">
        <w:rPr>
          <w:rFonts w:cs="Arial"/>
        </w:rPr>
        <w:t xml:space="preserve"> 1.4 </w:t>
      </w:r>
      <w:r w:rsidRPr="00D36EB6">
        <w:rPr>
          <w:rFonts w:cs="Arial"/>
          <w:lang w:val="mk-MK"/>
        </w:rPr>
        <w:t>Да се изработи следниот Државен план за онеспособеност во соработка со Работничката партија на Квинсленд, преку сосредоточување на можностите за вработување за луѓето со онеспособеност.</w:t>
      </w:r>
    </w:p>
    <w:p w14:paraId="1EBE4EE6" w14:textId="77777777" w:rsidR="00EC476F" w:rsidRPr="00D36EB6" w:rsidRDefault="00EC476F" w:rsidP="00EC476F">
      <w:pPr>
        <w:spacing w:before="240" w:after="240" w:line="240" w:lineRule="auto"/>
        <w:rPr>
          <w:rFonts w:cs="Arial"/>
          <w:b/>
        </w:rPr>
      </w:pPr>
      <w:r w:rsidRPr="00D36EB6">
        <w:rPr>
          <w:rFonts w:cs="Arial"/>
          <w:b/>
          <w:lang w:val="mk-MK"/>
        </w:rPr>
        <w:t>Показател</w:t>
      </w:r>
      <w:r w:rsidRPr="00D36EB6">
        <w:rPr>
          <w:rFonts w:cs="Arial"/>
          <w:b/>
        </w:rPr>
        <w:t xml:space="preserve">: </w:t>
      </w:r>
    </w:p>
    <w:p w14:paraId="05E59EA2" w14:textId="77777777" w:rsidR="00EC476F" w:rsidRPr="00D36EB6" w:rsidRDefault="00EC476F" w:rsidP="00EC476F">
      <w:pPr>
        <w:pStyle w:val="ListParagraph"/>
        <w:numPr>
          <w:ilvl w:val="0"/>
          <w:numId w:val="9"/>
        </w:numPr>
        <w:spacing w:after="120" w:line="240" w:lineRule="auto"/>
        <w:contextualSpacing w:val="0"/>
        <w:rPr>
          <w:rFonts w:cs="Arial"/>
        </w:rPr>
      </w:pPr>
      <w:r w:rsidRPr="00D36EB6">
        <w:rPr>
          <w:rFonts w:cs="Arial"/>
          <w:lang w:val="mk-MK"/>
        </w:rPr>
        <w:t>Новиот државен план за онеспособеност подразбира сосредоточување на можностите за вработување за луѓето со онеспособеност.</w:t>
      </w:r>
    </w:p>
    <w:p w14:paraId="55034E7E" w14:textId="77777777" w:rsidR="00EC476F" w:rsidRPr="00D36EB6" w:rsidRDefault="00EC476F" w:rsidP="00EC476F">
      <w:pPr>
        <w:pStyle w:val="ListParagraph"/>
        <w:numPr>
          <w:ilvl w:val="0"/>
          <w:numId w:val="9"/>
        </w:numPr>
        <w:spacing w:after="120" w:line="240" w:lineRule="auto"/>
        <w:contextualSpacing w:val="0"/>
        <w:rPr>
          <w:rFonts w:cs="Arial"/>
        </w:rPr>
      </w:pPr>
      <w:r w:rsidRPr="00D36EB6">
        <w:rPr>
          <w:rFonts w:cs="Arial"/>
          <w:lang w:val="mk-MK"/>
        </w:rPr>
        <w:t>Бројот на жители на Квинсленд со онеспособеност кои се вработени е зголемен и во јавниот и во приватниот сектор ширум Квинсленд.</w:t>
      </w:r>
    </w:p>
    <w:p w14:paraId="7AE726F7" w14:textId="77777777" w:rsidR="00EC476F" w:rsidRPr="00D36EB6" w:rsidRDefault="00EC476F" w:rsidP="00EC476F">
      <w:pPr>
        <w:spacing w:before="240" w:after="240" w:line="240" w:lineRule="auto"/>
        <w:rPr>
          <w:rFonts w:cs="Arial"/>
          <w:lang w:val="mk-MK"/>
        </w:rPr>
      </w:pPr>
      <w:r w:rsidRPr="00D36EB6">
        <w:rPr>
          <w:rFonts w:cs="Arial"/>
          <w:b/>
          <w:lang w:val="mk-MK"/>
        </w:rPr>
        <w:t>Состојба</w:t>
      </w:r>
      <w:r w:rsidRPr="00D36EB6">
        <w:rPr>
          <w:rFonts w:cs="Arial"/>
          <w:b/>
        </w:rPr>
        <w:t xml:space="preserve">: </w:t>
      </w:r>
      <w:r w:rsidRPr="00D36EB6">
        <w:rPr>
          <w:rFonts w:cs="Arial"/>
          <w:lang w:val="mk-MK"/>
        </w:rPr>
        <w:t>Завршено</w:t>
      </w:r>
    </w:p>
    <w:p w14:paraId="10CEC0DA" w14:textId="77777777" w:rsidR="00EC476F" w:rsidRPr="00D36EB6" w:rsidRDefault="00EC476F" w:rsidP="00EC476F">
      <w:pPr>
        <w:spacing w:before="240" w:after="240" w:line="240" w:lineRule="auto"/>
        <w:rPr>
          <w:rFonts w:cs="Arial"/>
          <w:b/>
        </w:rPr>
      </w:pPr>
      <w:r w:rsidRPr="00D36EB6">
        <w:rPr>
          <w:rFonts w:cs="Arial"/>
          <w:b/>
          <w:lang w:val="mk-MK"/>
        </w:rPr>
        <w:t>Опис</w:t>
      </w:r>
      <w:r w:rsidRPr="00D36EB6">
        <w:rPr>
          <w:rFonts w:cs="Arial"/>
          <w:b/>
        </w:rPr>
        <w:t>:</w:t>
      </w:r>
    </w:p>
    <w:p w14:paraId="66C92D0E" w14:textId="77777777" w:rsidR="00EC476F" w:rsidRPr="00D36EB6" w:rsidRDefault="00F83AB6" w:rsidP="00EC476F">
      <w:pPr>
        <w:autoSpaceDE w:val="0"/>
        <w:autoSpaceDN w:val="0"/>
        <w:adjustRightInd w:val="0"/>
        <w:spacing w:before="240" w:after="240" w:line="240" w:lineRule="auto"/>
        <w:rPr>
          <w:rFonts w:cs="Arial"/>
        </w:rPr>
      </w:pPr>
      <w:hyperlink r:id="rId18" w:history="1">
        <w:r w:rsidR="00EC476F" w:rsidRPr="00D36EB6">
          <w:rPr>
            <w:rStyle w:val="Hyperlink"/>
            <w:rFonts w:cs="Arial"/>
            <w:i/>
            <w:iCs/>
            <w:lang w:val="mk-MK" w:eastAsia="mk-MK"/>
          </w:rPr>
          <w:t xml:space="preserve">Планот за онеспособеност на Квинсленд 2022-27: Заедно градиме подобар Квинсленд </w:t>
        </w:r>
        <w:r w:rsidR="00EC476F" w:rsidRPr="00D36EB6">
          <w:rPr>
            <w:rStyle w:val="Hyperlink"/>
            <w:rFonts w:cs="Arial"/>
            <w:lang w:val="mk-MK" w:eastAsia="mk-MK"/>
          </w:rPr>
          <w:t>(</w:t>
        </w:r>
        <w:r w:rsidR="00EC476F" w:rsidRPr="00D36EB6">
          <w:rPr>
            <w:rStyle w:val="Hyperlink"/>
            <w:rFonts w:cs="Arial"/>
            <w:i/>
            <w:iCs/>
            <w:lang w:val="mk-MK" w:eastAsia="mk-MK"/>
          </w:rPr>
          <w:t xml:space="preserve">Queensland's Disability Plan 2022-27: Together, a better Queensland - </w:t>
        </w:r>
        <w:r w:rsidR="00EC476F" w:rsidRPr="00D36EB6">
          <w:rPr>
            <w:rStyle w:val="Hyperlink"/>
            <w:rFonts w:cs="Arial"/>
            <w:lang w:val="mk-MK" w:eastAsia="mk-MK"/>
          </w:rPr>
          <w:t>QDP)</w:t>
        </w:r>
      </w:hyperlink>
      <w:r w:rsidR="00EC476F" w:rsidRPr="00D36EB6">
        <w:rPr>
          <w:rFonts w:cs="Arial"/>
        </w:rPr>
        <w:t xml:space="preserve"> </w:t>
      </w:r>
      <w:r w:rsidR="00EC476F" w:rsidRPr="00D36EB6">
        <w:rPr>
          <w:rFonts w:cs="Arial"/>
          <w:lang w:val="mk-MK"/>
        </w:rPr>
        <w:t>беше објавен во ноември 2022 г. Планот</w:t>
      </w:r>
      <w:r w:rsidR="00EC476F" w:rsidRPr="00D36EB6">
        <w:rPr>
          <w:rFonts w:cs="Arial"/>
        </w:rPr>
        <w:t xml:space="preserve"> QDP</w:t>
      </w:r>
      <w:r w:rsidR="00EC476F" w:rsidRPr="00D36EB6">
        <w:rPr>
          <w:rFonts w:cs="Arial"/>
          <w:lang w:val="mk-MK"/>
        </w:rPr>
        <w:t xml:space="preserve"> претставува највисок механизам за применување на заложбите на Квинсленд во поглед на </w:t>
      </w:r>
      <w:r w:rsidR="00EC476F" w:rsidRPr="00D36EB6">
        <w:rPr>
          <w:rFonts w:cs="Arial"/>
          <w:i/>
          <w:lang w:val="mk-MK"/>
        </w:rPr>
        <w:t>Австралиската стратегија за онеспособеност</w:t>
      </w:r>
      <w:r w:rsidR="00EC476F" w:rsidRPr="00D36EB6">
        <w:rPr>
          <w:rFonts w:cs="Arial"/>
          <w:i/>
        </w:rPr>
        <w:t xml:space="preserve"> 2021-2031</w:t>
      </w:r>
      <w:r w:rsidR="00EC476F" w:rsidRPr="00D36EB6">
        <w:rPr>
          <w:rFonts w:cs="Arial"/>
        </w:rPr>
        <w:t xml:space="preserve"> (ADS)</w:t>
      </w:r>
      <w:r w:rsidR="00EC476F" w:rsidRPr="00D36EB6">
        <w:rPr>
          <w:rFonts w:cs="Arial"/>
          <w:lang w:val="mk-MK"/>
        </w:rPr>
        <w:t xml:space="preserve"> и беше осмислен заеднички со луѓето со онеспособеност</w:t>
      </w:r>
      <w:r w:rsidR="00EC476F" w:rsidRPr="00D36EB6">
        <w:rPr>
          <w:rFonts w:cs="Arial"/>
        </w:rPr>
        <w:t>.</w:t>
      </w:r>
    </w:p>
    <w:p w14:paraId="4ED26553" w14:textId="77777777" w:rsidR="00EC476F" w:rsidRPr="00D36EB6" w:rsidRDefault="00EC476F" w:rsidP="00EC476F">
      <w:pPr>
        <w:spacing w:before="240" w:after="240" w:line="240" w:lineRule="auto"/>
        <w:rPr>
          <w:rFonts w:eastAsia="Times New Roman" w:cs="Arial"/>
          <w:lang w:eastAsia="en-AU"/>
        </w:rPr>
      </w:pPr>
      <w:r w:rsidRPr="00D36EB6">
        <w:rPr>
          <w:rFonts w:eastAsia="Times New Roman" w:cs="Arial"/>
          <w:lang w:val="mk-MK" w:eastAsia="en-AU"/>
        </w:rPr>
        <w:t>Планот</w:t>
      </w:r>
      <w:r w:rsidRPr="00D36EB6">
        <w:rPr>
          <w:rFonts w:eastAsia="Times New Roman" w:cs="Arial"/>
          <w:lang w:eastAsia="en-AU"/>
        </w:rPr>
        <w:t xml:space="preserve"> QDP</w:t>
      </w:r>
      <w:r w:rsidRPr="00D36EB6">
        <w:rPr>
          <w:rFonts w:eastAsia="Times New Roman" w:cs="Arial"/>
          <w:lang w:val="mk-MK" w:eastAsia="en-AU"/>
        </w:rPr>
        <w:t xml:space="preserve"> ги усвојува седумте области во коишто треба да се постигнат резултати од Стратегијата</w:t>
      </w:r>
      <w:r w:rsidRPr="00D36EB6">
        <w:rPr>
          <w:rFonts w:eastAsia="Times New Roman" w:cs="Arial"/>
          <w:lang w:eastAsia="en-AU"/>
        </w:rPr>
        <w:t xml:space="preserve"> ADS</w:t>
      </w:r>
      <w:r w:rsidRPr="00D36EB6">
        <w:rPr>
          <w:rFonts w:eastAsia="Times New Roman" w:cs="Arial"/>
          <w:lang w:val="mk-MK" w:eastAsia="en-AU"/>
        </w:rPr>
        <w:t xml:space="preserve"> и претставува повик за акција на сите нивоа на власта, во индустријата и во заедницата за да се прошират заложбите за градење на инклузивен Квинсленд.</w:t>
      </w:r>
    </w:p>
    <w:p w14:paraId="788608ED" w14:textId="77777777" w:rsidR="00EC476F" w:rsidRPr="00D36EB6" w:rsidRDefault="00EC476F" w:rsidP="00EC476F">
      <w:pPr>
        <w:spacing w:before="240" w:after="240" w:line="240" w:lineRule="auto"/>
        <w:rPr>
          <w:rFonts w:eastAsia="Times New Roman" w:cs="Arial"/>
          <w:lang w:eastAsia="en-AU"/>
        </w:rPr>
      </w:pPr>
      <w:r w:rsidRPr="00D36EB6">
        <w:rPr>
          <w:rFonts w:eastAsia="Times New Roman" w:cs="Arial"/>
          <w:lang w:val="mk-MK" w:eastAsia="en-AU"/>
        </w:rPr>
        <w:t>Владата на Квинсленд се залага да ги спроведе своите акции во склоп на поединечните Планови за насочена акција за да го подобри пристапот до образование, вработување, соодветно домување и општество во коешто ќе нема пречки ниту осуда.</w:t>
      </w:r>
    </w:p>
    <w:p w14:paraId="49115BE4" w14:textId="77777777" w:rsidR="00EC476F" w:rsidRPr="00D36EB6" w:rsidRDefault="00EC476F" w:rsidP="00EC476F">
      <w:pPr>
        <w:spacing w:before="240" w:after="240" w:line="240" w:lineRule="auto"/>
        <w:rPr>
          <w:rFonts w:eastAsia="Times New Roman" w:cs="Arial"/>
          <w:lang w:val="mk-MK" w:eastAsia="en-AU"/>
        </w:rPr>
      </w:pPr>
      <w:r w:rsidRPr="00D36EB6">
        <w:rPr>
          <w:rFonts w:eastAsia="Times New Roman" w:cs="Arial"/>
          <w:lang w:val="mk-MK" w:eastAsia="en-AU"/>
        </w:rPr>
        <w:t>Планот</w:t>
      </w:r>
      <w:r w:rsidRPr="00D36EB6">
        <w:rPr>
          <w:rFonts w:eastAsia="Times New Roman" w:cs="Arial"/>
          <w:lang w:eastAsia="en-AU"/>
        </w:rPr>
        <w:t xml:space="preserve"> QDP</w:t>
      </w:r>
      <w:r w:rsidRPr="00D36EB6">
        <w:rPr>
          <w:rFonts w:eastAsia="Times New Roman" w:cs="Arial"/>
          <w:lang w:val="mk-MK" w:eastAsia="en-AU"/>
        </w:rPr>
        <w:t xml:space="preserve"> ја насочува изработката на Планови за услуги за онеспособеност (</w:t>
      </w:r>
      <w:r w:rsidRPr="00D36EB6">
        <w:rPr>
          <w:rFonts w:eastAsia="Times New Roman" w:cs="Arial"/>
          <w:lang w:eastAsia="en-AU"/>
        </w:rPr>
        <w:t>Disability Service Plans</w:t>
      </w:r>
      <w:r w:rsidRPr="00D36EB6">
        <w:rPr>
          <w:rFonts w:eastAsia="Times New Roman" w:cs="Arial"/>
          <w:lang w:val="mk-MK" w:eastAsia="en-AU"/>
        </w:rPr>
        <w:t xml:space="preserve"> - </w:t>
      </w:r>
      <w:r w:rsidRPr="00D36EB6">
        <w:rPr>
          <w:rFonts w:eastAsia="Times New Roman" w:cs="Arial"/>
          <w:lang w:eastAsia="en-AU"/>
        </w:rPr>
        <w:t>DSPs)</w:t>
      </w:r>
      <w:r w:rsidRPr="00D36EB6">
        <w:rPr>
          <w:rFonts w:eastAsia="Times New Roman" w:cs="Arial"/>
          <w:lang w:val="mk-MK" w:eastAsia="en-AU"/>
        </w:rPr>
        <w:t xml:space="preserve"> во државните оддели. Секој раководител на оддел во Квинсленд има законска обврска да изработи план DSP. Планот QDP утврдува дека, покрај тоа што има инклузивни работни места и центри за услуги, невладиниот сектор исто така може да размисли за тоа да изработи планови за акција за онеспособеноста за да известува за постигнувањата и за стапката на вработеност на луѓето со онеспособеност.</w:t>
      </w:r>
    </w:p>
    <w:p w14:paraId="39FF13F8" w14:textId="77777777" w:rsidR="00EC476F" w:rsidRPr="00D36EB6" w:rsidRDefault="00EC476F" w:rsidP="00EC476F">
      <w:pPr>
        <w:spacing w:before="240" w:after="240" w:line="240" w:lineRule="auto"/>
        <w:rPr>
          <w:rFonts w:eastAsia="Times New Roman" w:cs="Arial"/>
          <w:lang w:val="mk-MK" w:eastAsia="en-AU"/>
        </w:rPr>
      </w:pPr>
      <w:r w:rsidRPr="00D36EB6">
        <w:rPr>
          <w:rFonts w:eastAsia="Times New Roman" w:cs="Arial"/>
          <w:lang w:val="mk-MK" w:eastAsia="en-AU"/>
        </w:rPr>
        <w:t>Секоја година ќе биде објавуван извештај за напредокот. Кон крајот на петгодишниот период ќе биде извршено оценување на влијанието и делотворноста на планот QDP.</w:t>
      </w:r>
    </w:p>
    <w:p w14:paraId="7B90F279" w14:textId="09ADD847" w:rsidR="00EC476F" w:rsidRPr="005114E7" w:rsidRDefault="00EC476F" w:rsidP="00EC476F">
      <w:pPr>
        <w:spacing w:before="240" w:after="240" w:line="240" w:lineRule="auto"/>
      </w:pPr>
      <w:r w:rsidRPr="00D36EB6">
        <w:rPr>
          <w:rFonts w:cs="Arial"/>
          <w:lang w:val="mk-MK" w:eastAsia="en-AU"/>
        </w:rPr>
        <w:lastRenderedPageBreak/>
        <w:t xml:space="preserve">Во јуни 2023 г. Квинсленд беше домаќин на првиот форум на </w:t>
      </w:r>
      <w:r w:rsidRPr="00D36EB6">
        <w:rPr>
          <w:rFonts w:cs="Arial"/>
          <w:i/>
          <w:lang w:val="mk-MK" w:eastAsia="en-AU"/>
        </w:rPr>
        <w:t xml:space="preserve">Австралиската стратегија за онеспособеност, </w:t>
      </w:r>
      <w:r w:rsidRPr="00D36EB6">
        <w:rPr>
          <w:rFonts w:cs="Arial"/>
          <w:lang w:val="mk-MK" w:eastAsia="en-AU"/>
        </w:rPr>
        <w:t>насловен</w:t>
      </w:r>
      <w:r w:rsidRPr="00D36EB6">
        <w:rPr>
          <w:rFonts w:cs="Arial"/>
          <w:b/>
          <w:lang w:eastAsia="en-AU"/>
        </w:rPr>
        <w:t xml:space="preserve"> </w:t>
      </w:r>
      <w:hyperlink r:id="rId19" w:history="1">
        <w:r w:rsidRPr="00D36EB6">
          <w:rPr>
            <w:rStyle w:val="Hyperlink"/>
            <w:rFonts w:cs="Arial"/>
            <w:lang w:val="mk-MK" w:eastAsia="mk-MK"/>
          </w:rPr>
          <w:t>‘</w:t>
        </w:r>
        <w:r w:rsidRPr="00D36EB6">
          <w:rPr>
            <w:rStyle w:val="Hyperlink"/>
            <w:rFonts w:cs="Arial"/>
            <w:i/>
            <w:iCs/>
            <w:lang w:val="mk-MK" w:eastAsia="mk-MK"/>
          </w:rPr>
          <w:t>Заеднички градиме инклузивен Квинсленд</w:t>
        </w:r>
        <w:r w:rsidRPr="00D36EB6">
          <w:rPr>
            <w:rStyle w:val="Hyperlink"/>
            <w:rFonts w:cs="Arial"/>
            <w:lang w:val="mk-MK" w:eastAsia="mk-MK"/>
          </w:rPr>
          <w:t>’</w:t>
        </w:r>
      </w:hyperlink>
      <w:r w:rsidRPr="00D36EB6">
        <w:rPr>
          <w:rFonts w:cs="Arial"/>
          <w:lang w:val="mk-MK" w:eastAsia="en-AU"/>
        </w:rPr>
        <w:t>. Форумот ги претстави Стратегијата ADS и Планот QDP преку панелни дискусии сосредоточени на вработувањето и вклученоста на дело, во коишто учествуваа претставници од секторот за онеспособеност, од пошироката индустрија, од владата и од заедницата.</w:t>
      </w:r>
    </w:p>
    <w:p w14:paraId="111DA4BD" w14:textId="4416B5A5" w:rsidR="00F60B29" w:rsidRPr="005114E7" w:rsidRDefault="00F60B29">
      <w:r w:rsidRPr="005114E7">
        <w:br w:type="page"/>
      </w:r>
    </w:p>
    <w:p w14:paraId="7F566F52" w14:textId="53AA391C" w:rsidR="00DC4167" w:rsidRPr="000913CE" w:rsidRDefault="000913CE" w:rsidP="00515A1C">
      <w:pPr>
        <w:pStyle w:val="Heading2"/>
        <w:rPr>
          <w:szCs w:val="40"/>
        </w:rPr>
      </w:pPr>
      <w:bookmarkStart w:id="31" w:name="_Toc153454147"/>
      <w:proofErr w:type="spellStart"/>
      <w:r w:rsidRPr="000913CE">
        <w:rPr>
          <w:szCs w:val="40"/>
        </w:rPr>
        <w:lastRenderedPageBreak/>
        <w:t>Пробни</w:t>
      </w:r>
      <w:proofErr w:type="spellEnd"/>
      <w:r w:rsidRPr="000913CE">
        <w:rPr>
          <w:szCs w:val="40"/>
        </w:rPr>
        <w:t xml:space="preserve"> </w:t>
      </w:r>
      <w:proofErr w:type="spellStart"/>
      <w:r w:rsidRPr="000913CE">
        <w:rPr>
          <w:szCs w:val="40"/>
        </w:rPr>
        <w:t>програми</w:t>
      </w:r>
      <w:proofErr w:type="spellEnd"/>
      <w:r w:rsidRPr="000913CE">
        <w:rPr>
          <w:szCs w:val="40"/>
        </w:rPr>
        <w:t xml:space="preserve"> </w:t>
      </w:r>
      <w:proofErr w:type="spellStart"/>
      <w:r w:rsidRPr="000913CE">
        <w:rPr>
          <w:szCs w:val="40"/>
        </w:rPr>
        <w:t>за</w:t>
      </w:r>
      <w:proofErr w:type="spellEnd"/>
      <w:r w:rsidRPr="000913CE">
        <w:rPr>
          <w:szCs w:val="40"/>
        </w:rPr>
        <w:t xml:space="preserve"> </w:t>
      </w:r>
      <w:proofErr w:type="spellStart"/>
      <w:r w:rsidRPr="000913CE">
        <w:rPr>
          <w:szCs w:val="40"/>
        </w:rPr>
        <w:t>вработување</w:t>
      </w:r>
      <w:bookmarkEnd w:id="31"/>
      <w:proofErr w:type="spellEnd"/>
    </w:p>
    <w:p w14:paraId="5323DC69" w14:textId="77777777" w:rsidR="000913CE" w:rsidRPr="00D36EB6" w:rsidRDefault="000913CE" w:rsidP="000913CE">
      <w:pPr>
        <w:spacing w:before="240" w:after="240" w:line="240" w:lineRule="auto"/>
        <w:rPr>
          <w:rFonts w:cs="Arial"/>
          <w:lang w:val="mk-MK"/>
        </w:rPr>
      </w:pPr>
      <w:r w:rsidRPr="00D36EB6">
        <w:rPr>
          <w:rFonts w:cs="Arial"/>
          <w:b/>
          <w:bCs/>
          <w:lang w:val="mk-MK"/>
        </w:rPr>
        <w:t>Надлежност</w:t>
      </w:r>
      <w:r w:rsidRPr="00D36EB6">
        <w:rPr>
          <w:rFonts w:cs="Arial"/>
          <w:b/>
          <w:bCs/>
        </w:rPr>
        <w:t xml:space="preserve">: </w:t>
      </w:r>
      <w:r w:rsidRPr="00D36EB6">
        <w:rPr>
          <w:rFonts w:cs="Arial"/>
          <w:lang w:val="mk-MK"/>
        </w:rPr>
        <w:t>Одделот за социјални служби (</w:t>
      </w:r>
      <w:r w:rsidRPr="00D36EB6">
        <w:rPr>
          <w:rFonts w:cs="Arial"/>
        </w:rPr>
        <w:t>Department of Social Services</w:t>
      </w:r>
      <w:r w:rsidRPr="00D36EB6">
        <w:rPr>
          <w:rFonts w:cs="Arial"/>
          <w:lang w:val="mk-MK"/>
        </w:rPr>
        <w:t>) на австралиската влада</w:t>
      </w:r>
    </w:p>
    <w:p w14:paraId="21CB9611" w14:textId="77777777" w:rsidR="000913CE" w:rsidRPr="00D36EB6" w:rsidRDefault="000913CE" w:rsidP="000913CE">
      <w:pPr>
        <w:spacing w:before="240" w:after="240" w:line="240" w:lineRule="auto"/>
        <w:rPr>
          <w:rFonts w:cs="Arial"/>
        </w:rPr>
      </w:pPr>
      <w:r w:rsidRPr="00D36EB6">
        <w:rPr>
          <w:rFonts w:cs="Arial"/>
          <w:b/>
          <w:bCs/>
          <w:lang w:val="mk-MK"/>
        </w:rPr>
        <w:t>План за насочена акција</w:t>
      </w:r>
      <w:r w:rsidRPr="00D36EB6">
        <w:rPr>
          <w:rFonts w:cs="Arial"/>
          <w:b/>
          <w:bCs/>
        </w:rPr>
        <w:t xml:space="preserve">: </w:t>
      </w:r>
      <w:r w:rsidRPr="00D36EB6">
        <w:rPr>
          <w:rFonts w:cs="Arial"/>
          <w:lang w:val="mk-MK"/>
        </w:rPr>
        <w:t>Вработување</w:t>
      </w:r>
      <w:r w:rsidRPr="00D36EB6">
        <w:rPr>
          <w:rFonts w:cs="Arial"/>
        </w:rPr>
        <w:t xml:space="preserve"> </w:t>
      </w:r>
    </w:p>
    <w:p w14:paraId="1A48CF90" w14:textId="77777777" w:rsidR="000913CE" w:rsidRPr="00D36EB6" w:rsidRDefault="000913CE" w:rsidP="000913CE">
      <w:pPr>
        <w:spacing w:before="240" w:after="240" w:line="240" w:lineRule="auto"/>
        <w:rPr>
          <w:rFonts w:cs="Arial"/>
        </w:rPr>
      </w:pPr>
      <w:r w:rsidRPr="00D36EB6">
        <w:rPr>
          <w:rFonts w:cs="Arial"/>
          <w:b/>
          <w:bCs/>
          <w:lang w:val="mk-MK"/>
        </w:rPr>
        <w:t xml:space="preserve">Цел од планот </w:t>
      </w:r>
      <w:r w:rsidRPr="00D36EB6">
        <w:rPr>
          <w:rFonts w:cs="Arial"/>
          <w:b/>
          <w:lang w:val="mk-MK"/>
        </w:rPr>
        <w:t>за насочена акција</w:t>
      </w:r>
      <w:r w:rsidRPr="00D36EB6">
        <w:rPr>
          <w:rFonts w:cs="Arial"/>
          <w:b/>
          <w:bCs/>
        </w:rPr>
        <w:t xml:space="preserve">: </w:t>
      </w:r>
      <w:r w:rsidRPr="00D36EB6">
        <w:rPr>
          <w:rFonts w:cs="Arial"/>
          <w:lang w:val="mk-MK"/>
        </w:rPr>
        <w:t>Цел</w:t>
      </w:r>
      <w:r w:rsidRPr="00D36EB6">
        <w:rPr>
          <w:rFonts w:cs="Arial"/>
        </w:rPr>
        <w:t xml:space="preserve"> 1: </w:t>
      </w:r>
      <w:r w:rsidRPr="00D36EB6">
        <w:rPr>
          <w:rFonts w:cs="Arial"/>
          <w:lang w:val="mk-MK"/>
        </w:rPr>
        <w:t xml:space="preserve">Зголемување на стапката на вработеност на луѓето со </w:t>
      </w:r>
      <w:proofErr w:type="spellStart"/>
      <w:r w:rsidRPr="00D36EB6">
        <w:rPr>
          <w:rFonts w:cs="Arial"/>
        </w:rPr>
        <w:t>онеспособеност</w:t>
      </w:r>
      <w:proofErr w:type="spellEnd"/>
      <w:r w:rsidRPr="00D36EB6">
        <w:rPr>
          <w:rFonts w:cs="Arial"/>
        </w:rPr>
        <w:t xml:space="preserve">. </w:t>
      </w:r>
    </w:p>
    <w:p w14:paraId="764F826E" w14:textId="77777777" w:rsidR="000913CE" w:rsidRPr="00D36EB6" w:rsidRDefault="000913CE" w:rsidP="000913CE">
      <w:pPr>
        <w:spacing w:before="240" w:after="240" w:line="240" w:lineRule="auto"/>
        <w:rPr>
          <w:rFonts w:cs="Arial"/>
          <w:lang w:val="en-US"/>
        </w:rPr>
      </w:pPr>
      <w:r w:rsidRPr="00D36EB6">
        <w:rPr>
          <w:rFonts w:cs="Arial"/>
          <w:b/>
          <w:bCs/>
          <w:lang w:val="mk-MK"/>
        </w:rPr>
        <w:t>Акција</w:t>
      </w:r>
      <w:r w:rsidRPr="00D36EB6">
        <w:rPr>
          <w:rFonts w:cs="Arial"/>
          <w:b/>
          <w:bCs/>
        </w:rPr>
        <w:t xml:space="preserve">: </w:t>
      </w:r>
      <w:r w:rsidRPr="00D36EB6">
        <w:rPr>
          <w:rFonts w:cs="Arial"/>
        </w:rPr>
        <w:t>1.8</w:t>
      </w:r>
      <w:r w:rsidRPr="00D36EB6">
        <w:rPr>
          <w:rFonts w:cs="Arial"/>
          <w:lang w:val="mk-MK"/>
        </w:rPr>
        <w:t xml:space="preserve"> Пробни програми за вработување – поврзување на луѓето со работните места во областите во коишто </w:t>
      </w:r>
      <w:proofErr w:type="spellStart"/>
      <w:r w:rsidRPr="00D36EB6">
        <w:rPr>
          <w:rFonts w:cs="Arial"/>
        </w:rPr>
        <w:t>има</w:t>
      </w:r>
      <w:proofErr w:type="spellEnd"/>
      <w:r w:rsidRPr="00D36EB6">
        <w:rPr>
          <w:rFonts w:cs="Arial"/>
        </w:rPr>
        <w:t xml:space="preserve"> </w:t>
      </w:r>
      <w:proofErr w:type="spellStart"/>
      <w:r w:rsidRPr="00D36EB6">
        <w:rPr>
          <w:rFonts w:cs="Arial"/>
        </w:rPr>
        <w:t>недостиг</w:t>
      </w:r>
      <w:proofErr w:type="spellEnd"/>
      <w:r w:rsidRPr="00D36EB6">
        <w:rPr>
          <w:rFonts w:cs="Arial"/>
          <w:lang w:val="mk-MK"/>
        </w:rPr>
        <w:t xml:space="preserve"> на квалификувана работна сила</w:t>
      </w:r>
      <w:r w:rsidRPr="00D36EB6">
        <w:rPr>
          <w:rFonts w:cs="Arial"/>
          <w:lang w:val="en-US"/>
        </w:rPr>
        <w:t>.</w:t>
      </w:r>
    </w:p>
    <w:p w14:paraId="634B9BDD" w14:textId="77777777" w:rsidR="000913CE" w:rsidRPr="00D36EB6" w:rsidRDefault="000913CE" w:rsidP="000913CE">
      <w:pPr>
        <w:spacing w:before="240" w:after="240" w:line="240" w:lineRule="auto"/>
        <w:rPr>
          <w:rFonts w:cs="Arial"/>
        </w:rPr>
      </w:pPr>
      <w:r w:rsidRPr="00D36EB6">
        <w:rPr>
          <w:rFonts w:cs="Arial"/>
          <w:lang w:val="mk-MK"/>
        </w:rPr>
        <w:t>Соработка со индустријата во спроведувањето на пробни програми што ги поврзуваат учесниците во Програмата за вработување на лица со онеспособеност (</w:t>
      </w:r>
      <w:r w:rsidRPr="00D36EB6">
        <w:rPr>
          <w:rFonts w:cs="Arial"/>
        </w:rPr>
        <w:t>Disability Employment Services</w:t>
      </w:r>
      <w:r w:rsidRPr="00D36EB6">
        <w:rPr>
          <w:rFonts w:cs="Arial"/>
          <w:lang w:val="mk-MK"/>
        </w:rPr>
        <w:t>) со работни места во секторите во коишто има недостиг на квалификувана работна сила</w:t>
      </w:r>
      <w:r w:rsidRPr="00D36EB6">
        <w:rPr>
          <w:rFonts w:cs="Arial"/>
        </w:rPr>
        <w:t>.</w:t>
      </w:r>
    </w:p>
    <w:p w14:paraId="66A74852" w14:textId="77777777" w:rsidR="000913CE" w:rsidRPr="00D36EB6" w:rsidRDefault="000913CE" w:rsidP="000913CE">
      <w:pPr>
        <w:spacing w:before="240" w:after="240" w:line="240" w:lineRule="auto"/>
        <w:rPr>
          <w:rFonts w:cs="Arial"/>
        </w:rPr>
      </w:pPr>
      <w:r w:rsidRPr="00D36EB6">
        <w:rPr>
          <w:rFonts w:cs="Arial"/>
          <w:b/>
          <w:bCs/>
          <w:lang w:val="mk-MK"/>
        </w:rPr>
        <w:t>Показател</w:t>
      </w:r>
      <w:r w:rsidRPr="00D36EB6">
        <w:rPr>
          <w:rFonts w:cs="Arial"/>
          <w:b/>
          <w:bCs/>
        </w:rPr>
        <w:t xml:space="preserve">: </w:t>
      </w:r>
      <w:r w:rsidRPr="00D36EB6">
        <w:rPr>
          <w:rFonts w:cs="Arial"/>
          <w:lang w:val="mk-MK"/>
        </w:rPr>
        <w:t>Показателите ќе бидат приспособени за секоја одделна пробна програма</w:t>
      </w:r>
      <w:r w:rsidRPr="00D36EB6">
        <w:rPr>
          <w:rFonts w:cs="Arial"/>
        </w:rPr>
        <w:t>.</w:t>
      </w:r>
    </w:p>
    <w:p w14:paraId="3A8E663A" w14:textId="77777777" w:rsidR="000913CE" w:rsidRPr="00D36EB6" w:rsidRDefault="000913CE" w:rsidP="000913CE">
      <w:pPr>
        <w:spacing w:before="240" w:after="240" w:line="240" w:lineRule="auto"/>
        <w:rPr>
          <w:rFonts w:cs="Arial"/>
          <w:b/>
        </w:rPr>
      </w:pPr>
      <w:r w:rsidRPr="00D36EB6">
        <w:rPr>
          <w:rFonts w:cs="Arial"/>
          <w:b/>
          <w:bCs/>
          <w:lang w:val="mk-MK"/>
        </w:rPr>
        <w:t>Состојба</w:t>
      </w:r>
      <w:r w:rsidRPr="00D36EB6">
        <w:rPr>
          <w:rFonts w:cs="Arial"/>
          <w:b/>
          <w:bCs/>
        </w:rPr>
        <w:t xml:space="preserve">: </w:t>
      </w:r>
      <w:r w:rsidRPr="00D36EB6">
        <w:rPr>
          <w:rFonts w:cs="Arial"/>
          <w:lang w:val="mk-MK"/>
        </w:rPr>
        <w:t>Во тек</w:t>
      </w:r>
    </w:p>
    <w:p w14:paraId="03F4A341" w14:textId="77777777" w:rsidR="000913CE" w:rsidRPr="00D36EB6" w:rsidRDefault="000913CE" w:rsidP="000913CE">
      <w:pPr>
        <w:spacing w:before="240" w:after="240" w:line="240" w:lineRule="auto"/>
        <w:rPr>
          <w:rFonts w:cs="Arial"/>
          <w:lang w:val="mk-MK"/>
        </w:rPr>
      </w:pPr>
      <w:r w:rsidRPr="00D36EB6">
        <w:rPr>
          <w:rFonts w:cs="Arial"/>
          <w:lang w:val="mk-MK"/>
        </w:rPr>
        <w:t>Одделот за социјални служби и државната агенција</w:t>
      </w:r>
      <w:r w:rsidRPr="00D36EB6">
        <w:rPr>
          <w:rFonts w:cs="Arial"/>
        </w:rPr>
        <w:t xml:space="preserve"> </w:t>
      </w:r>
      <w:proofErr w:type="spellStart"/>
      <w:r w:rsidRPr="00D36EB6">
        <w:rPr>
          <w:rFonts w:cs="Arial"/>
        </w:rPr>
        <w:t>Austrade</w:t>
      </w:r>
      <w:proofErr w:type="spellEnd"/>
      <w:r w:rsidRPr="00D36EB6">
        <w:rPr>
          <w:rFonts w:cs="Arial"/>
          <w:lang w:val="mk-MK"/>
        </w:rPr>
        <w:t xml:space="preserve"> заеднички соработуваа за да изработат пробна програма за испробување на нов пристап кон подобрувањето на резултатите во поглед на вработувањето на луѓето со онеспособеност. Пробната програма за локални поврзувачи во индустријата за туризам (Tourism Local Navigators Pilot) ќе обезбеди локални поврзувачи во целните региони за да им помогне на малите и на средните бизниси од индустријата за туризам да направат реформи во културата на работното место и во практиките за вработување, додека истовремено ја развиваат довербата на работодавците за вработување на луѓе со онеспособеност. </w:t>
      </w:r>
    </w:p>
    <w:p w14:paraId="5B27A278" w14:textId="77777777" w:rsidR="000913CE" w:rsidRPr="00D36EB6" w:rsidRDefault="000913CE" w:rsidP="000913CE">
      <w:pPr>
        <w:pStyle w:val="ListParagraph"/>
        <w:numPr>
          <w:ilvl w:val="0"/>
          <w:numId w:val="12"/>
        </w:numPr>
        <w:spacing w:after="120" w:line="240" w:lineRule="auto"/>
        <w:contextualSpacing w:val="0"/>
        <w:rPr>
          <w:rFonts w:cs="Arial"/>
        </w:rPr>
      </w:pPr>
      <w:r w:rsidRPr="00D36EB6">
        <w:rPr>
          <w:rFonts w:cs="Arial"/>
          <w:lang w:val="mk-MK"/>
        </w:rPr>
        <w:t>Оваа Пробна програма беше воспоставена на почетокот на јули 2023 г. и ќе трае дванаесет месеци.</w:t>
      </w:r>
    </w:p>
    <w:p w14:paraId="1A90B5BB" w14:textId="77777777" w:rsidR="000913CE" w:rsidRPr="00D36EB6" w:rsidRDefault="000913CE" w:rsidP="000913CE">
      <w:pPr>
        <w:pStyle w:val="ListParagraph"/>
        <w:numPr>
          <w:ilvl w:val="0"/>
          <w:numId w:val="12"/>
        </w:numPr>
        <w:spacing w:after="120" w:line="240" w:lineRule="auto"/>
        <w:contextualSpacing w:val="0"/>
        <w:rPr>
          <w:rFonts w:cs="Arial"/>
        </w:rPr>
      </w:pPr>
      <w:r w:rsidRPr="00D36EB6">
        <w:rPr>
          <w:rFonts w:cs="Arial"/>
          <w:lang w:val="mk-MK"/>
        </w:rPr>
        <w:t>На 12 даватели на услуги во 8 региони каде што вработувањето е приоритет им беше доделена парична помош за обезбедување на локални поврзувачи .</w:t>
      </w:r>
      <w:r w:rsidRPr="00D36EB6">
        <w:rPr>
          <w:rFonts w:cs="Arial"/>
        </w:rPr>
        <w:t xml:space="preserve"> </w:t>
      </w:r>
    </w:p>
    <w:p w14:paraId="3C987C22" w14:textId="77777777" w:rsidR="000913CE" w:rsidRPr="00D36EB6" w:rsidRDefault="000913CE" w:rsidP="000913CE">
      <w:pPr>
        <w:spacing w:before="240" w:after="240" w:line="240" w:lineRule="auto"/>
        <w:rPr>
          <w:rFonts w:cs="Arial"/>
        </w:rPr>
      </w:pPr>
      <w:r w:rsidRPr="00D36EB6">
        <w:rPr>
          <w:rFonts w:cs="Arial"/>
          <w:lang w:val="mk-MK"/>
        </w:rPr>
        <w:t>Одделот за социјални служби соработува со Австралискиот совет за бизнис (</w:t>
      </w:r>
      <w:r w:rsidRPr="00D36EB6">
        <w:rPr>
          <w:rFonts w:cs="Arial"/>
        </w:rPr>
        <w:t>Business Council of Australia</w:t>
      </w:r>
      <w:r w:rsidRPr="00D36EB6">
        <w:rPr>
          <w:rFonts w:cs="Arial"/>
          <w:lang w:val="mk-MK"/>
        </w:rPr>
        <w:t xml:space="preserve"> - </w:t>
      </w:r>
      <w:r w:rsidRPr="00D36EB6">
        <w:rPr>
          <w:rFonts w:cs="Arial"/>
        </w:rPr>
        <w:t>BCA),</w:t>
      </w:r>
      <w:r w:rsidRPr="00D36EB6">
        <w:rPr>
          <w:rFonts w:cs="Arial"/>
          <w:lang w:val="mk-MK"/>
        </w:rPr>
        <w:t xml:space="preserve"> со четири од нивните членови коишто се големи вработувачи и со Австралиската мрежа за онеспособеност (</w:t>
      </w:r>
      <w:r w:rsidRPr="00D36EB6">
        <w:rPr>
          <w:rFonts w:cs="Arial"/>
        </w:rPr>
        <w:t>Australian Network on Disability</w:t>
      </w:r>
      <w:r w:rsidRPr="00D36EB6">
        <w:rPr>
          <w:rFonts w:cs="Arial"/>
          <w:lang w:val="mk-MK"/>
        </w:rPr>
        <w:t xml:space="preserve"> - </w:t>
      </w:r>
      <w:r w:rsidRPr="00D36EB6">
        <w:rPr>
          <w:rFonts w:cs="Arial"/>
        </w:rPr>
        <w:t xml:space="preserve">AND) </w:t>
      </w:r>
      <w:r w:rsidRPr="00D36EB6">
        <w:rPr>
          <w:rFonts w:cs="Arial"/>
          <w:lang w:val="mk-MK"/>
        </w:rPr>
        <w:t>за да изработат пробна програма што се сосредоточува на поттикнување промени во односот при што преку бизнис заедницата ќе се покажува како треба да изгледа лидерството, и со тоа да ги поттикне најголемите работодавци во Австралија да се сосредоточат на работни места за луѓето со онеспособеност што не се на почетничко ниво. На тој начин ќе покажат дека се безбедни места каде што луѓето со онеспособеност можат да работат и да напредуваат во својата кариера, и ќе поттикнуваат долгорочни поволни резултати во однос на вработувањето на луѓето со онеспособеност, со фокус на напредувањето во кариерата и идни раководни функции.</w:t>
      </w:r>
    </w:p>
    <w:p w14:paraId="055A95F0" w14:textId="77777777" w:rsidR="000913CE" w:rsidRPr="000913CE" w:rsidRDefault="000913CE" w:rsidP="000913CE">
      <w:pPr>
        <w:pStyle w:val="ListParagraph"/>
        <w:numPr>
          <w:ilvl w:val="0"/>
          <w:numId w:val="13"/>
        </w:numPr>
        <w:spacing w:after="120" w:line="240" w:lineRule="auto"/>
        <w:contextualSpacing w:val="0"/>
        <w:rPr>
          <w:rFonts w:cs="Arial"/>
        </w:rPr>
      </w:pPr>
      <w:r w:rsidRPr="00D36EB6">
        <w:rPr>
          <w:rFonts w:cs="Arial"/>
          <w:lang w:val="mk-MK"/>
        </w:rPr>
        <w:t>Пробната програма почна во август 2023 г. и ќе трае до февруари 2025 г.</w:t>
      </w:r>
    </w:p>
    <w:p w14:paraId="6C534FA8" w14:textId="7F36CF55" w:rsidR="000913CE" w:rsidRPr="000913CE" w:rsidRDefault="000913CE" w:rsidP="000913CE">
      <w:pPr>
        <w:pStyle w:val="ListParagraph"/>
        <w:numPr>
          <w:ilvl w:val="0"/>
          <w:numId w:val="13"/>
        </w:numPr>
        <w:spacing w:after="120" w:line="240" w:lineRule="auto"/>
        <w:contextualSpacing w:val="0"/>
        <w:rPr>
          <w:rFonts w:cs="Arial"/>
        </w:rPr>
      </w:pPr>
      <w:r w:rsidRPr="000913CE">
        <w:rPr>
          <w:rFonts w:cs="Arial"/>
          <w:lang w:val="mk-MK"/>
        </w:rPr>
        <w:t xml:space="preserve">На Австралиската мрежа за онеспособеност ѝ беа доделени парични средства за да ги изработи пробните програми во соработка со четирите големи работодавци и нивните вработени со онеспособеност, за да се дознае како </w:t>
      </w:r>
      <w:r w:rsidRPr="000913CE">
        <w:rPr>
          <w:rFonts w:cs="Arial"/>
          <w:lang w:val="mk-MK"/>
        </w:rPr>
        <w:lastRenderedPageBreak/>
        <w:t>најдобро да се откријат и решат пречките со коишто се соочуваат луѓето со онеспособеност во напредувањето на работното место.</w:t>
      </w:r>
    </w:p>
    <w:p w14:paraId="1DD453E2" w14:textId="18E870B3" w:rsidR="00F60B29" w:rsidRPr="005114E7" w:rsidRDefault="00F60B29">
      <w:pPr>
        <w:rPr>
          <w:rFonts w:asciiTheme="minorHAnsi" w:hAnsiTheme="minorHAnsi" w:cstheme="minorHAnsi"/>
        </w:rPr>
      </w:pPr>
      <w:r w:rsidRPr="005114E7">
        <w:rPr>
          <w:rFonts w:asciiTheme="minorHAnsi" w:hAnsiTheme="minorHAnsi" w:cstheme="minorHAnsi"/>
        </w:rPr>
        <w:br w:type="page"/>
      </w:r>
    </w:p>
    <w:p w14:paraId="771A24C3" w14:textId="464E681A" w:rsidR="0034572C" w:rsidRPr="005114E7" w:rsidRDefault="00516AFA" w:rsidP="00515A1C">
      <w:pPr>
        <w:pStyle w:val="Heading2"/>
      </w:pPr>
      <w:bookmarkStart w:id="32" w:name="_Toc153454148"/>
      <w:r w:rsidRPr="00D36EB6">
        <w:rPr>
          <w:rFonts w:cs="Arial"/>
          <w:lang w:val="mk-MK"/>
        </w:rPr>
        <w:lastRenderedPageBreak/>
        <w:t>Тасманиски началник за онеспособеност</w:t>
      </w:r>
      <w:bookmarkEnd w:id="32"/>
    </w:p>
    <w:p w14:paraId="371137D8" w14:textId="77777777" w:rsidR="00516AFA" w:rsidRPr="00D36EB6" w:rsidRDefault="00516AFA" w:rsidP="00516AFA">
      <w:pPr>
        <w:spacing w:before="240" w:after="240" w:line="240" w:lineRule="auto"/>
        <w:rPr>
          <w:rFonts w:cs="Arial"/>
          <w:b/>
        </w:rPr>
      </w:pPr>
      <w:r w:rsidRPr="00D36EB6">
        <w:rPr>
          <w:rFonts w:cs="Arial"/>
          <w:b/>
          <w:lang w:val="mk-MK"/>
        </w:rPr>
        <w:t>Надлежност</w:t>
      </w:r>
      <w:r w:rsidRPr="00D36EB6">
        <w:rPr>
          <w:rFonts w:cs="Arial"/>
          <w:b/>
        </w:rPr>
        <w:t xml:space="preserve">: </w:t>
      </w:r>
      <w:r w:rsidRPr="00D36EB6">
        <w:rPr>
          <w:rFonts w:cs="Arial"/>
          <w:lang w:val="mk-MK"/>
        </w:rPr>
        <w:t>Тасманија</w:t>
      </w:r>
    </w:p>
    <w:p w14:paraId="2A982E70" w14:textId="77777777" w:rsidR="00516AFA" w:rsidRPr="00D36EB6" w:rsidRDefault="00516AFA" w:rsidP="00516AFA">
      <w:pPr>
        <w:spacing w:before="240" w:after="240" w:line="240" w:lineRule="auto"/>
        <w:rPr>
          <w:rFonts w:cs="Arial"/>
        </w:rPr>
      </w:pPr>
      <w:r w:rsidRPr="00D36EB6">
        <w:rPr>
          <w:rFonts w:cs="Arial"/>
          <w:b/>
          <w:lang w:val="mk-MK"/>
        </w:rPr>
        <w:t>План за насочена акција</w:t>
      </w:r>
      <w:r w:rsidRPr="00D36EB6">
        <w:rPr>
          <w:rFonts w:cs="Arial"/>
          <w:b/>
        </w:rPr>
        <w:t xml:space="preserve">: </w:t>
      </w:r>
      <w:r w:rsidRPr="00D36EB6">
        <w:rPr>
          <w:rFonts w:cs="Arial"/>
          <w:lang w:val="mk-MK"/>
        </w:rPr>
        <w:t>Односот на заедницата</w:t>
      </w:r>
    </w:p>
    <w:p w14:paraId="2B3A57C7" w14:textId="77777777" w:rsidR="00516AFA" w:rsidRPr="00D36EB6" w:rsidRDefault="00516AFA" w:rsidP="00516AFA">
      <w:pPr>
        <w:spacing w:before="240" w:after="240" w:line="240" w:lineRule="auto"/>
        <w:rPr>
          <w:rFonts w:cs="Arial"/>
        </w:rPr>
      </w:pPr>
      <w:r w:rsidRPr="00D36EB6">
        <w:rPr>
          <w:rFonts w:cs="Arial"/>
          <w:b/>
          <w:lang w:val="mk-MK"/>
        </w:rPr>
        <w:t>Цел од планот за насочена акција</w:t>
      </w:r>
      <w:r w:rsidRPr="00D36EB6">
        <w:rPr>
          <w:rFonts w:cs="Arial"/>
          <w:b/>
        </w:rPr>
        <w:t xml:space="preserve">: </w:t>
      </w:r>
      <w:r w:rsidRPr="00D36EB6">
        <w:rPr>
          <w:rFonts w:cs="Arial"/>
        </w:rPr>
        <w:t xml:space="preserve">4. </w:t>
      </w:r>
      <w:r w:rsidRPr="00D36EB6">
        <w:rPr>
          <w:rFonts w:cs="Arial"/>
          <w:lang w:val="mk-MK"/>
        </w:rPr>
        <w:t>Подобрување на односот на заедницата за да се влијае позитивно врз Приоритетите од Правилникот на Стратегијата</w:t>
      </w:r>
      <w:r w:rsidRPr="00D36EB6">
        <w:rPr>
          <w:rFonts w:cs="Arial"/>
        </w:rPr>
        <w:t xml:space="preserve"> ADS.</w:t>
      </w:r>
    </w:p>
    <w:p w14:paraId="78464601" w14:textId="77777777" w:rsidR="00516AFA" w:rsidRPr="00D36EB6" w:rsidRDefault="00516AFA" w:rsidP="00516AFA">
      <w:pPr>
        <w:spacing w:before="240" w:after="240" w:line="240" w:lineRule="auto"/>
        <w:rPr>
          <w:rFonts w:cs="Arial"/>
        </w:rPr>
      </w:pPr>
      <w:r w:rsidRPr="00D36EB6">
        <w:rPr>
          <w:rFonts w:cs="Arial"/>
          <w:b/>
          <w:lang w:val="mk-MK"/>
        </w:rPr>
        <w:t>Акција</w:t>
      </w:r>
      <w:r w:rsidRPr="00D36EB6">
        <w:rPr>
          <w:rFonts w:cs="Arial"/>
          <w:b/>
        </w:rPr>
        <w:t xml:space="preserve">: </w:t>
      </w:r>
      <w:r w:rsidRPr="00D36EB6">
        <w:rPr>
          <w:rFonts w:cs="Arial"/>
        </w:rPr>
        <w:t xml:space="preserve">4.1 – </w:t>
      </w:r>
      <w:r w:rsidRPr="00D36EB6">
        <w:rPr>
          <w:rFonts w:cs="Arial"/>
          <w:lang w:val="mk-MK"/>
        </w:rPr>
        <w:t>Воведувањето на функцијата Тасманиски началник за онеспособеност (</w:t>
      </w:r>
      <w:r w:rsidRPr="00D36EB6">
        <w:rPr>
          <w:rFonts w:cs="Arial"/>
        </w:rPr>
        <w:t>Tasmanian Disability Commissioner</w:t>
      </w:r>
      <w:r w:rsidRPr="00D36EB6">
        <w:rPr>
          <w:rFonts w:cs="Arial"/>
          <w:lang w:val="mk-MK"/>
        </w:rPr>
        <w:t xml:space="preserve">) ќе осигури дека луѓето со онеспособеност и нивните семејства ги добиваат инклузивните и достапни поддршки и услуги што им се потребни, вклучувајќи ги и тие што се потпомогнати од државните служби, со годишно вложување на </w:t>
      </w:r>
      <w:r w:rsidRPr="00D36EB6">
        <w:rPr>
          <w:rFonts w:cs="Arial"/>
        </w:rPr>
        <w:t>$300</w:t>
      </w:r>
      <w:r w:rsidRPr="00D36EB6">
        <w:rPr>
          <w:rFonts w:cs="Arial"/>
          <w:lang w:val="mk-MK"/>
        </w:rPr>
        <w:t>.</w:t>
      </w:r>
      <w:r w:rsidRPr="00D36EB6">
        <w:rPr>
          <w:rFonts w:cs="Arial"/>
        </w:rPr>
        <w:t>000</w:t>
      </w:r>
      <w:r w:rsidRPr="00D36EB6">
        <w:rPr>
          <w:rFonts w:cs="Arial"/>
          <w:lang w:val="mk-MK"/>
        </w:rPr>
        <w:t xml:space="preserve"> во текот на четири години, почнувајќи од </w:t>
      </w:r>
      <w:r w:rsidRPr="00D36EB6">
        <w:rPr>
          <w:rFonts w:cs="Arial"/>
        </w:rPr>
        <w:t>2021</w:t>
      </w:r>
      <w:r w:rsidRPr="00D36EB6">
        <w:rPr>
          <w:rFonts w:cs="Arial"/>
          <w:lang w:val="mk-MK"/>
        </w:rPr>
        <w:t>-</w:t>
      </w:r>
      <w:r w:rsidRPr="00D36EB6">
        <w:rPr>
          <w:rFonts w:cs="Arial"/>
        </w:rPr>
        <w:t>2022</w:t>
      </w:r>
      <w:r w:rsidRPr="00D36EB6">
        <w:rPr>
          <w:rFonts w:cs="Arial"/>
          <w:lang w:val="mk-MK"/>
        </w:rPr>
        <w:t xml:space="preserve"> г</w:t>
      </w:r>
      <w:r w:rsidRPr="00D36EB6">
        <w:rPr>
          <w:rFonts w:cs="Arial"/>
        </w:rPr>
        <w:t>.</w:t>
      </w:r>
    </w:p>
    <w:p w14:paraId="3AF896F7" w14:textId="77777777" w:rsidR="00516AFA" w:rsidRPr="00D36EB6" w:rsidRDefault="00516AFA" w:rsidP="00516AFA">
      <w:pPr>
        <w:spacing w:before="240" w:after="240" w:line="240" w:lineRule="auto"/>
        <w:rPr>
          <w:rFonts w:cs="Arial"/>
        </w:rPr>
      </w:pPr>
      <w:r w:rsidRPr="00D36EB6">
        <w:rPr>
          <w:rFonts w:cs="Arial"/>
          <w:b/>
          <w:lang w:val="mk-MK"/>
        </w:rPr>
        <w:t>Показател</w:t>
      </w:r>
      <w:r w:rsidRPr="00D36EB6">
        <w:rPr>
          <w:rFonts w:cs="Arial"/>
          <w:b/>
        </w:rPr>
        <w:t>:</w:t>
      </w:r>
    </w:p>
    <w:p w14:paraId="6DC44C48" w14:textId="77777777" w:rsidR="00516AFA" w:rsidRPr="00D36EB6" w:rsidRDefault="00516AFA" w:rsidP="00516AFA">
      <w:pPr>
        <w:numPr>
          <w:ilvl w:val="0"/>
          <w:numId w:val="2"/>
        </w:numPr>
        <w:spacing w:after="120" w:line="240" w:lineRule="auto"/>
        <w:rPr>
          <w:rFonts w:cs="Arial"/>
        </w:rPr>
      </w:pPr>
      <w:r w:rsidRPr="00D36EB6">
        <w:rPr>
          <w:rFonts w:cs="Arial"/>
          <w:lang w:val="mk-MK"/>
        </w:rPr>
        <w:t>Советувањето со тасманиската заедница е завршено</w:t>
      </w:r>
      <w:r w:rsidRPr="00D36EB6">
        <w:rPr>
          <w:rFonts w:cs="Arial"/>
        </w:rPr>
        <w:t>.</w:t>
      </w:r>
    </w:p>
    <w:p w14:paraId="1EAF5C19" w14:textId="77777777" w:rsidR="00516AFA" w:rsidRPr="00D36EB6" w:rsidRDefault="00516AFA" w:rsidP="00516AFA">
      <w:pPr>
        <w:numPr>
          <w:ilvl w:val="0"/>
          <w:numId w:val="2"/>
        </w:numPr>
        <w:spacing w:after="120" w:line="240" w:lineRule="auto"/>
        <w:rPr>
          <w:rFonts w:cs="Arial"/>
        </w:rPr>
      </w:pPr>
      <w:r w:rsidRPr="00D36EB6">
        <w:rPr>
          <w:rFonts w:cs="Arial"/>
          <w:lang w:val="mk-MK"/>
        </w:rPr>
        <w:t>Утврдена е рамката за воведување на функцијата Началник за онеспособеност.</w:t>
      </w:r>
    </w:p>
    <w:p w14:paraId="486CDAD0" w14:textId="77777777" w:rsidR="00516AFA" w:rsidRPr="00D36EB6" w:rsidRDefault="00516AFA" w:rsidP="00516AFA">
      <w:pPr>
        <w:spacing w:before="240" w:after="240" w:line="240" w:lineRule="auto"/>
        <w:rPr>
          <w:rFonts w:cs="Arial"/>
        </w:rPr>
      </w:pPr>
      <w:r w:rsidRPr="00D36EB6">
        <w:rPr>
          <w:rFonts w:cs="Arial"/>
          <w:b/>
          <w:lang w:val="mk-MK"/>
        </w:rPr>
        <w:t>Состојба</w:t>
      </w:r>
      <w:r w:rsidRPr="00D36EB6">
        <w:rPr>
          <w:rFonts w:cs="Arial"/>
        </w:rPr>
        <w:tab/>
      </w:r>
      <w:r w:rsidRPr="00D36EB6">
        <w:rPr>
          <w:rFonts w:cs="Arial"/>
          <w:lang w:val="mk-MK"/>
        </w:rPr>
        <w:t>Извесно доцнење</w:t>
      </w:r>
    </w:p>
    <w:p w14:paraId="13132C17" w14:textId="77777777" w:rsidR="00516AFA" w:rsidRPr="00D36EB6" w:rsidRDefault="00516AFA" w:rsidP="00516AFA">
      <w:pPr>
        <w:spacing w:before="240" w:after="240" w:line="240" w:lineRule="auto"/>
        <w:rPr>
          <w:rFonts w:cs="Arial"/>
        </w:rPr>
      </w:pPr>
      <w:r w:rsidRPr="00D36EB6">
        <w:rPr>
          <w:rFonts w:cs="Arial"/>
          <w:b/>
          <w:lang w:val="mk-MK"/>
        </w:rPr>
        <w:t>Опис</w:t>
      </w:r>
      <w:r w:rsidRPr="00D36EB6">
        <w:rPr>
          <w:rFonts w:cs="Arial"/>
        </w:rPr>
        <w:t xml:space="preserve">: </w:t>
      </w:r>
      <w:r w:rsidRPr="00D36EB6">
        <w:rPr>
          <w:rFonts w:cs="Arial"/>
          <w:lang w:val="mk-MK"/>
        </w:rPr>
        <w:t>Кон крајот на 2022 г. почна постапката за вработување, а новиот вршител на должноста началник (</w:t>
      </w:r>
      <w:r w:rsidRPr="00D36EB6">
        <w:rPr>
          <w:rFonts w:cs="Arial"/>
        </w:rPr>
        <w:t>Interim Commissioner</w:t>
      </w:r>
      <w:r w:rsidRPr="00D36EB6">
        <w:rPr>
          <w:rFonts w:cs="Arial"/>
          <w:lang w:val="mk-MK"/>
        </w:rPr>
        <w:t>), Мери Малет, ја презеде функцијата во јануари 2023 г.</w:t>
      </w:r>
      <w:r w:rsidRPr="00D36EB6">
        <w:rPr>
          <w:rFonts w:cs="Arial"/>
        </w:rPr>
        <w:t xml:space="preserve"> </w:t>
      </w:r>
    </w:p>
    <w:p w14:paraId="618F2F9E" w14:textId="77777777" w:rsidR="00516AFA" w:rsidRPr="00D36EB6" w:rsidRDefault="00516AFA" w:rsidP="00516AFA">
      <w:pPr>
        <w:spacing w:before="240" w:after="240" w:line="240" w:lineRule="auto"/>
        <w:rPr>
          <w:rFonts w:cs="Arial"/>
        </w:rPr>
      </w:pPr>
      <w:r w:rsidRPr="00D36EB6">
        <w:rPr>
          <w:rFonts w:cs="Arial"/>
          <w:lang w:val="mk-MK"/>
        </w:rPr>
        <w:t>Владата на Тасманија се залага да создаде современо законодавство што ќе ги слави силата, разновидноста и искуството на Тасманијците со онеспособеност и се очекува дека новиот Предлог-закон за онеспособеност (</w:t>
      </w:r>
      <w:r w:rsidRPr="00D36EB6">
        <w:rPr>
          <w:rFonts w:cs="Arial"/>
        </w:rPr>
        <w:t>Disability Bill</w:t>
      </w:r>
      <w:r w:rsidRPr="00D36EB6">
        <w:rPr>
          <w:rFonts w:cs="Arial"/>
          <w:lang w:val="mk-MK"/>
        </w:rPr>
        <w:t>) ќе биде готов за разгледување кон средината или кон крајот на 2023 г.</w:t>
      </w:r>
    </w:p>
    <w:p w14:paraId="4D22A241" w14:textId="77777777" w:rsidR="00516AFA" w:rsidRPr="00D36EB6" w:rsidRDefault="00516AFA" w:rsidP="00516AFA">
      <w:pPr>
        <w:spacing w:before="240" w:after="240" w:line="240" w:lineRule="auto"/>
        <w:rPr>
          <w:rFonts w:cs="Arial"/>
        </w:rPr>
      </w:pPr>
      <w:r w:rsidRPr="00D36EB6">
        <w:rPr>
          <w:rFonts w:cs="Arial"/>
          <w:lang w:val="mk-MK"/>
        </w:rPr>
        <w:t>Поставувањето на вршител на должноста началник за онеспособеност обезбедува време и можности пред воведувањето на новото законодавство да се назначи началник за онеспособеност и да се соработува со другите државни службеници. Тоа е со цел да се создадат можности и способности за решавање на поплаките на луѓето со онеспособеност.</w:t>
      </w:r>
    </w:p>
    <w:p w14:paraId="44B779FF" w14:textId="77777777" w:rsidR="00516AFA" w:rsidRPr="00D36EB6" w:rsidRDefault="00516AFA" w:rsidP="00516AFA">
      <w:pPr>
        <w:spacing w:before="240" w:after="240" w:line="240" w:lineRule="auto"/>
        <w:rPr>
          <w:rFonts w:cs="Arial"/>
          <w:lang w:val="mk-MK"/>
        </w:rPr>
      </w:pPr>
      <w:r w:rsidRPr="00D36EB6">
        <w:rPr>
          <w:rFonts w:cs="Arial"/>
          <w:lang w:val="mk-MK"/>
        </w:rPr>
        <w:t>Вршителот на должноста началник е овластен државен службеник (</w:t>
      </w:r>
      <w:r w:rsidRPr="00D36EB6">
        <w:rPr>
          <w:rFonts w:cs="Arial"/>
        </w:rPr>
        <w:t>Authorised Officer</w:t>
      </w:r>
      <w:r w:rsidRPr="00D36EB6">
        <w:rPr>
          <w:rFonts w:cs="Arial"/>
          <w:lang w:val="mk-MK"/>
        </w:rPr>
        <w:t>) според Законот за служби и услуги за лица со онеспособеност од 2011 г. - Тасманија (</w:t>
      </w:r>
      <w:r w:rsidRPr="00D36EB6">
        <w:rPr>
          <w:rFonts w:cs="Arial"/>
        </w:rPr>
        <w:t xml:space="preserve">Disability Services Act 2011 </w:t>
      </w:r>
      <w:r w:rsidRPr="00D36EB6">
        <w:rPr>
          <w:rFonts w:cs="Arial"/>
          <w:lang w:val="mk-MK"/>
        </w:rPr>
        <w:t xml:space="preserve">- </w:t>
      </w:r>
      <w:proofErr w:type="spellStart"/>
      <w:r w:rsidRPr="00D36EB6">
        <w:rPr>
          <w:rFonts w:cs="Arial"/>
        </w:rPr>
        <w:t>Tas</w:t>
      </w:r>
      <w:proofErr w:type="spellEnd"/>
      <w:r w:rsidRPr="00D36EB6">
        <w:rPr>
          <w:rFonts w:cs="Arial"/>
        </w:rPr>
        <w:t>).</w:t>
      </w:r>
      <w:r w:rsidRPr="00D36EB6">
        <w:rPr>
          <w:rFonts w:cs="Arial"/>
          <w:lang w:val="mk-MK"/>
        </w:rPr>
        <w:t xml:space="preserve"> Овластените службеници можат да влегуваат во објекти за следните цели:</w:t>
      </w:r>
    </w:p>
    <w:p w14:paraId="4DCFF212" w14:textId="77777777" w:rsidR="00516AFA" w:rsidRPr="00D36EB6" w:rsidRDefault="00516AFA" w:rsidP="00516AFA">
      <w:pPr>
        <w:numPr>
          <w:ilvl w:val="0"/>
          <w:numId w:val="4"/>
        </w:numPr>
        <w:spacing w:after="120" w:line="240" w:lineRule="auto"/>
        <w:ind w:left="432" w:hanging="288"/>
        <w:rPr>
          <w:rFonts w:cs="Arial"/>
        </w:rPr>
      </w:pPr>
      <w:r w:rsidRPr="00D36EB6">
        <w:rPr>
          <w:rFonts w:cs="Arial"/>
          <w:lang w:val="mk-MK"/>
        </w:rPr>
        <w:t>да осигурат дека лицата кои живеат во тие објекти, или кои таму добиваат специјализирани услуги, ги добиваат негата и поддршката што се неопходни или пожелни за нивното здравје и добросостојба; или</w:t>
      </w:r>
    </w:p>
    <w:p w14:paraId="3D866C7D" w14:textId="77777777" w:rsidR="00516AFA" w:rsidRPr="00D36EB6" w:rsidRDefault="00516AFA" w:rsidP="00516AFA">
      <w:pPr>
        <w:numPr>
          <w:ilvl w:val="0"/>
          <w:numId w:val="3"/>
        </w:numPr>
        <w:spacing w:after="120" w:line="240" w:lineRule="auto"/>
        <w:ind w:left="432" w:hanging="288"/>
        <w:rPr>
          <w:rFonts w:cs="Arial"/>
        </w:rPr>
      </w:pPr>
      <w:r w:rsidRPr="00D36EB6">
        <w:rPr>
          <w:rFonts w:cs="Arial"/>
          <w:lang w:val="mk-MK"/>
        </w:rPr>
        <w:t>да ја осигурат безбедноста на лицата внатре.</w:t>
      </w:r>
    </w:p>
    <w:p w14:paraId="68FCC9FB" w14:textId="77777777" w:rsidR="00516AFA" w:rsidRPr="00D36EB6" w:rsidRDefault="00516AFA" w:rsidP="00516AFA">
      <w:pPr>
        <w:spacing w:before="240" w:after="240" w:line="240" w:lineRule="auto"/>
        <w:rPr>
          <w:rFonts w:cs="Arial"/>
        </w:rPr>
      </w:pPr>
      <w:r w:rsidRPr="00D36EB6">
        <w:rPr>
          <w:rFonts w:cs="Arial"/>
          <w:lang w:val="mk-MK"/>
        </w:rPr>
        <w:t>Вршителот на должноста началник за онеспособеност исто така</w:t>
      </w:r>
      <w:r w:rsidRPr="00D36EB6">
        <w:rPr>
          <w:rFonts w:cs="Arial"/>
        </w:rPr>
        <w:t>:</w:t>
      </w:r>
    </w:p>
    <w:p w14:paraId="44DD8277" w14:textId="77777777" w:rsidR="00516AFA" w:rsidRPr="00D36EB6" w:rsidRDefault="00516AFA" w:rsidP="00516AFA">
      <w:pPr>
        <w:numPr>
          <w:ilvl w:val="0"/>
          <w:numId w:val="3"/>
        </w:numPr>
        <w:spacing w:after="120" w:line="240" w:lineRule="auto"/>
        <w:ind w:left="426" w:hanging="284"/>
        <w:rPr>
          <w:rFonts w:cs="Arial"/>
        </w:rPr>
      </w:pPr>
      <w:r w:rsidRPr="00D36EB6">
        <w:rPr>
          <w:rFonts w:cs="Arial"/>
          <w:lang w:val="mk-MK"/>
        </w:rPr>
        <w:t>ќе обезбеди предводништво, ќе ја поддржува вклучителноста и ќе ја унапредува достапноста на државните и другите главни служби и услуги;</w:t>
      </w:r>
    </w:p>
    <w:p w14:paraId="00E2F8BC" w14:textId="77777777" w:rsidR="00516AFA" w:rsidRPr="00D36EB6" w:rsidRDefault="00516AFA" w:rsidP="00516AFA">
      <w:pPr>
        <w:numPr>
          <w:ilvl w:val="0"/>
          <w:numId w:val="3"/>
        </w:numPr>
        <w:spacing w:after="120" w:line="240" w:lineRule="auto"/>
        <w:ind w:left="426" w:hanging="284"/>
        <w:rPr>
          <w:rFonts w:cs="Arial"/>
        </w:rPr>
      </w:pPr>
      <w:r w:rsidRPr="00D36EB6">
        <w:rPr>
          <w:rFonts w:cs="Arial"/>
          <w:lang w:val="mk-MK"/>
        </w:rPr>
        <w:lastRenderedPageBreak/>
        <w:t>ќе ги унапредува правата на луѓето со онеспособеност</w:t>
      </w:r>
      <w:r w:rsidRPr="00D36EB6">
        <w:rPr>
          <w:rFonts w:cs="Arial"/>
        </w:rPr>
        <w:t>;</w:t>
      </w:r>
    </w:p>
    <w:p w14:paraId="1E6CEE2F" w14:textId="77777777" w:rsidR="00516AFA" w:rsidRPr="00D36EB6" w:rsidRDefault="00516AFA" w:rsidP="00516AFA">
      <w:pPr>
        <w:numPr>
          <w:ilvl w:val="0"/>
          <w:numId w:val="3"/>
        </w:numPr>
        <w:spacing w:after="120" w:line="240" w:lineRule="auto"/>
        <w:ind w:left="426" w:hanging="284"/>
        <w:rPr>
          <w:rFonts w:cs="Arial"/>
        </w:rPr>
      </w:pPr>
      <w:r w:rsidRPr="00D36EB6">
        <w:rPr>
          <w:rFonts w:cs="Arial"/>
          <w:lang w:val="mk-MK"/>
        </w:rPr>
        <w:t>ќе воведе механизми за заштита од насилство, злоупотреба, запоставување и искористување на луѓето со онеспособеност и ќе врши надзор над тие механизми; и</w:t>
      </w:r>
    </w:p>
    <w:p w14:paraId="126B3D09" w14:textId="53FA4928" w:rsidR="00516AFA" w:rsidRPr="005114E7" w:rsidRDefault="00516AFA" w:rsidP="00516AFA">
      <w:pPr>
        <w:numPr>
          <w:ilvl w:val="0"/>
          <w:numId w:val="3"/>
        </w:numPr>
        <w:spacing w:after="120" w:line="240" w:lineRule="auto"/>
        <w:ind w:left="426" w:hanging="284"/>
        <w:rPr>
          <w:rFonts w:cs="Arial"/>
        </w:rPr>
      </w:pPr>
      <w:r w:rsidRPr="00D36EB6">
        <w:rPr>
          <w:rFonts w:cs="Arial"/>
          <w:lang w:val="mk-MK"/>
        </w:rPr>
        <w:t>ќе презема дејства во врска со дојави за злоупотребување, запоставување и искористување на луѓе со онеспособеност.</w:t>
      </w:r>
    </w:p>
    <w:p w14:paraId="7F82F7A3" w14:textId="785E3E0C" w:rsidR="001F7ED0" w:rsidRPr="005114E7" w:rsidRDefault="001F7ED0" w:rsidP="00C41CE0">
      <w:pPr>
        <w:pStyle w:val="NoSpacing"/>
        <w:spacing w:before="240" w:after="240"/>
      </w:pPr>
      <w:r w:rsidRPr="005114E7">
        <w:br w:type="page"/>
      </w:r>
    </w:p>
    <w:p w14:paraId="1E6923E4" w14:textId="2F964004" w:rsidR="0034572C" w:rsidRPr="005114E7" w:rsidRDefault="00621A03" w:rsidP="00515A1C">
      <w:pPr>
        <w:pStyle w:val="Heading2"/>
      </w:pPr>
      <w:bookmarkStart w:id="33" w:name="_Toc153454149"/>
      <w:r w:rsidRPr="00D36EB6">
        <w:rPr>
          <w:rFonts w:cs="Arial"/>
          <w:lang w:val="mk-MK"/>
        </w:rPr>
        <w:lastRenderedPageBreak/>
        <w:t>Работилница за родители чии деца имаат поинаков развој од другите</w:t>
      </w:r>
      <w:bookmarkEnd w:id="33"/>
    </w:p>
    <w:p w14:paraId="510D5A0A" w14:textId="77777777" w:rsidR="00621A03" w:rsidRPr="00D36EB6" w:rsidRDefault="00621A03" w:rsidP="00621A03">
      <w:pPr>
        <w:spacing w:before="240" w:after="240" w:line="240" w:lineRule="auto"/>
        <w:rPr>
          <w:rFonts w:cs="Arial"/>
          <w:b/>
        </w:rPr>
      </w:pPr>
      <w:r w:rsidRPr="00D36EB6">
        <w:rPr>
          <w:rFonts w:cs="Arial"/>
          <w:b/>
          <w:lang w:val="mk-MK"/>
        </w:rPr>
        <w:t>Надлежност</w:t>
      </w:r>
      <w:r w:rsidRPr="00D36EB6">
        <w:rPr>
          <w:rFonts w:cs="Arial"/>
          <w:b/>
        </w:rPr>
        <w:t xml:space="preserve">: </w:t>
      </w:r>
      <w:r w:rsidRPr="00D36EB6">
        <w:rPr>
          <w:rFonts w:cs="Arial"/>
          <w:lang w:val="mk-MK"/>
        </w:rPr>
        <w:t>Јужна Австралија</w:t>
      </w:r>
    </w:p>
    <w:p w14:paraId="0844239A" w14:textId="77777777" w:rsidR="00621A03" w:rsidRPr="00D36EB6" w:rsidRDefault="00621A03" w:rsidP="00621A03">
      <w:pPr>
        <w:spacing w:before="240" w:after="240" w:line="240" w:lineRule="auto"/>
        <w:rPr>
          <w:rFonts w:cs="Arial"/>
        </w:rPr>
      </w:pPr>
      <w:r w:rsidRPr="00D36EB6">
        <w:rPr>
          <w:rFonts w:cs="Arial"/>
          <w:b/>
          <w:lang w:val="mk-MK"/>
        </w:rPr>
        <w:t>План за насочена акција</w:t>
      </w:r>
      <w:r w:rsidRPr="00D36EB6">
        <w:rPr>
          <w:rFonts w:cs="Arial"/>
          <w:b/>
        </w:rPr>
        <w:t xml:space="preserve">: </w:t>
      </w:r>
      <w:r w:rsidRPr="00D36EB6">
        <w:rPr>
          <w:rFonts w:cs="Arial"/>
          <w:lang w:val="mk-MK"/>
        </w:rPr>
        <w:t>Рано детство</w:t>
      </w:r>
    </w:p>
    <w:p w14:paraId="391688FD" w14:textId="77777777" w:rsidR="00621A03" w:rsidRPr="00D36EB6" w:rsidRDefault="00621A03" w:rsidP="00621A03">
      <w:pPr>
        <w:spacing w:before="240" w:after="240" w:line="240" w:lineRule="auto"/>
        <w:rPr>
          <w:rFonts w:cs="Arial"/>
        </w:rPr>
      </w:pPr>
      <w:r w:rsidRPr="00D36EB6">
        <w:rPr>
          <w:rFonts w:cs="Arial"/>
          <w:b/>
          <w:lang w:val="mk-MK"/>
        </w:rPr>
        <w:t>Цел од планот за насочена акција</w:t>
      </w:r>
      <w:r w:rsidRPr="00D36EB6">
        <w:rPr>
          <w:rFonts w:cs="Arial"/>
          <w:b/>
        </w:rPr>
        <w:t xml:space="preserve">: </w:t>
      </w:r>
      <w:r w:rsidRPr="00D36EB6">
        <w:rPr>
          <w:rFonts w:cs="Arial"/>
        </w:rPr>
        <w:t xml:space="preserve">2. </w:t>
      </w:r>
      <w:r w:rsidRPr="00D36EB6">
        <w:rPr>
          <w:rFonts w:cs="Arial"/>
          <w:lang w:val="mk-MK"/>
        </w:rPr>
        <w:t>Да се зголемат способноста и капацитетите на клучните служби и системи за давање поддршка на родителите и негувателите со цел истите да можат да носат информирани одлуки во врска со своето дете.</w:t>
      </w:r>
      <w:r w:rsidRPr="00D36EB6">
        <w:rPr>
          <w:rFonts w:cs="Arial"/>
        </w:rPr>
        <w:t xml:space="preserve"> </w:t>
      </w:r>
    </w:p>
    <w:p w14:paraId="309214AC" w14:textId="77777777" w:rsidR="00621A03" w:rsidRPr="00D36EB6" w:rsidRDefault="00621A03" w:rsidP="00621A03">
      <w:pPr>
        <w:spacing w:before="240" w:after="240" w:line="240" w:lineRule="auto"/>
        <w:rPr>
          <w:rFonts w:cs="Arial"/>
        </w:rPr>
      </w:pPr>
      <w:r w:rsidRPr="00D36EB6">
        <w:rPr>
          <w:rFonts w:cs="Arial"/>
          <w:b/>
          <w:lang w:val="mk-MK"/>
        </w:rPr>
        <w:t>Акција</w:t>
      </w:r>
      <w:r w:rsidRPr="00D36EB6">
        <w:rPr>
          <w:rFonts w:cs="Arial"/>
          <w:b/>
        </w:rPr>
        <w:t xml:space="preserve">: </w:t>
      </w:r>
      <w:r w:rsidRPr="00D36EB6">
        <w:rPr>
          <w:rFonts w:cs="Arial"/>
        </w:rPr>
        <w:t xml:space="preserve">2.8 </w:t>
      </w:r>
      <w:r w:rsidRPr="00D36EB6">
        <w:rPr>
          <w:rFonts w:cs="Arial"/>
          <w:lang w:val="mk-MK"/>
        </w:rPr>
        <w:t>Да се продолжи со развивање на работилница специфично наменета за родители/негуватели кои живеат со дете со онеспособеност – „Поинаков развој“ (</w:t>
      </w:r>
      <w:r w:rsidRPr="00D36EB6">
        <w:rPr>
          <w:rFonts w:cs="Arial"/>
        </w:rPr>
        <w:t>“Developing Differently”</w:t>
      </w:r>
      <w:r w:rsidRPr="00D36EB6">
        <w:rPr>
          <w:rFonts w:cs="Arial"/>
          <w:lang w:val="mk-MK"/>
        </w:rPr>
        <w:t>)</w:t>
      </w:r>
      <w:r w:rsidRPr="00D36EB6">
        <w:rPr>
          <w:rFonts w:cs="Arial"/>
        </w:rPr>
        <w:t>.</w:t>
      </w:r>
    </w:p>
    <w:p w14:paraId="6F2FDE40" w14:textId="77777777" w:rsidR="00621A03" w:rsidRPr="00D36EB6" w:rsidRDefault="00621A03" w:rsidP="00621A03">
      <w:pPr>
        <w:spacing w:before="240" w:after="240" w:line="240" w:lineRule="auto"/>
        <w:rPr>
          <w:rFonts w:cs="Arial"/>
        </w:rPr>
      </w:pPr>
      <w:r w:rsidRPr="00D36EB6">
        <w:rPr>
          <w:rFonts w:cs="Arial"/>
          <w:b/>
          <w:lang w:val="mk-MK"/>
        </w:rPr>
        <w:t>Показател</w:t>
      </w:r>
      <w:r w:rsidRPr="00D36EB6">
        <w:rPr>
          <w:rFonts w:cs="Arial"/>
        </w:rPr>
        <w:t>:</w:t>
      </w:r>
    </w:p>
    <w:p w14:paraId="1A6E404D" w14:textId="77777777" w:rsidR="00621A03" w:rsidRPr="00D36EB6" w:rsidRDefault="00621A03" w:rsidP="00621A03">
      <w:pPr>
        <w:numPr>
          <w:ilvl w:val="0"/>
          <w:numId w:val="6"/>
        </w:numPr>
        <w:spacing w:after="120" w:line="240" w:lineRule="auto"/>
        <w:rPr>
          <w:rFonts w:cs="Arial"/>
        </w:rPr>
      </w:pPr>
      <w:r w:rsidRPr="00D36EB6">
        <w:rPr>
          <w:rFonts w:cs="Arial"/>
          <w:lang w:val="mk-MK"/>
        </w:rPr>
        <w:t>Работилницата е завршена и одобрена.</w:t>
      </w:r>
    </w:p>
    <w:p w14:paraId="12A597FA" w14:textId="77777777" w:rsidR="00621A03" w:rsidRPr="00D36EB6" w:rsidRDefault="00621A03" w:rsidP="00621A03">
      <w:pPr>
        <w:numPr>
          <w:ilvl w:val="0"/>
          <w:numId w:val="6"/>
        </w:numPr>
        <w:spacing w:after="120" w:line="240" w:lineRule="auto"/>
        <w:rPr>
          <w:rFonts w:cs="Arial"/>
        </w:rPr>
      </w:pPr>
      <w:r w:rsidRPr="00D36EB6">
        <w:rPr>
          <w:rFonts w:cs="Arial"/>
          <w:lang w:val="mk-MK"/>
        </w:rPr>
        <w:t>Пробната програма е завршена и поднесен е извештај.</w:t>
      </w:r>
    </w:p>
    <w:p w14:paraId="75C408AA" w14:textId="77777777" w:rsidR="00621A03" w:rsidRPr="00D36EB6" w:rsidRDefault="00621A03" w:rsidP="00621A03">
      <w:pPr>
        <w:spacing w:before="240" w:after="240" w:line="240" w:lineRule="auto"/>
        <w:rPr>
          <w:rFonts w:cs="Arial"/>
          <w:lang w:val="mk-MK"/>
        </w:rPr>
      </w:pPr>
      <w:r w:rsidRPr="00D36EB6">
        <w:rPr>
          <w:rFonts w:cs="Arial"/>
          <w:b/>
          <w:lang w:val="mk-MK"/>
        </w:rPr>
        <w:t>Состојба</w:t>
      </w:r>
      <w:r w:rsidRPr="00D36EB6">
        <w:rPr>
          <w:rFonts w:cs="Arial"/>
          <w:b/>
        </w:rPr>
        <w:t xml:space="preserve">: </w:t>
      </w:r>
      <w:r w:rsidRPr="00D36EB6">
        <w:rPr>
          <w:rFonts w:cs="Arial"/>
          <w:lang w:val="mk-MK"/>
        </w:rPr>
        <w:t>Завршено</w:t>
      </w:r>
    </w:p>
    <w:p w14:paraId="7C8D6075" w14:textId="77777777" w:rsidR="00621A03" w:rsidRPr="00D36EB6" w:rsidRDefault="00621A03" w:rsidP="00621A03">
      <w:pPr>
        <w:spacing w:before="240" w:after="240" w:line="240" w:lineRule="auto"/>
        <w:rPr>
          <w:rFonts w:cs="Arial"/>
        </w:rPr>
      </w:pPr>
      <w:r w:rsidRPr="00D36EB6">
        <w:rPr>
          <w:rFonts w:cs="Arial"/>
          <w:b/>
          <w:lang w:val="mk-MK"/>
        </w:rPr>
        <w:t>Опис</w:t>
      </w:r>
      <w:r w:rsidRPr="00D36EB6">
        <w:rPr>
          <w:rFonts w:cs="Arial"/>
        </w:rPr>
        <w:t>:</w:t>
      </w:r>
      <w:r w:rsidRPr="00D36EB6">
        <w:rPr>
          <w:rFonts w:cs="Arial"/>
        </w:rPr>
        <w:tab/>
      </w:r>
    </w:p>
    <w:p w14:paraId="56BA6EB3" w14:textId="77777777" w:rsidR="00621A03" w:rsidRPr="00D36EB6" w:rsidRDefault="00621A03" w:rsidP="00621A03">
      <w:pPr>
        <w:spacing w:before="240" w:after="240" w:line="240" w:lineRule="auto"/>
        <w:rPr>
          <w:rFonts w:cs="Arial"/>
          <w:lang w:val="mk-MK"/>
        </w:rPr>
      </w:pPr>
      <w:r w:rsidRPr="00D36EB6">
        <w:rPr>
          <w:rFonts w:cs="Arial"/>
          <w:lang w:val="mk-MK"/>
        </w:rPr>
        <w:t>Од повратните мислења добиени од родителите кои присуствуваа на работилниците за родителство „Семејствата растат заедно“ (</w:t>
      </w:r>
      <w:r w:rsidRPr="00D36EB6">
        <w:rPr>
          <w:rFonts w:cs="Arial"/>
        </w:rPr>
        <w:t>Families Growing Together</w:t>
      </w:r>
      <w:r w:rsidRPr="00D36EB6">
        <w:rPr>
          <w:rFonts w:cs="Arial"/>
          <w:lang w:val="mk-MK"/>
        </w:rPr>
        <w:t xml:space="preserve"> - </w:t>
      </w:r>
      <w:r w:rsidRPr="00D36EB6">
        <w:rPr>
          <w:rFonts w:cs="Arial"/>
        </w:rPr>
        <w:t>FGT)</w:t>
      </w:r>
      <w:r w:rsidRPr="00D36EB6">
        <w:rPr>
          <w:rFonts w:cs="Arial"/>
          <w:lang w:val="mk-MK"/>
        </w:rPr>
        <w:t xml:space="preserve"> беше утврдено дека многу родители кои живеат со дете со онеспособеност бараат поголема поддршка. Врз основа на тоа, тимот на работилниците FGT подготви специфична работилница со информации од Лесни упатства за родителство (Parent Easy Guides - PEGs) на организацијата Parenting SA  – „Деца со онеспособеност“ (Children with a disability) и „Доцнење во развојот“ (‘Developmental delay). </w:t>
      </w:r>
    </w:p>
    <w:p w14:paraId="4935AF28" w14:textId="77777777" w:rsidR="00621A03" w:rsidRPr="00D36EB6" w:rsidRDefault="00621A03" w:rsidP="00621A03">
      <w:pPr>
        <w:spacing w:before="240" w:after="240" w:line="240" w:lineRule="auto"/>
        <w:rPr>
          <w:rFonts w:cs="Arial"/>
          <w:lang w:val="mk-MK"/>
        </w:rPr>
      </w:pPr>
      <w:r w:rsidRPr="00D36EB6">
        <w:rPr>
          <w:rFonts w:cs="Arial"/>
          <w:lang w:val="mk-MK"/>
        </w:rPr>
        <w:t>Новата работилница дава кус преглед на типичниот развој, на знаците за предупредување дека нешто е различно во развојот, на што треба да се обрне внимание, како и практични стратегии за одгледување дете со онеспособеност. Работилницата го користи Социјалниот модел за онеспособеност (Social Model of Disability) и е заснована врз нов начин на гледање на нештата, на размислување, постапување и постоење со тоа што им дава простор на родителите да разговараат едни со други, да учат заедно и да размислуваат за своите искуства.</w:t>
      </w:r>
    </w:p>
    <w:p w14:paraId="2B8D5B1D" w14:textId="77777777" w:rsidR="00621A03" w:rsidRPr="00D36EB6" w:rsidRDefault="00621A03" w:rsidP="00621A03">
      <w:pPr>
        <w:spacing w:before="240" w:after="240" w:line="240" w:lineRule="auto"/>
        <w:rPr>
          <w:rFonts w:cs="Arial"/>
        </w:rPr>
      </w:pPr>
      <w:r w:rsidRPr="00D36EB6">
        <w:rPr>
          <w:rFonts w:cs="Arial"/>
          <w:lang w:val="mk-MK"/>
        </w:rPr>
        <w:t>Родителите работат на тоа да усвојат нови насоки и да почнат да се чувствуваат поинаку преку видеоснимки, преку активности и преку групни разговори. На крајот на работилницата, родителите пополнуваат акциски план за родителство во којшто е вклучено и утврдувањето на мрежа за поддршка.</w:t>
      </w:r>
    </w:p>
    <w:p w14:paraId="06965A28" w14:textId="68ED293F" w:rsidR="00621A03" w:rsidRPr="005114E7" w:rsidRDefault="00621A03" w:rsidP="00621A03">
      <w:pPr>
        <w:spacing w:before="240" w:after="240" w:line="240" w:lineRule="auto"/>
        <w:rPr>
          <w:rFonts w:cs="Arial"/>
        </w:rPr>
      </w:pPr>
      <w:r w:rsidRPr="00D36EB6">
        <w:rPr>
          <w:rFonts w:cs="Arial"/>
          <w:lang w:val="mk-MK"/>
        </w:rPr>
        <w:t>Повратните мислења од родителите кои присуствуваа на пробната работилница беа неверојатно многу позитивни и работилницата за родители „Поинаков развој“ сега ќе се нуди ширум целата држава за да можат родителите да присуствуваат на истата во своите локални заедници.</w:t>
      </w:r>
    </w:p>
    <w:p w14:paraId="2A8D0E4C" w14:textId="1C41E75C" w:rsidR="0034572C" w:rsidRPr="005114E7" w:rsidRDefault="0034572C" w:rsidP="00C41CE0">
      <w:pPr>
        <w:spacing w:before="240" w:after="240" w:line="240" w:lineRule="auto"/>
        <w:rPr>
          <w:rFonts w:cs="Arial"/>
          <w:u w:val="single"/>
        </w:rPr>
      </w:pPr>
      <w:r w:rsidRPr="005114E7">
        <w:rPr>
          <w:rFonts w:cs="Arial"/>
          <w:u w:val="single"/>
        </w:rPr>
        <w:br w:type="page"/>
      </w:r>
    </w:p>
    <w:p w14:paraId="2DE334AB" w14:textId="06FD3229" w:rsidR="002A08E0" w:rsidRPr="005114E7" w:rsidRDefault="00621A03" w:rsidP="00515A1C">
      <w:pPr>
        <w:pStyle w:val="Heading2"/>
      </w:pPr>
      <w:bookmarkStart w:id="34" w:name="_Toc153454150"/>
      <w:proofErr w:type="spellStart"/>
      <w:r w:rsidRPr="00621A03">
        <w:lastRenderedPageBreak/>
        <w:t>Програма</w:t>
      </w:r>
      <w:proofErr w:type="spellEnd"/>
      <w:r w:rsidRPr="00621A03">
        <w:t xml:space="preserve"> </w:t>
      </w:r>
      <w:proofErr w:type="spellStart"/>
      <w:r w:rsidRPr="00621A03">
        <w:t>за</w:t>
      </w:r>
      <w:proofErr w:type="spellEnd"/>
      <w:r w:rsidRPr="00621A03">
        <w:t xml:space="preserve"> </w:t>
      </w:r>
      <w:proofErr w:type="spellStart"/>
      <w:r w:rsidRPr="00621A03">
        <w:t>семејни</w:t>
      </w:r>
      <w:proofErr w:type="spellEnd"/>
      <w:r w:rsidRPr="00621A03">
        <w:t xml:space="preserve"> </w:t>
      </w:r>
      <w:proofErr w:type="spellStart"/>
      <w:r w:rsidRPr="00621A03">
        <w:t>центри</w:t>
      </w:r>
      <w:proofErr w:type="spellEnd"/>
      <w:r w:rsidRPr="00621A03">
        <w:t xml:space="preserve"> </w:t>
      </w:r>
      <w:proofErr w:type="spellStart"/>
      <w:r w:rsidRPr="00621A03">
        <w:t>за</w:t>
      </w:r>
      <w:proofErr w:type="spellEnd"/>
      <w:r w:rsidRPr="00621A03">
        <w:t xml:space="preserve"> </w:t>
      </w:r>
      <w:proofErr w:type="spellStart"/>
      <w:r w:rsidRPr="00621A03">
        <w:t>абориџински</w:t>
      </w:r>
      <w:proofErr w:type="spellEnd"/>
      <w:r w:rsidRPr="00621A03">
        <w:t xml:space="preserve"> </w:t>
      </w:r>
      <w:proofErr w:type="spellStart"/>
      <w:r w:rsidRPr="00621A03">
        <w:t>деца</w:t>
      </w:r>
      <w:proofErr w:type="spellEnd"/>
      <w:r w:rsidRPr="00621A03">
        <w:t xml:space="preserve"> и </w:t>
      </w:r>
      <w:proofErr w:type="spellStart"/>
      <w:r w:rsidRPr="00621A03">
        <w:t>семејства</w:t>
      </w:r>
      <w:bookmarkEnd w:id="34"/>
      <w:proofErr w:type="spellEnd"/>
    </w:p>
    <w:p w14:paraId="4E80BF73" w14:textId="77777777" w:rsidR="00143AAE" w:rsidRPr="00D36EB6" w:rsidRDefault="00143AAE" w:rsidP="00143AAE">
      <w:pPr>
        <w:spacing w:before="240" w:after="240" w:line="240" w:lineRule="auto"/>
        <w:rPr>
          <w:rFonts w:cs="Arial"/>
          <w:b/>
        </w:rPr>
      </w:pPr>
      <w:r w:rsidRPr="00D36EB6">
        <w:rPr>
          <w:rFonts w:cs="Arial"/>
          <w:b/>
          <w:lang w:val="mk-MK"/>
        </w:rPr>
        <w:t>Надлежност</w:t>
      </w:r>
      <w:r w:rsidRPr="00D36EB6">
        <w:rPr>
          <w:rFonts w:cs="Arial"/>
          <w:b/>
        </w:rPr>
        <w:t xml:space="preserve">: </w:t>
      </w:r>
      <w:r w:rsidRPr="00D36EB6">
        <w:rPr>
          <w:rFonts w:cs="Arial"/>
          <w:lang w:val="mk-MK"/>
        </w:rPr>
        <w:t>Нов Јужен Велс</w:t>
      </w:r>
    </w:p>
    <w:p w14:paraId="3C3D6C54" w14:textId="77777777" w:rsidR="00143AAE" w:rsidRPr="00D36EB6" w:rsidRDefault="00143AAE" w:rsidP="00143AAE">
      <w:pPr>
        <w:spacing w:before="240" w:after="240" w:line="240" w:lineRule="auto"/>
        <w:rPr>
          <w:rFonts w:cs="Arial"/>
          <w:lang w:val="mk-MK"/>
        </w:rPr>
      </w:pPr>
      <w:r w:rsidRPr="00D36EB6">
        <w:rPr>
          <w:rFonts w:cs="Arial"/>
          <w:b/>
          <w:lang w:val="mk-MK"/>
        </w:rPr>
        <w:t>План за насочена акција</w:t>
      </w:r>
      <w:r w:rsidRPr="00D36EB6">
        <w:rPr>
          <w:rFonts w:cs="Arial"/>
        </w:rPr>
        <w:t>:</w:t>
      </w:r>
      <w:r w:rsidRPr="00D36EB6">
        <w:rPr>
          <w:rFonts w:cs="Arial"/>
        </w:rPr>
        <w:tab/>
      </w:r>
      <w:r w:rsidRPr="00D36EB6">
        <w:rPr>
          <w:rFonts w:cs="Arial"/>
          <w:lang w:val="mk-MK"/>
        </w:rPr>
        <w:t>Рано детство</w:t>
      </w:r>
    </w:p>
    <w:p w14:paraId="1B71AC48" w14:textId="77777777" w:rsidR="00143AAE" w:rsidRPr="00D36EB6" w:rsidRDefault="00143AAE" w:rsidP="00143AAE">
      <w:pPr>
        <w:spacing w:before="240" w:after="240" w:line="240" w:lineRule="auto"/>
        <w:rPr>
          <w:rFonts w:cs="Arial"/>
        </w:rPr>
      </w:pPr>
      <w:r w:rsidRPr="00D36EB6">
        <w:rPr>
          <w:rFonts w:cs="Arial"/>
          <w:b/>
          <w:lang w:val="mk-MK"/>
        </w:rPr>
        <w:t>Цел од Планот за насочена акција</w:t>
      </w:r>
      <w:r w:rsidRPr="00D36EB6">
        <w:rPr>
          <w:rFonts w:cs="Arial"/>
        </w:rPr>
        <w:t xml:space="preserve">: 3. </w:t>
      </w:r>
      <w:r w:rsidRPr="00D36EB6">
        <w:rPr>
          <w:rFonts w:cs="Arial"/>
          <w:lang w:val="mk-MK"/>
        </w:rPr>
        <w:t xml:space="preserve">Да се поттикне подлабоко чувство на вклученост и да се создадат можности за родителите, негувателите и децата да градат врснички мрежи, вклучувајќи ги и Абориџините и народите од островите во Торесовиот Теснец, како и културно и јазично различните родители и </w:t>
      </w:r>
      <w:proofErr w:type="spellStart"/>
      <w:r w:rsidRPr="00D36EB6">
        <w:rPr>
          <w:rFonts w:cs="Arial"/>
        </w:rPr>
        <w:t>негуватели</w:t>
      </w:r>
      <w:proofErr w:type="spellEnd"/>
      <w:r w:rsidRPr="00D36EB6">
        <w:rPr>
          <w:rFonts w:cs="Arial"/>
        </w:rPr>
        <w:t>.</w:t>
      </w:r>
    </w:p>
    <w:p w14:paraId="72EB10DB" w14:textId="77777777" w:rsidR="00143AAE" w:rsidRPr="00D36EB6" w:rsidRDefault="00143AAE" w:rsidP="00143AAE">
      <w:pPr>
        <w:spacing w:before="240" w:after="240" w:line="240" w:lineRule="auto"/>
        <w:rPr>
          <w:rFonts w:cs="Arial"/>
        </w:rPr>
      </w:pPr>
      <w:r w:rsidRPr="00D36EB6">
        <w:rPr>
          <w:rFonts w:cs="Arial"/>
          <w:b/>
          <w:lang w:val="mk-MK"/>
        </w:rPr>
        <w:t>Акција</w:t>
      </w:r>
      <w:r w:rsidRPr="00D36EB6">
        <w:rPr>
          <w:rFonts w:cs="Arial"/>
        </w:rPr>
        <w:t xml:space="preserve">: 3.1 </w:t>
      </w:r>
      <w:r w:rsidRPr="00D36EB6">
        <w:rPr>
          <w:rFonts w:cs="Arial"/>
          <w:lang w:val="mk-MK"/>
        </w:rPr>
        <w:t>Да се зголеми капацитетот на Центрите за абориџински деца и семејства (</w:t>
      </w:r>
      <w:r w:rsidRPr="00D36EB6">
        <w:rPr>
          <w:rFonts w:cs="Arial"/>
        </w:rPr>
        <w:t>Aboriginal Child and Family Centres</w:t>
      </w:r>
      <w:r w:rsidRPr="00D36EB6">
        <w:rPr>
          <w:rFonts w:cs="Arial"/>
          <w:lang w:val="mk-MK"/>
        </w:rPr>
        <w:t xml:space="preserve"> - </w:t>
      </w:r>
      <w:r w:rsidRPr="00D36EB6">
        <w:rPr>
          <w:rFonts w:cs="Arial"/>
        </w:rPr>
        <w:t>ACFC)</w:t>
      </w:r>
      <w:r w:rsidRPr="00D36EB6">
        <w:rPr>
          <w:rFonts w:cs="Arial"/>
          <w:lang w:val="mk-MK"/>
        </w:rPr>
        <w:t xml:space="preserve"> во Нов Јужен Велс за да обезбедуваат квалитетно образование во раното детство и координирани здравствени и семејни услуги за абориџинските деца, семејства и заедници.</w:t>
      </w:r>
    </w:p>
    <w:p w14:paraId="3EF2A56F" w14:textId="77777777" w:rsidR="00143AAE" w:rsidRPr="00D36EB6" w:rsidRDefault="00143AAE" w:rsidP="00143AAE">
      <w:pPr>
        <w:spacing w:before="240" w:after="240" w:line="240" w:lineRule="auto"/>
        <w:rPr>
          <w:rFonts w:cs="Arial"/>
        </w:rPr>
      </w:pPr>
      <w:r w:rsidRPr="00D36EB6">
        <w:rPr>
          <w:rFonts w:cs="Arial"/>
          <w:lang w:val="mk-MK"/>
        </w:rPr>
        <w:t xml:space="preserve">Центрите </w:t>
      </w:r>
      <w:r w:rsidRPr="00D36EB6">
        <w:rPr>
          <w:rFonts w:cs="Arial"/>
        </w:rPr>
        <w:t>ACFC</w:t>
      </w:r>
      <w:r w:rsidRPr="00D36EB6">
        <w:rPr>
          <w:rFonts w:cs="Arial"/>
          <w:lang w:val="mk-MK"/>
        </w:rPr>
        <w:t xml:space="preserve"> ги поддржуваат абориџинските деца да ги достигнат клучните развојни фази и го подобруваат пристапот до низа разновидни квалитетни услуги во културно безбедно окружување.</w:t>
      </w:r>
    </w:p>
    <w:p w14:paraId="7DC1612C" w14:textId="77777777" w:rsidR="00143AAE" w:rsidRPr="00D36EB6" w:rsidRDefault="00143AAE" w:rsidP="00143AAE">
      <w:pPr>
        <w:spacing w:before="240" w:after="240" w:line="240" w:lineRule="auto"/>
        <w:rPr>
          <w:rFonts w:cs="Arial"/>
        </w:rPr>
      </w:pPr>
      <w:r w:rsidRPr="00D36EB6">
        <w:rPr>
          <w:rFonts w:cs="Arial"/>
          <w:b/>
          <w:lang w:val="mk-MK"/>
        </w:rPr>
        <w:t>Показател</w:t>
      </w:r>
      <w:r w:rsidRPr="00D36EB6">
        <w:rPr>
          <w:rFonts w:cs="Arial"/>
        </w:rPr>
        <w:t xml:space="preserve">: </w:t>
      </w:r>
    </w:p>
    <w:p w14:paraId="7EB9CA9E" w14:textId="77777777" w:rsidR="00143AAE" w:rsidRPr="00D36EB6" w:rsidRDefault="00143AAE" w:rsidP="00143AAE">
      <w:pPr>
        <w:spacing w:before="240" w:after="240" w:line="240" w:lineRule="auto"/>
        <w:rPr>
          <w:rFonts w:cs="Arial"/>
        </w:rPr>
      </w:pPr>
      <w:r w:rsidRPr="00D36EB6">
        <w:rPr>
          <w:rFonts w:cs="Arial"/>
          <w:lang w:val="mk-MK"/>
        </w:rPr>
        <w:t>Годишно известување</w:t>
      </w:r>
      <w:r w:rsidRPr="00D36EB6">
        <w:rPr>
          <w:rFonts w:cs="Arial"/>
        </w:rPr>
        <w:t>:</w:t>
      </w:r>
    </w:p>
    <w:p w14:paraId="389F1658" w14:textId="65EC1A73" w:rsidR="00143AAE" w:rsidRPr="00143AAE" w:rsidRDefault="00143AAE" w:rsidP="00143AAE">
      <w:pPr>
        <w:pStyle w:val="ListParagraph"/>
        <w:numPr>
          <w:ilvl w:val="0"/>
          <w:numId w:val="17"/>
        </w:numPr>
        <w:spacing w:after="120" w:line="240" w:lineRule="auto"/>
        <w:ind w:left="360"/>
        <w:rPr>
          <w:rFonts w:cs="Arial"/>
        </w:rPr>
      </w:pPr>
      <w:r w:rsidRPr="00143AAE">
        <w:rPr>
          <w:rFonts w:cs="Arial"/>
          <w:lang w:val="mk-MK"/>
        </w:rPr>
        <w:t>Зголемено присуство на училишната настава и зголемен успех во училиштето</w:t>
      </w:r>
      <w:r w:rsidRPr="00143AAE">
        <w:rPr>
          <w:rFonts w:cs="Arial"/>
        </w:rPr>
        <w:t xml:space="preserve">. </w:t>
      </w:r>
    </w:p>
    <w:p w14:paraId="4A290D0D" w14:textId="6A211AEA" w:rsidR="00143AAE" w:rsidRPr="00143AAE" w:rsidRDefault="00143AAE" w:rsidP="00143AAE">
      <w:pPr>
        <w:pStyle w:val="ListParagraph"/>
        <w:numPr>
          <w:ilvl w:val="0"/>
          <w:numId w:val="17"/>
        </w:numPr>
        <w:spacing w:after="120" w:line="240" w:lineRule="auto"/>
        <w:ind w:left="360"/>
        <w:rPr>
          <w:rFonts w:cs="Arial"/>
        </w:rPr>
      </w:pPr>
      <w:r w:rsidRPr="00143AAE">
        <w:rPr>
          <w:rFonts w:cs="Arial"/>
          <w:lang w:val="mk-MK"/>
        </w:rPr>
        <w:t>Помал број абориџински деца кои се згрижени во системот за заштита на децата.</w:t>
      </w:r>
    </w:p>
    <w:p w14:paraId="23E698D2" w14:textId="59D5F948" w:rsidR="00143AAE" w:rsidRPr="00143AAE" w:rsidRDefault="00143AAE" w:rsidP="00143AAE">
      <w:pPr>
        <w:pStyle w:val="ListParagraph"/>
        <w:numPr>
          <w:ilvl w:val="0"/>
          <w:numId w:val="17"/>
        </w:numPr>
        <w:spacing w:after="120" w:line="240" w:lineRule="auto"/>
        <w:ind w:left="360"/>
        <w:rPr>
          <w:rFonts w:cs="Arial"/>
        </w:rPr>
      </w:pPr>
      <w:r w:rsidRPr="00143AAE">
        <w:rPr>
          <w:rFonts w:cs="Arial"/>
          <w:lang w:val="mk-MK"/>
        </w:rPr>
        <w:t>Подобро здравје за абориџинските деца и младинци.</w:t>
      </w:r>
    </w:p>
    <w:p w14:paraId="608175BF" w14:textId="77777777" w:rsidR="00143AAE" w:rsidRPr="00D36EB6" w:rsidRDefault="00143AAE" w:rsidP="00143AAE">
      <w:pPr>
        <w:spacing w:before="240" w:after="240" w:line="240" w:lineRule="auto"/>
        <w:rPr>
          <w:rFonts w:cs="Arial"/>
          <w:lang w:val="mk-MK"/>
        </w:rPr>
      </w:pPr>
      <w:r w:rsidRPr="00D36EB6">
        <w:rPr>
          <w:rFonts w:cs="Arial"/>
          <w:b/>
          <w:lang w:val="mk-MK"/>
        </w:rPr>
        <w:t>Состојба</w:t>
      </w:r>
      <w:r w:rsidRPr="00D36EB6">
        <w:rPr>
          <w:rFonts w:cs="Arial"/>
        </w:rPr>
        <w:t xml:space="preserve">: </w:t>
      </w:r>
      <w:r w:rsidRPr="00D36EB6">
        <w:rPr>
          <w:rFonts w:cs="Arial"/>
          <w:lang w:val="mk-MK"/>
        </w:rPr>
        <w:t>Во тек</w:t>
      </w:r>
    </w:p>
    <w:p w14:paraId="618F08D6" w14:textId="77777777" w:rsidR="00143AAE" w:rsidRPr="00D36EB6" w:rsidRDefault="00143AAE" w:rsidP="00143AAE">
      <w:pPr>
        <w:spacing w:before="240" w:after="240" w:line="240" w:lineRule="auto"/>
        <w:rPr>
          <w:rFonts w:cs="Arial"/>
        </w:rPr>
      </w:pPr>
      <w:r w:rsidRPr="00D36EB6">
        <w:rPr>
          <w:rFonts w:cs="Arial"/>
          <w:b/>
          <w:lang w:val="mk-MK"/>
        </w:rPr>
        <w:t>Опис</w:t>
      </w:r>
      <w:r w:rsidRPr="00D36EB6">
        <w:rPr>
          <w:rFonts w:cs="Arial"/>
        </w:rPr>
        <w:t>:</w:t>
      </w:r>
    </w:p>
    <w:p w14:paraId="4752DB86" w14:textId="77777777" w:rsidR="00143AAE" w:rsidRPr="00D36EB6" w:rsidRDefault="00143AAE" w:rsidP="00143AAE">
      <w:pPr>
        <w:spacing w:before="240" w:after="240" w:line="240" w:lineRule="auto"/>
        <w:rPr>
          <w:rFonts w:cs="Arial"/>
        </w:rPr>
      </w:pPr>
      <w:r w:rsidRPr="00D36EB6">
        <w:rPr>
          <w:rFonts w:cs="Arial"/>
          <w:lang w:val="mk-MK"/>
        </w:rPr>
        <w:t>„Посветли почетоци“ (</w:t>
      </w:r>
      <w:r w:rsidRPr="00D36EB6">
        <w:rPr>
          <w:rFonts w:cs="Arial"/>
        </w:rPr>
        <w:t>Brighter Beginnings</w:t>
      </w:r>
      <w:r w:rsidRPr="00D36EB6">
        <w:rPr>
          <w:rFonts w:cs="Arial"/>
          <w:lang w:val="mk-MK"/>
        </w:rPr>
        <w:t>) е иницијатива на целата влада сосредоточена на подобрување на резултатите на децата и нивните семејства во Нов Јужен Велс во првите 2000 дена од животот на детето, од зачнувањето до училишна возраст.</w:t>
      </w:r>
    </w:p>
    <w:p w14:paraId="50BC7F17" w14:textId="77777777" w:rsidR="00143AAE" w:rsidRPr="00D36EB6" w:rsidRDefault="00143AAE" w:rsidP="00143AAE">
      <w:pPr>
        <w:spacing w:before="240" w:after="240" w:line="240" w:lineRule="auto"/>
        <w:rPr>
          <w:rFonts w:cs="Arial"/>
        </w:rPr>
      </w:pPr>
      <w:r w:rsidRPr="00D36EB6">
        <w:rPr>
          <w:rFonts w:cs="Arial"/>
          <w:lang w:val="mk-MK"/>
        </w:rPr>
        <w:t>Проширувањето на Програмата за семејни центри за абориџински деца и семејства е иницијатива на „Посветли почетоци“</w:t>
      </w:r>
      <w:r w:rsidRPr="00D36EB6">
        <w:rPr>
          <w:rFonts w:cs="Arial"/>
        </w:rPr>
        <w:t>.</w:t>
      </w:r>
    </w:p>
    <w:p w14:paraId="6A648645" w14:textId="77777777" w:rsidR="00143AAE" w:rsidRPr="00D36EB6" w:rsidRDefault="00143AAE" w:rsidP="00143AAE">
      <w:pPr>
        <w:spacing w:before="240" w:after="240" w:line="240" w:lineRule="auto"/>
        <w:rPr>
          <w:rFonts w:cs="Arial"/>
        </w:rPr>
      </w:pPr>
      <w:r w:rsidRPr="00D36EB6">
        <w:rPr>
          <w:rFonts w:cs="Arial"/>
          <w:lang w:val="mk-MK"/>
        </w:rPr>
        <w:t>Финансиските средства за проширување на Програмата</w:t>
      </w:r>
      <w:r w:rsidRPr="00D36EB6">
        <w:rPr>
          <w:rFonts w:cs="Arial"/>
        </w:rPr>
        <w:t xml:space="preserve"> ACFC</w:t>
      </w:r>
      <w:r w:rsidRPr="00D36EB6">
        <w:rPr>
          <w:rFonts w:cs="Arial"/>
          <w:lang w:val="mk-MK"/>
        </w:rPr>
        <w:t xml:space="preserve"> вклучуваат</w:t>
      </w:r>
      <w:r w:rsidRPr="00D36EB6">
        <w:rPr>
          <w:rFonts w:cs="Arial"/>
        </w:rPr>
        <w:t xml:space="preserve">: </w:t>
      </w:r>
    </w:p>
    <w:p w14:paraId="2D7FFB01" w14:textId="77777777" w:rsidR="00143AAE" w:rsidRPr="00D36EB6" w:rsidRDefault="00143AAE" w:rsidP="00143AAE">
      <w:pPr>
        <w:numPr>
          <w:ilvl w:val="0"/>
          <w:numId w:val="5"/>
        </w:numPr>
        <w:spacing w:after="120" w:line="240" w:lineRule="auto"/>
        <w:ind w:left="432" w:hanging="288"/>
        <w:rPr>
          <w:rFonts w:cs="Arial"/>
        </w:rPr>
      </w:pPr>
      <w:r w:rsidRPr="00D36EB6">
        <w:rPr>
          <w:rFonts w:cs="Arial"/>
        </w:rPr>
        <w:t>42</w:t>
      </w:r>
      <w:r w:rsidRPr="00D36EB6">
        <w:rPr>
          <w:rFonts w:cs="Arial"/>
          <w:lang w:val="mk-MK"/>
        </w:rPr>
        <w:t xml:space="preserve"> милиони долари за изградба на шест нови центри </w:t>
      </w:r>
      <w:r w:rsidRPr="00D36EB6">
        <w:rPr>
          <w:rFonts w:cs="Arial"/>
        </w:rPr>
        <w:t>ACFC</w:t>
      </w:r>
      <w:r w:rsidRPr="00D36EB6">
        <w:rPr>
          <w:rFonts w:cs="Arial"/>
          <w:lang w:val="mk-MK"/>
        </w:rPr>
        <w:t xml:space="preserve"> од 2024 г. до 2027 г.</w:t>
      </w:r>
      <w:r w:rsidRPr="00D36EB6">
        <w:rPr>
          <w:rFonts w:cs="Arial"/>
        </w:rPr>
        <w:t>,</w:t>
      </w:r>
    </w:p>
    <w:p w14:paraId="21CD2B75" w14:textId="77777777" w:rsidR="00143AAE" w:rsidRPr="00D36EB6" w:rsidRDefault="00143AAE" w:rsidP="00143AAE">
      <w:pPr>
        <w:numPr>
          <w:ilvl w:val="0"/>
          <w:numId w:val="5"/>
        </w:numPr>
        <w:spacing w:after="120" w:line="240" w:lineRule="auto"/>
        <w:ind w:left="432" w:hanging="288"/>
        <w:rPr>
          <w:rFonts w:cs="Arial"/>
        </w:rPr>
      </w:pPr>
      <w:r w:rsidRPr="00D36EB6">
        <w:rPr>
          <w:rFonts w:cs="Arial"/>
        </w:rPr>
        <w:t>22</w:t>
      </w:r>
      <w:r w:rsidRPr="00D36EB6">
        <w:rPr>
          <w:rFonts w:cs="Arial"/>
          <w:lang w:val="mk-MK"/>
        </w:rPr>
        <w:t>,</w:t>
      </w:r>
      <w:r w:rsidRPr="00D36EB6">
        <w:rPr>
          <w:rFonts w:cs="Arial"/>
        </w:rPr>
        <w:t>5</w:t>
      </w:r>
      <w:r w:rsidRPr="00D36EB6">
        <w:rPr>
          <w:rFonts w:cs="Arial"/>
          <w:lang w:val="mk-MK"/>
        </w:rPr>
        <w:t xml:space="preserve"> милиони долари за проширување на деветте постојни центри во Балина, Бруарина, Ганеда, Лајтнинг Риџ, Минто, Маунт Друит, Наура, Торонто  и Дунсајд од 2024 г. до 2027 г.</w:t>
      </w:r>
    </w:p>
    <w:p w14:paraId="5708F607" w14:textId="77777777" w:rsidR="00143AAE" w:rsidRPr="00D36EB6" w:rsidRDefault="00143AAE" w:rsidP="00143AAE">
      <w:pPr>
        <w:numPr>
          <w:ilvl w:val="0"/>
          <w:numId w:val="5"/>
        </w:numPr>
        <w:spacing w:after="120" w:line="240" w:lineRule="auto"/>
        <w:ind w:left="432" w:hanging="288"/>
        <w:rPr>
          <w:rFonts w:cs="Arial"/>
        </w:rPr>
      </w:pPr>
      <w:r w:rsidRPr="00D36EB6">
        <w:rPr>
          <w:rFonts w:cs="Arial"/>
        </w:rPr>
        <w:t>1</w:t>
      </w:r>
      <w:r w:rsidRPr="00D36EB6">
        <w:rPr>
          <w:rFonts w:cs="Arial"/>
          <w:lang w:val="mk-MK"/>
        </w:rPr>
        <w:t xml:space="preserve"> милион долари годишно за секој центар за трошоци за работење (претходно </w:t>
      </w:r>
      <w:r w:rsidRPr="00D36EB6">
        <w:rPr>
          <w:rFonts w:cs="Arial"/>
        </w:rPr>
        <w:t>535</w:t>
      </w:r>
      <w:r w:rsidRPr="00D36EB6">
        <w:rPr>
          <w:rFonts w:cs="Arial"/>
          <w:lang w:val="mk-MK"/>
        </w:rPr>
        <w:t>.</w:t>
      </w:r>
      <w:r w:rsidRPr="00D36EB6">
        <w:rPr>
          <w:rFonts w:cs="Arial"/>
        </w:rPr>
        <w:t>000</w:t>
      </w:r>
      <w:r w:rsidRPr="00D36EB6">
        <w:rPr>
          <w:rFonts w:cs="Arial"/>
          <w:lang w:val="mk-MK"/>
        </w:rPr>
        <w:t xml:space="preserve"> долари</w:t>
      </w:r>
      <w:r w:rsidRPr="00D36EB6">
        <w:rPr>
          <w:rFonts w:cs="Arial"/>
        </w:rPr>
        <w:t>).</w:t>
      </w:r>
    </w:p>
    <w:p w14:paraId="1F3BA6F5" w14:textId="0DD3522C" w:rsidR="00143AAE" w:rsidRPr="005114E7" w:rsidRDefault="00143AAE" w:rsidP="00143AAE">
      <w:pPr>
        <w:spacing w:before="240" w:after="240" w:line="240" w:lineRule="auto"/>
        <w:rPr>
          <w:rFonts w:cs="Arial"/>
        </w:rPr>
      </w:pPr>
      <w:r w:rsidRPr="00D36EB6">
        <w:rPr>
          <w:rFonts w:cs="Arial"/>
          <w:lang w:val="mk-MK"/>
        </w:rPr>
        <w:lastRenderedPageBreak/>
        <w:t>Иницијативата „Посветли почетоци“ се стреми да осигури дека 67 проценти од децата во Нов Јужен Велс ќе ги достигнат резултатите од петте области од Австралискиот попис на развојот во раното детство (</w:t>
      </w:r>
      <w:r w:rsidRPr="00D36EB6">
        <w:rPr>
          <w:rFonts w:cs="Arial"/>
        </w:rPr>
        <w:t>Australian Early Development Census</w:t>
      </w:r>
      <w:r w:rsidRPr="00D36EB6">
        <w:rPr>
          <w:rFonts w:cs="Arial"/>
          <w:lang w:val="mk-MK"/>
        </w:rPr>
        <w:t xml:space="preserve"> - </w:t>
      </w:r>
      <w:r w:rsidRPr="00D36EB6">
        <w:rPr>
          <w:rFonts w:cs="Arial"/>
        </w:rPr>
        <w:t xml:space="preserve">AEDC) </w:t>
      </w:r>
      <w:r w:rsidRPr="00D36EB6">
        <w:rPr>
          <w:rFonts w:cs="Arial"/>
          <w:lang w:val="mk-MK"/>
        </w:rPr>
        <w:t>до 2027 г. и му дава поддршка на Нов Јужен Велс да ја надмине целната бројка на иницијативата „Премостување на јазот“ (</w:t>
      </w:r>
      <w:r w:rsidRPr="00D36EB6">
        <w:rPr>
          <w:rFonts w:cs="Arial"/>
        </w:rPr>
        <w:t>Closing the Gap</w:t>
      </w:r>
      <w:r w:rsidRPr="00D36EB6">
        <w:rPr>
          <w:rFonts w:cs="Arial"/>
          <w:lang w:val="mk-MK"/>
        </w:rPr>
        <w:t xml:space="preserve">), според која 55 проценти од абориџинските деца и децата од островите во Торесовиот Теснец треба да ги имаат достигнато резултатите од петте области од </w:t>
      </w:r>
      <w:r w:rsidRPr="00D36EB6">
        <w:rPr>
          <w:rFonts w:cs="Arial"/>
        </w:rPr>
        <w:t xml:space="preserve">AEDC </w:t>
      </w:r>
      <w:r w:rsidRPr="00D36EB6">
        <w:rPr>
          <w:rFonts w:cs="Arial"/>
          <w:lang w:val="mk-MK"/>
        </w:rPr>
        <w:t>до 2031 г.</w:t>
      </w:r>
    </w:p>
    <w:p w14:paraId="17A9D2DB" w14:textId="6437C0CF" w:rsidR="001F7ED0" w:rsidRPr="005114E7" w:rsidRDefault="001F7ED0">
      <w:pPr>
        <w:rPr>
          <w:rFonts w:asciiTheme="minorHAnsi" w:hAnsiTheme="minorHAnsi" w:cstheme="minorHAnsi"/>
        </w:rPr>
      </w:pPr>
      <w:r w:rsidRPr="005114E7">
        <w:rPr>
          <w:rFonts w:asciiTheme="minorHAnsi" w:hAnsiTheme="minorHAnsi" w:cstheme="minorHAnsi"/>
        </w:rPr>
        <w:br w:type="page"/>
      </w:r>
    </w:p>
    <w:p w14:paraId="730B8E22" w14:textId="3FFFCB45" w:rsidR="00D1030A" w:rsidRPr="005114E7" w:rsidRDefault="00714DC7" w:rsidP="00515A1C">
      <w:pPr>
        <w:pStyle w:val="Heading2"/>
      </w:pPr>
      <w:bookmarkStart w:id="35" w:name="_Toc153454151"/>
      <w:proofErr w:type="spellStart"/>
      <w:r w:rsidRPr="00714DC7">
        <w:lastRenderedPageBreak/>
        <w:t>Поддршка</w:t>
      </w:r>
      <w:proofErr w:type="spellEnd"/>
      <w:r w:rsidRPr="00714DC7">
        <w:t xml:space="preserve"> </w:t>
      </w:r>
      <w:proofErr w:type="spellStart"/>
      <w:r w:rsidRPr="00714DC7">
        <w:t>со</w:t>
      </w:r>
      <w:proofErr w:type="spellEnd"/>
      <w:r w:rsidRPr="00714DC7">
        <w:t xml:space="preserve"> </w:t>
      </w:r>
      <w:proofErr w:type="spellStart"/>
      <w:r w:rsidRPr="00714DC7">
        <w:t>однесувањето</w:t>
      </w:r>
      <w:proofErr w:type="spellEnd"/>
      <w:r w:rsidRPr="00714DC7">
        <w:t xml:space="preserve"> и </w:t>
      </w:r>
      <w:proofErr w:type="spellStart"/>
      <w:r w:rsidRPr="00714DC7">
        <w:t>намалување</w:t>
      </w:r>
      <w:proofErr w:type="spellEnd"/>
      <w:r w:rsidRPr="00714DC7">
        <w:t xml:space="preserve"> и </w:t>
      </w:r>
      <w:proofErr w:type="spellStart"/>
      <w:r w:rsidRPr="00714DC7">
        <w:t>укинување</w:t>
      </w:r>
      <w:proofErr w:type="spellEnd"/>
      <w:r w:rsidRPr="00714DC7">
        <w:t xml:space="preserve"> </w:t>
      </w:r>
      <w:proofErr w:type="spellStart"/>
      <w:r w:rsidRPr="00714DC7">
        <w:t>на</w:t>
      </w:r>
      <w:proofErr w:type="spellEnd"/>
      <w:r w:rsidRPr="00714DC7">
        <w:t xml:space="preserve"> </w:t>
      </w:r>
      <w:proofErr w:type="spellStart"/>
      <w:r w:rsidRPr="00714DC7">
        <w:t>практиките</w:t>
      </w:r>
      <w:proofErr w:type="spellEnd"/>
      <w:r w:rsidRPr="00714DC7">
        <w:t xml:space="preserve"> </w:t>
      </w:r>
      <w:proofErr w:type="spellStart"/>
      <w:r w:rsidRPr="00714DC7">
        <w:t>за</w:t>
      </w:r>
      <w:proofErr w:type="spellEnd"/>
      <w:r w:rsidRPr="00714DC7">
        <w:t xml:space="preserve"> </w:t>
      </w:r>
      <w:proofErr w:type="spellStart"/>
      <w:r w:rsidRPr="00714DC7">
        <w:t>ограничување</w:t>
      </w:r>
      <w:bookmarkEnd w:id="35"/>
      <w:proofErr w:type="spellEnd"/>
    </w:p>
    <w:p w14:paraId="3799805C" w14:textId="77777777" w:rsidR="00714DC7" w:rsidRPr="00D36EB6" w:rsidRDefault="00714DC7" w:rsidP="00EA74FB">
      <w:pPr>
        <w:spacing w:before="240" w:after="240" w:line="240" w:lineRule="auto"/>
        <w:rPr>
          <w:rFonts w:cs="Arial"/>
          <w:b/>
        </w:rPr>
      </w:pPr>
      <w:r w:rsidRPr="00D36EB6">
        <w:rPr>
          <w:rFonts w:cs="Arial"/>
          <w:b/>
          <w:lang w:val="mk-MK"/>
        </w:rPr>
        <w:t>Надлежност</w:t>
      </w:r>
      <w:r w:rsidRPr="00D36EB6">
        <w:rPr>
          <w:rFonts w:cs="Arial"/>
          <w:b/>
        </w:rPr>
        <w:t xml:space="preserve">: </w:t>
      </w:r>
      <w:r w:rsidRPr="00D36EB6">
        <w:rPr>
          <w:rFonts w:cs="Arial"/>
          <w:lang w:val="mk-MK"/>
        </w:rPr>
        <w:t xml:space="preserve">Комисијата за квалитет и безбедност на Програмата </w:t>
      </w:r>
      <w:r w:rsidRPr="00D36EB6">
        <w:rPr>
          <w:rFonts w:cs="Arial"/>
        </w:rPr>
        <w:t>NDIS</w:t>
      </w:r>
      <w:r w:rsidRPr="00D36EB6">
        <w:rPr>
          <w:rFonts w:cs="Arial"/>
          <w:lang w:val="mk-MK"/>
        </w:rPr>
        <w:t xml:space="preserve"> на австралиската влада</w:t>
      </w:r>
    </w:p>
    <w:p w14:paraId="16DE133B" w14:textId="77777777" w:rsidR="00714DC7" w:rsidRPr="00D36EB6" w:rsidRDefault="00714DC7" w:rsidP="00EA74FB">
      <w:pPr>
        <w:spacing w:before="240" w:after="240" w:line="240" w:lineRule="auto"/>
        <w:rPr>
          <w:rFonts w:cs="Arial"/>
          <w:lang w:val="mk-MK"/>
        </w:rPr>
      </w:pPr>
      <w:r w:rsidRPr="00D36EB6">
        <w:rPr>
          <w:rFonts w:cs="Arial"/>
          <w:b/>
          <w:lang w:val="mk-MK"/>
        </w:rPr>
        <w:t>План за насочена акција</w:t>
      </w:r>
      <w:r w:rsidRPr="00D36EB6">
        <w:rPr>
          <w:rFonts w:cs="Arial"/>
          <w:b/>
        </w:rPr>
        <w:t>:</w:t>
      </w:r>
      <w:r w:rsidRPr="00D36EB6">
        <w:rPr>
          <w:rFonts w:cs="Arial"/>
        </w:rPr>
        <w:tab/>
      </w:r>
      <w:r w:rsidRPr="00D36EB6">
        <w:rPr>
          <w:rFonts w:cs="Arial"/>
          <w:lang w:val="mk-MK"/>
        </w:rPr>
        <w:t>Безбедност</w:t>
      </w:r>
    </w:p>
    <w:p w14:paraId="60946EB0" w14:textId="77777777" w:rsidR="00714DC7" w:rsidRPr="00D36EB6" w:rsidRDefault="00714DC7" w:rsidP="00EA74FB">
      <w:pPr>
        <w:spacing w:before="240" w:after="240" w:line="240" w:lineRule="auto"/>
        <w:rPr>
          <w:rFonts w:cs="Arial"/>
        </w:rPr>
      </w:pPr>
      <w:r w:rsidRPr="00D36EB6">
        <w:rPr>
          <w:rFonts w:cs="Arial"/>
          <w:b/>
          <w:lang w:val="mk-MK"/>
        </w:rPr>
        <w:t>Цел на планот за насочена акција</w:t>
      </w:r>
      <w:r w:rsidRPr="00D36EB6">
        <w:rPr>
          <w:rFonts w:cs="Arial"/>
          <w:b/>
        </w:rPr>
        <w:t xml:space="preserve">: </w:t>
      </w:r>
      <w:r w:rsidRPr="00D36EB6">
        <w:rPr>
          <w:rFonts w:cs="Arial"/>
        </w:rPr>
        <w:t xml:space="preserve">4. </w:t>
      </w:r>
      <w:r w:rsidRPr="00D36EB6">
        <w:rPr>
          <w:rFonts w:cs="Arial"/>
          <w:lang w:val="mk-MK"/>
        </w:rPr>
        <w:t xml:space="preserve">Да се намали и да се укине користењето на практиките за ограничување во сите </w:t>
      </w:r>
      <w:proofErr w:type="spellStart"/>
      <w:r w:rsidRPr="00D36EB6">
        <w:rPr>
          <w:rFonts w:cs="Arial"/>
        </w:rPr>
        <w:t>системи</w:t>
      </w:r>
      <w:proofErr w:type="spellEnd"/>
      <w:r w:rsidRPr="00D36EB6">
        <w:rPr>
          <w:rFonts w:cs="Arial"/>
          <w:lang w:val="mk-MK"/>
        </w:rPr>
        <w:t xml:space="preserve"> на државните служби.</w:t>
      </w:r>
    </w:p>
    <w:p w14:paraId="39672EE1" w14:textId="77777777" w:rsidR="00714DC7" w:rsidRPr="00D36EB6" w:rsidRDefault="00714DC7" w:rsidP="00EA74FB">
      <w:pPr>
        <w:spacing w:before="240" w:after="240" w:line="240" w:lineRule="auto"/>
        <w:rPr>
          <w:rFonts w:cs="Arial"/>
        </w:rPr>
      </w:pPr>
      <w:r w:rsidRPr="00D36EB6">
        <w:rPr>
          <w:rFonts w:cs="Arial"/>
          <w:b/>
          <w:lang w:val="mk-MK"/>
        </w:rPr>
        <w:t>Акција</w:t>
      </w:r>
      <w:r w:rsidRPr="00D36EB6">
        <w:rPr>
          <w:rFonts w:cs="Arial"/>
          <w:b/>
        </w:rPr>
        <w:t xml:space="preserve">: </w:t>
      </w:r>
      <w:r w:rsidRPr="00D36EB6">
        <w:rPr>
          <w:rFonts w:cs="Arial"/>
        </w:rPr>
        <w:t xml:space="preserve">4.4 </w:t>
      </w:r>
      <w:r w:rsidRPr="00D36EB6">
        <w:rPr>
          <w:rFonts w:cs="Arial"/>
          <w:lang w:val="mk-MK"/>
        </w:rPr>
        <w:t>Зголемување на напорите да се продолжи со поучувањето и градењето на капацитетите на секторот за онеспособеност и секторот на заедницата за да даваат поддршка со однесувањето и намалување и укинување на практиките за ограничување.</w:t>
      </w:r>
    </w:p>
    <w:p w14:paraId="467E3884" w14:textId="77777777" w:rsidR="00714DC7" w:rsidRPr="00D36EB6" w:rsidRDefault="00714DC7" w:rsidP="00EA74FB">
      <w:pPr>
        <w:spacing w:before="240" w:after="240" w:line="240" w:lineRule="auto"/>
        <w:rPr>
          <w:rFonts w:cs="Arial"/>
        </w:rPr>
      </w:pPr>
      <w:r w:rsidRPr="00D36EB6">
        <w:rPr>
          <w:rFonts w:cs="Arial"/>
          <w:b/>
          <w:lang w:val="mk-MK"/>
        </w:rPr>
        <w:t>Показател</w:t>
      </w:r>
      <w:r w:rsidRPr="00D36EB6">
        <w:rPr>
          <w:rFonts w:cs="Arial"/>
          <w:b/>
        </w:rPr>
        <w:t>:</w:t>
      </w:r>
      <w:r w:rsidRPr="00D36EB6">
        <w:rPr>
          <w:rFonts w:cs="Arial"/>
        </w:rPr>
        <w:tab/>
      </w:r>
    </w:p>
    <w:p w14:paraId="734B046E" w14:textId="77777777" w:rsidR="00714DC7" w:rsidRPr="00D36EB6" w:rsidRDefault="00714DC7" w:rsidP="00EA74FB">
      <w:pPr>
        <w:spacing w:before="240" w:after="240" w:line="240" w:lineRule="auto"/>
        <w:rPr>
          <w:rFonts w:cs="Arial"/>
          <w:i/>
        </w:rPr>
      </w:pPr>
      <w:r w:rsidRPr="00D36EB6">
        <w:rPr>
          <w:rFonts w:cs="Arial"/>
          <w:i/>
          <w:lang w:val="mk-MK"/>
        </w:rPr>
        <w:t>Показатели на резултатот</w:t>
      </w:r>
      <w:r w:rsidRPr="00D36EB6">
        <w:rPr>
          <w:rFonts w:cs="Arial"/>
          <w:i/>
        </w:rPr>
        <w:t xml:space="preserve"> </w:t>
      </w:r>
    </w:p>
    <w:p w14:paraId="1FF5E00E" w14:textId="77777777" w:rsidR="00714DC7" w:rsidRPr="00D36EB6" w:rsidRDefault="00714DC7" w:rsidP="00A63F5A">
      <w:pPr>
        <w:numPr>
          <w:ilvl w:val="0"/>
          <w:numId w:val="7"/>
        </w:numPr>
        <w:spacing w:after="120" w:line="240" w:lineRule="auto"/>
        <w:rPr>
          <w:rFonts w:cs="Arial"/>
        </w:rPr>
      </w:pPr>
      <w:r w:rsidRPr="00D36EB6">
        <w:rPr>
          <w:rFonts w:cs="Arial"/>
          <w:lang w:val="mk-MK"/>
        </w:rPr>
        <w:t>Намалување на користењето на практики за ограничување со текот на времето</w:t>
      </w:r>
      <w:r w:rsidRPr="00D36EB6">
        <w:rPr>
          <w:rFonts w:cs="Arial"/>
        </w:rPr>
        <w:t xml:space="preserve">. </w:t>
      </w:r>
    </w:p>
    <w:p w14:paraId="36A148BC" w14:textId="77777777" w:rsidR="00714DC7" w:rsidRPr="00D36EB6" w:rsidRDefault="00714DC7" w:rsidP="00EA74FB">
      <w:pPr>
        <w:spacing w:before="240" w:after="240" w:line="240" w:lineRule="auto"/>
        <w:rPr>
          <w:rFonts w:cs="Arial"/>
          <w:i/>
          <w:lang w:val="mk-MK"/>
        </w:rPr>
      </w:pPr>
      <w:r w:rsidRPr="00D36EB6">
        <w:rPr>
          <w:rFonts w:cs="Arial"/>
          <w:i/>
          <w:lang w:val="mk-MK"/>
        </w:rPr>
        <w:t>Показатели за делотворност и ефикасност</w:t>
      </w:r>
    </w:p>
    <w:p w14:paraId="6470315B" w14:textId="77777777" w:rsidR="00714DC7" w:rsidRPr="00D36EB6" w:rsidRDefault="00714DC7" w:rsidP="00A63F5A">
      <w:pPr>
        <w:numPr>
          <w:ilvl w:val="0"/>
          <w:numId w:val="7"/>
        </w:numPr>
        <w:spacing w:after="120" w:line="240" w:lineRule="auto"/>
        <w:rPr>
          <w:rFonts w:cs="Arial"/>
          <w:i/>
        </w:rPr>
      </w:pPr>
      <w:r w:rsidRPr="00D36EB6">
        <w:rPr>
          <w:rFonts w:cs="Arial"/>
          <w:lang w:val="mk-MK"/>
        </w:rPr>
        <w:t>Алатките за поучување и за градење на капацитетите делоторно ја зголемуваат свеста и способноста на секторот за онеспособеност, на главните системи и на заедницата за да се укинат практиките за ограничување.</w:t>
      </w:r>
    </w:p>
    <w:p w14:paraId="3F2260D3" w14:textId="77777777" w:rsidR="00714DC7" w:rsidRPr="00D36EB6" w:rsidRDefault="00714DC7" w:rsidP="00EA74FB">
      <w:pPr>
        <w:spacing w:before="240" w:after="240" w:line="240" w:lineRule="auto"/>
        <w:rPr>
          <w:rFonts w:cs="Arial"/>
          <w:lang w:val="mk-MK"/>
        </w:rPr>
      </w:pPr>
      <w:r w:rsidRPr="00D36EB6">
        <w:rPr>
          <w:rFonts w:cs="Arial"/>
          <w:b/>
          <w:lang w:val="mk-MK"/>
        </w:rPr>
        <w:t>Состојба</w:t>
      </w:r>
      <w:r w:rsidRPr="00D36EB6">
        <w:rPr>
          <w:rFonts w:cs="Arial"/>
          <w:b/>
        </w:rPr>
        <w:t xml:space="preserve">: </w:t>
      </w:r>
      <w:r w:rsidRPr="00D36EB6">
        <w:rPr>
          <w:rFonts w:cs="Arial"/>
          <w:lang w:val="mk-MK"/>
        </w:rPr>
        <w:t>Во тек</w:t>
      </w:r>
    </w:p>
    <w:p w14:paraId="24E966A8" w14:textId="77777777" w:rsidR="00714DC7" w:rsidRPr="00D36EB6" w:rsidRDefault="00714DC7" w:rsidP="00EA74FB">
      <w:pPr>
        <w:spacing w:before="240" w:after="240" w:line="240" w:lineRule="auto"/>
        <w:rPr>
          <w:rFonts w:cs="Arial"/>
        </w:rPr>
      </w:pPr>
      <w:r w:rsidRPr="00D36EB6">
        <w:rPr>
          <w:rFonts w:cs="Arial"/>
          <w:b/>
          <w:lang w:val="mk-MK"/>
        </w:rPr>
        <w:t>Опис</w:t>
      </w:r>
      <w:r w:rsidRPr="00D36EB6">
        <w:rPr>
          <w:rFonts w:cs="Arial"/>
        </w:rPr>
        <w:t>:</w:t>
      </w:r>
      <w:r w:rsidRPr="00D36EB6">
        <w:rPr>
          <w:rFonts w:cs="Arial"/>
        </w:rPr>
        <w:tab/>
      </w:r>
    </w:p>
    <w:p w14:paraId="2913F301" w14:textId="77777777" w:rsidR="00714DC7" w:rsidRPr="00D36EB6" w:rsidRDefault="00714DC7" w:rsidP="00EA74FB">
      <w:pPr>
        <w:spacing w:before="240" w:after="240" w:line="240" w:lineRule="auto"/>
        <w:rPr>
          <w:rFonts w:cs="Arial"/>
        </w:rPr>
      </w:pPr>
      <w:r w:rsidRPr="00D36EB6">
        <w:rPr>
          <w:rFonts w:cs="Arial"/>
          <w:lang w:val="mk-MK"/>
        </w:rPr>
        <w:t>Во текот на периодот за којшто се известува, Комисијата на Програмата</w:t>
      </w:r>
      <w:r w:rsidRPr="00D36EB6">
        <w:rPr>
          <w:rFonts w:cs="Arial"/>
        </w:rPr>
        <w:t xml:space="preserve"> NDIS</w:t>
      </w:r>
      <w:r w:rsidRPr="00D36EB6">
        <w:rPr>
          <w:rFonts w:cs="Arial"/>
          <w:lang w:val="mk-MK"/>
        </w:rPr>
        <w:t xml:space="preserve"> продолжи да го поучува секторот користејќи низа разновидни средства и начини. Тие </w:t>
      </w:r>
      <w:proofErr w:type="spellStart"/>
      <w:r w:rsidRPr="00D36EB6">
        <w:rPr>
          <w:rFonts w:cs="Arial"/>
        </w:rPr>
        <w:t>вклучуваа</w:t>
      </w:r>
      <w:proofErr w:type="spellEnd"/>
      <w:r w:rsidRPr="00D36EB6">
        <w:rPr>
          <w:rFonts w:cs="Arial"/>
          <w:lang w:val="mk-MK"/>
        </w:rPr>
        <w:t>:</w:t>
      </w:r>
      <w:r w:rsidRPr="00D36EB6">
        <w:rPr>
          <w:rFonts w:cs="Arial"/>
        </w:rPr>
        <w:t xml:space="preserve"> </w:t>
      </w:r>
    </w:p>
    <w:p w14:paraId="7D5E3B23" w14:textId="77777777" w:rsidR="00714DC7" w:rsidRPr="00D36EB6" w:rsidRDefault="00714DC7" w:rsidP="00A63F5A">
      <w:pPr>
        <w:numPr>
          <w:ilvl w:val="0"/>
          <w:numId w:val="14"/>
        </w:numPr>
        <w:spacing w:after="120" w:line="240" w:lineRule="auto"/>
        <w:ind w:left="426" w:hanging="426"/>
        <w:rPr>
          <w:rFonts w:cs="Arial"/>
          <w:lang w:val="mk-MK"/>
        </w:rPr>
      </w:pPr>
      <w:r w:rsidRPr="00D36EB6">
        <w:rPr>
          <w:rFonts w:cs="Arial"/>
        </w:rPr>
        <w:t>659</w:t>
      </w:r>
      <w:r w:rsidRPr="00D36EB6">
        <w:rPr>
          <w:rFonts w:cs="Arial"/>
          <w:lang w:val="mk-MK"/>
        </w:rPr>
        <w:t xml:space="preserve"> активности за ангажирање, како што се состаноци со поединечни даватели на услуги, групни работилници, заинтересирани групи, состаноци на меѓуагенциската мрежа, како и средби за поучување спроведени во соработка со други агенции како што се </w:t>
      </w:r>
      <w:r w:rsidRPr="00D36EB6">
        <w:rPr>
          <w:rFonts w:cs="Arial"/>
        </w:rPr>
        <w:t>NDIA, NDS, TAFE,</w:t>
      </w:r>
      <w:r w:rsidRPr="00D36EB6">
        <w:rPr>
          <w:rFonts w:cs="Arial"/>
          <w:lang w:val="mk-MK"/>
        </w:rPr>
        <w:t xml:space="preserve"> водечки тела и органи на власта во државите и териториите. Ангажирањето опфаќаше низа разновидни прашања што се однесуваа на законските барања, на квалитетот на плановите за поддршка со однесувањето и намалувањето и укинувањето на практиките за ограничување.</w:t>
      </w:r>
    </w:p>
    <w:p w14:paraId="230F9C63" w14:textId="77777777" w:rsidR="00714DC7" w:rsidRPr="00D36EB6" w:rsidRDefault="00714DC7" w:rsidP="00A63F5A">
      <w:pPr>
        <w:numPr>
          <w:ilvl w:val="0"/>
          <w:numId w:val="14"/>
        </w:numPr>
        <w:spacing w:after="120" w:line="240" w:lineRule="auto"/>
        <w:ind w:left="426" w:hanging="426"/>
        <w:rPr>
          <w:rFonts w:cs="Arial"/>
        </w:rPr>
      </w:pPr>
      <w:r w:rsidRPr="00D36EB6">
        <w:rPr>
          <w:rFonts w:cs="Arial"/>
          <w:lang w:val="mk-MK"/>
        </w:rPr>
        <w:t>Поврзување со универзитетите за да се поддржат курсевите за поддршка на позитивното однесување на Универзитетот на Квинсленд, универзитетот Флиндерс, универзитетот Кртин, универзитетот Монаш и Универзитетот на Мелбурн.</w:t>
      </w:r>
    </w:p>
    <w:p w14:paraId="28EF4062" w14:textId="77777777" w:rsidR="00714DC7" w:rsidRPr="00D36EB6" w:rsidRDefault="00714DC7" w:rsidP="00A63F5A">
      <w:pPr>
        <w:numPr>
          <w:ilvl w:val="0"/>
          <w:numId w:val="14"/>
        </w:numPr>
        <w:spacing w:after="120" w:line="240" w:lineRule="auto"/>
        <w:ind w:left="426" w:hanging="426"/>
        <w:rPr>
          <w:rFonts w:cs="Arial"/>
        </w:rPr>
      </w:pPr>
      <w:r w:rsidRPr="00D36EB6">
        <w:rPr>
          <w:rFonts w:cs="Arial"/>
          <w:lang w:val="mk-MK"/>
        </w:rPr>
        <w:t xml:space="preserve">Изработка на информативни материјали за практиките во поглед на поддршката со однесувањето, со практиките за ограничување и со обврските според Законот за </w:t>
      </w:r>
      <w:r w:rsidRPr="00D36EB6">
        <w:rPr>
          <w:rFonts w:cs="Arial"/>
        </w:rPr>
        <w:t>NDIS</w:t>
      </w:r>
      <w:r w:rsidRPr="00D36EB6">
        <w:rPr>
          <w:rFonts w:cs="Arial"/>
          <w:lang w:val="mk-MK"/>
        </w:rPr>
        <w:t>, вклучувајќи</w:t>
      </w:r>
      <w:r w:rsidRPr="00D36EB6">
        <w:rPr>
          <w:rFonts w:cs="Arial"/>
        </w:rPr>
        <w:t>:</w:t>
      </w:r>
    </w:p>
    <w:p w14:paraId="7D85AED6" w14:textId="77777777" w:rsidR="00714DC7" w:rsidRPr="00D36EB6" w:rsidRDefault="00714DC7" w:rsidP="00A63F5A">
      <w:pPr>
        <w:numPr>
          <w:ilvl w:val="0"/>
          <w:numId w:val="16"/>
        </w:numPr>
        <w:spacing w:after="120" w:line="240" w:lineRule="auto"/>
        <w:ind w:left="851" w:hanging="425"/>
        <w:rPr>
          <w:rFonts w:cs="Arial"/>
        </w:rPr>
      </w:pPr>
      <w:r w:rsidRPr="00D36EB6">
        <w:rPr>
          <w:rFonts w:cs="Arial"/>
          <w:lang w:val="mk-MK"/>
        </w:rPr>
        <w:lastRenderedPageBreak/>
        <w:t>Водичи за практиките во однос на препознавањето и решавањето на прашањата поврзани со практиките за ограничување (на пример, Водич за практиката на користење технологија за надзор, Ревидиран водич за безбеден превоз).</w:t>
      </w:r>
    </w:p>
    <w:p w14:paraId="0C9153A3" w14:textId="77777777" w:rsidR="00714DC7" w:rsidRPr="00D36EB6" w:rsidRDefault="00714DC7" w:rsidP="00EA74FB">
      <w:pPr>
        <w:autoSpaceDE w:val="0"/>
        <w:autoSpaceDN w:val="0"/>
        <w:adjustRightInd w:val="0"/>
        <w:spacing w:before="240" w:after="240" w:line="240" w:lineRule="auto"/>
        <w:rPr>
          <w:rFonts w:cs="Arial"/>
          <w:u w:val="single"/>
        </w:rPr>
      </w:pPr>
      <w:r w:rsidRPr="00D36EB6">
        <w:rPr>
          <w:rFonts w:cs="Arial"/>
          <w:lang w:val="mk-MK"/>
        </w:rPr>
        <w:t>Со заеднички труд изработени се пет информативни листови за учесниците во врска со поддршката со однесувањето, што може да се најдат тука</w:t>
      </w:r>
      <w:r w:rsidRPr="00D36EB6">
        <w:rPr>
          <w:rFonts w:cs="Arial"/>
        </w:rPr>
        <w:t xml:space="preserve">: </w:t>
      </w:r>
      <w:hyperlink r:id="rId20" w:history="1">
        <w:r w:rsidRPr="00D36EB6">
          <w:rPr>
            <w:rStyle w:val="Hyperlink"/>
            <w:rFonts w:cs="Arial"/>
            <w:b w:val="0"/>
            <w:lang w:val="mk-MK" w:eastAsia="mk-MK"/>
          </w:rPr>
          <w:t xml:space="preserve">Информативни листови за учесниците во врска со поддршката со однесувањето | Комисија за квалитет и безбедност на Програмата NDIS (ndiscommission.gov.au) </w:t>
        </w:r>
        <w:r w:rsidRPr="00D36EB6">
          <w:rPr>
            <w:rStyle w:val="Hyperlink"/>
            <w:rFonts w:cs="Arial"/>
            <w:b w:val="0"/>
          </w:rPr>
          <w:t>Participant Fact Sheets for Behaviour Support | NDIS Quality and Safeguards Commission (ndiscommission.gov.au)</w:t>
        </w:r>
      </w:hyperlink>
      <w:r w:rsidRPr="00D36EB6">
        <w:rPr>
          <w:rFonts w:cs="Arial"/>
          <w:color w:val="000000"/>
          <w:lang w:val="mk-MK" w:eastAsia="mk-MK"/>
        </w:rPr>
        <w:t>.</w:t>
      </w:r>
    </w:p>
    <w:p w14:paraId="3E424C7D" w14:textId="77777777" w:rsidR="00714DC7" w:rsidRPr="00D36EB6" w:rsidRDefault="00714DC7" w:rsidP="00A63F5A">
      <w:pPr>
        <w:numPr>
          <w:ilvl w:val="0"/>
          <w:numId w:val="16"/>
        </w:numPr>
        <w:spacing w:after="120" w:line="240" w:lineRule="auto"/>
        <w:ind w:left="851" w:hanging="425"/>
        <w:rPr>
          <w:rFonts w:cs="Arial"/>
          <w:u w:val="single"/>
        </w:rPr>
      </w:pPr>
      <w:r w:rsidRPr="00D36EB6">
        <w:rPr>
          <w:rFonts w:cs="Arial"/>
          <w:lang w:val="mk-MK"/>
        </w:rPr>
        <w:t>„Списоци за проверка за плановите за поддршка со однесувањето“ во коишто накусо се наведени добрите практики и условите за регистрирање што важат за давателите на специјалистички услуги за поддршка со однесувањето при изработката на планови за поддршка на однесувањето.</w:t>
      </w:r>
    </w:p>
    <w:p w14:paraId="107D1AB3" w14:textId="77777777" w:rsidR="00714DC7" w:rsidRPr="00D36EB6" w:rsidRDefault="00714DC7" w:rsidP="00EA74FB">
      <w:pPr>
        <w:numPr>
          <w:ilvl w:val="0"/>
          <w:numId w:val="14"/>
        </w:numPr>
        <w:spacing w:before="240" w:after="240" w:line="240" w:lineRule="auto"/>
        <w:ind w:left="426" w:hanging="426"/>
        <w:rPr>
          <w:rFonts w:cs="Arial"/>
        </w:rPr>
      </w:pPr>
      <w:r w:rsidRPr="00D36EB6">
        <w:rPr>
          <w:rFonts w:cs="Arial"/>
          <w:lang w:val="mk-MK"/>
        </w:rPr>
        <w:t>Објавување на информативни материјали, меѓу кои</w:t>
      </w:r>
      <w:r w:rsidRPr="00D36EB6">
        <w:rPr>
          <w:rFonts w:cs="Arial"/>
        </w:rPr>
        <w:t>:</w:t>
      </w:r>
    </w:p>
    <w:p w14:paraId="2A75FCDA" w14:textId="2F5342A0" w:rsidR="00714DC7" w:rsidRPr="00D36EB6" w:rsidRDefault="00F83AB6" w:rsidP="00A63F5A">
      <w:pPr>
        <w:numPr>
          <w:ilvl w:val="0"/>
          <w:numId w:val="15"/>
        </w:numPr>
        <w:spacing w:after="120" w:line="240" w:lineRule="auto"/>
        <w:ind w:left="851" w:hanging="425"/>
        <w:rPr>
          <w:rFonts w:cs="Arial"/>
        </w:rPr>
      </w:pPr>
      <w:hyperlink r:id="rId21" w:history="1">
        <w:r w:rsidR="00714DC7" w:rsidRPr="00D36EB6">
          <w:rPr>
            <w:rStyle w:val="Hyperlink"/>
            <w:rFonts w:cs="Arial"/>
            <w:b w:val="0"/>
            <w:lang w:val="mk-MK" w:eastAsia="mk-MK"/>
          </w:rPr>
          <w:t xml:space="preserve">Доказите се важни | Комисија за квалитет и безбедност на Програмата NDIS </w:t>
        </w:r>
        <w:r w:rsidR="00714DC7" w:rsidRPr="00D36EB6">
          <w:rPr>
            <w:rStyle w:val="Hyperlink"/>
            <w:rFonts w:cs="Arial"/>
            <w:b w:val="0"/>
            <w:lang w:val="mk-MK"/>
          </w:rPr>
          <w:t>(</w:t>
        </w:r>
        <w:r w:rsidR="00714DC7" w:rsidRPr="00D36EB6">
          <w:rPr>
            <w:rStyle w:val="Hyperlink"/>
            <w:rFonts w:cs="Arial"/>
            <w:b w:val="0"/>
          </w:rPr>
          <w:t>Evidence Matters | NDIS Quality and Safeguards Commission</w:t>
        </w:r>
        <w:r w:rsidR="00714DC7" w:rsidRPr="00D36EB6">
          <w:rPr>
            <w:rStyle w:val="Hyperlink"/>
            <w:rFonts w:cs="Arial"/>
            <w:b w:val="0"/>
            <w:lang w:val="mk-MK"/>
          </w:rPr>
          <w:t>)</w:t>
        </w:r>
      </w:hyperlink>
      <w:r w:rsidR="00714DC7" w:rsidRPr="00D36EB6">
        <w:rPr>
          <w:rFonts w:cs="Arial"/>
          <w:lang w:val="mk-MK"/>
        </w:rPr>
        <w:t>,</w:t>
      </w:r>
      <w:r w:rsidR="00714DC7" w:rsidRPr="00D36EB6">
        <w:rPr>
          <w:rFonts w:cs="Arial"/>
        </w:rPr>
        <w:t xml:space="preserve"> </w:t>
      </w:r>
      <w:r w:rsidR="00714DC7" w:rsidRPr="00D36EB6">
        <w:rPr>
          <w:rFonts w:cs="Arial"/>
          <w:lang w:val="mk-MK"/>
        </w:rPr>
        <w:t>збирка од информативни материјали засновани врз докази за давателите на услуги, учесниците и обезбедувачите на поддршка заради подобрување на практиките за поддршка со однесувањето и за да се намалат практиките за ограничување</w:t>
      </w:r>
    </w:p>
    <w:p w14:paraId="0B71F70A" w14:textId="282FD143" w:rsidR="00714DC7" w:rsidRPr="00D36EB6" w:rsidRDefault="00F83AB6" w:rsidP="00A63F5A">
      <w:pPr>
        <w:numPr>
          <w:ilvl w:val="1"/>
          <w:numId w:val="14"/>
        </w:numPr>
        <w:autoSpaceDE w:val="0"/>
        <w:autoSpaceDN w:val="0"/>
        <w:adjustRightInd w:val="0"/>
        <w:spacing w:after="120" w:line="240" w:lineRule="auto"/>
        <w:ind w:left="885" w:hanging="426"/>
        <w:rPr>
          <w:rFonts w:cs="Arial"/>
        </w:rPr>
      </w:pPr>
      <w:hyperlink r:id="rId22" w:history="1">
        <w:r w:rsidR="00714DC7" w:rsidRPr="00D36EB6">
          <w:rPr>
            <w:rStyle w:val="Hyperlink"/>
            <w:rFonts w:cs="Arial"/>
            <w:b w:val="0"/>
            <w:lang w:val="mk-MK" w:eastAsia="mk-MK"/>
          </w:rPr>
          <w:t>Лекови за здравје, не за контролирање | Комисија за квалитет и безбедност на Програмата NDIS</w:t>
        </w:r>
        <w:r w:rsidR="00714DC7" w:rsidRPr="00D36EB6">
          <w:rPr>
            <w:rStyle w:val="Hyperlink"/>
            <w:rFonts w:cs="Arial"/>
            <w:b w:val="0"/>
            <w:lang w:val="mk-MK"/>
          </w:rPr>
          <w:t xml:space="preserve"> (</w:t>
        </w:r>
        <w:r w:rsidR="00714DC7" w:rsidRPr="00D36EB6">
          <w:rPr>
            <w:rStyle w:val="Hyperlink"/>
            <w:rFonts w:cs="Arial"/>
            <w:b w:val="0"/>
          </w:rPr>
          <w:t>Medicines for health, not control | NDIS Quality and Safeguards Commission</w:t>
        </w:r>
        <w:r w:rsidR="00714DC7" w:rsidRPr="00D36EB6">
          <w:rPr>
            <w:rStyle w:val="Hyperlink"/>
            <w:rFonts w:cs="Arial"/>
            <w:b w:val="0"/>
            <w:lang w:val="mk-MK"/>
          </w:rPr>
          <w:t>)</w:t>
        </w:r>
      </w:hyperlink>
      <w:r w:rsidR="00714DC7" w:rsidRPr="00D36EB6">
        <w:rPr>
          <w:rFonts w:cs="Arial"/>
          <w:lang w:val="mk-MK"/>
        </w:rPr>
        <w:t>,</w:t>
      </w:r>
      <w:r w:rsidR="00714DC7" w:rsidRPr="00D36EB6">
        <w:rPr>
          <w:rFonts w:cs="Arial"/>
        </w:rPr>
        <w:t xml:space="preserve"> </w:t>
      </w:r>
      <w:r w:rsidR="00714DC7" w:rsidRPr="00D36EB6">
        <w:rPr>
          <w:rFonts w:cs="Arial"/>
          <w:lang w:val="mk-MK"/>
        </w:rPr>
        <w:t>централизирана збирка од информативни материјали во врска со практиките, како и алатки за давателите на услуги, учесниците и обезбедувачите на поддршка за да се намали и укине користењето на практиките за ограничување.</w:t>
      </w:r>
    </w:p>
    <w:p w14:paraId="2E1EE4D2" w14:textId="77777777" w:rsidR="00714DC7" w:rsidRPr="00D36EB6" w:rsidRDefault="00714DC7" w:rsidP="00EA74FB">
      <w:pPr>
        <w:spacing w:before="240" w:after="240" w:line="240" w:lineRule="auto"/>
        <w:rPr>
          <w:rFonts w:cs="Arial"/>
        </w:rPr>
      </w:pPr>
      <w:r w:rsidRPr="00D36EB6">
        <w:rPr>
          <w:rFonts w:cs="Arial"/>
          <w:lang w:val="mk-MK"/>
        </w:rPr>
        <w:t>Комисијата на Програмата</w:t>
      </w:r>
      <w:r w:rsidRPr="00D36EB6">
        <w:rPr>
          <w:rFonts w:cs="Arial"/>
        </w:rPr>
        <w:t xml:space="preserve"> NDIS</w:t>
      </w:r>
      <w:r w:rsidRPr="00D36EB6">
        <w:rPr>
          <w:rFonts w:cs="Arial"/>
          <w:lang w:val="mk-MK"/>
        </w:rPr>
        <w:t xml:space="preserve"> објави 15 предупредувања во врска со практиките со коишто на давателите на услуги за онеспособени лица им се даваат упатства за најдобрите практики за препознавање на опасностите и за дејствување во врска со нив. Истите може да се најдат на</w:t>
      </w:r>
      <w:r w:rsidRPr="00D36EB6">
        <w:rPr>
          <w:rFonts w:cs="Arial"/>
        </w:rPr>
        <w:t xml:space="preserve">: </w:t>
      </w:r>
      <w:hyperlink r:id="rId23" w:history="1">
        <w:r w:rsidRPr="00D36EB6">
          <w:rPr>
            <w:rStyle w:val="Hyperlink"/>
            <w:rFonts w:cs="Arial"/>
            <w:b w:val="0"/>
          </w:rPr>
          <w:t>Practice Alerts | NDIS Quality and Safeguards Commission (ndiscommission.gov.au)</w:t>
        </w:r>
      </w:hyperlink>
      <w:r w:rsidRPr="00D36EB6">
        <w:rPr>
          <w:rFonts w:cs="Arial"/>
          <w:color w:val="0000FF"/>
        </w:rPr>
        <w:t>.</w:t>
      </w:r>
    </w:p>
    <w:p w14:paraId="723D09E1" w14:textId="77777777" w:rsidR="00714DC7" w:rsidRPr="00D36EB6" w:rsidRDefault="00714DC7" w:rsidP="00EA74FB">
      <w:pPr>
        <w:spacing w:before="240" w:after="240" w:line="240" w:lineRule="auto"/>
        <w:rPr>
          <w:rFonts w:cs="Arial"/>
        </w:rPr>
      </w:pPr>
      <w:r w:rsidRPr="00D36EB6">
        <w:rPr>
          <w:rFonts w:cs="Arial"/>
          <w:lang w:val="mk-MK"/>
        </w:rPr>
        <w:t>Отсекот за квалитет на практиките и за клиничко советување (</w:t>
      </w:r>
      <w:r w:rsidRPr="00D36EB6">
        <w:rPr>
          <w:rFonts w:cs="Arial"/>
        </w:rPr>
        <w:t>Practice Quality and Clinical Advisory</w:t>
      </w:r>
      <w:r w:rsidRPr="00D36EB6">
        <w:rPr>
          <w:rFonts w:cs="Arial"/>
          <w:lang w:val="mk-MK"/>
        </w:rPr>
        <w:t>) додели четири грантови поврзани со зголемување на квалитетот на услугите за поддршка со однесувањето во секторот.</w:t>
      </w:r>
      <w:r w:rsidRPr="00D36EB6">
        <w:rPr>
          <w:rFonts w:cs="Arial"/>
        </w:rPr>
        <w:t xml:space="preserve"> </w:t>
      </w:r>
    </w:p>
    <w:p w14:paraId="4C0D5C44" w14:textId="2AB0E26B" w:rsidR="00714DC7" w:rsidRPr="005114E7" w:rsidRDefault="00714DC7" w:rsidP="00EA74FB">
      <w:pPr>
        <w:spacing w:before="240" w:after="240" w:line="240" w:lineRule="auto"/>
        <w:rPr>
          <w:rFonts w:cs="Arial"/>
        </w:rPr>
      </w:pPr>
      <w:r w:rsidRPr="00D36EB6">
        <w:rPr>
          <w:rFonts w:cs="Arial"/>
          <w:lang w:val="mk-MK"/>
        </w:rPr>
        <w:t xml:space="preserve">Дополнително, беа одржани три предавања на интернет за давателите на услуги за лица со онеспособеност. Предавањата беа на следните теми: лекови за здравје, не </w:t>
      </w:r>
      <w:proofErr w:type="spellStart"/>
      <w:r w:rsidRPr="00D36EB6">
        <w:rPr>
          <w:rFonts w:cs="Arial"/>
        </w:rPr>
        <w:t>за</w:t>
      </w:r>
      <w:proofErr w:type="spellEnd"/>
      <w:r w:rsidRPr="00D36EB6">
        <w:rPr>
          <w:rFonts w:cs="Arial"/>
        </w:rPr>
        <w:t xml:space="preserve"> </w:t>
      </w:r>
      <w:proofErr w:type="spellStart"/>
      <w:r w:rsidRPr="00D36EB6">
        <w:rPr>
          <w:rFonts w:cs="Arial"/>
        </w:rPr>
        <w:t>контролирање</w:t>
      </w:r>
      <w:proofErr w:type="spellEnd"/>
      <w:r w:rsidRPr="00D36EB6">
        <w:rPr>
          <w:rFonts w:cs="Arial"/>
          <w:lang w:val="en-US"/>
        </w:rPr>
        <w:t>,</w:t>
      </w:r>
      <w:r w:rsidRPr="00D36EB6">
        <w:rPr>
          <w:rFonts w:cs="Arial"/>
          <w:lang w:val="mk-MK"/>
        </w:rPr>
        <w:t xml:space="preserve"> опасности од начинот на живот и сеопфатно оценување на здравствената состојба и постапување при епилепсија.</w:t>
      </w:r>
    </w:p>
    <w:p w14:paraId="64D9602E" w14:textId="77777777" w:rsidR="001F7ED0" w:rsidRPr="005114E7" w:rsidRDefault="001F7ED0" w:rsidP="00911917">
      <w:pPr>
        <w:pStyle w:val="NoSpacing"/>
      </w:pPr>
      <w:r w:rsidRPr="005114E7">
        <w:br w:type="page"/>
      </w:r>
    </w:p>
    <w:p w14:paraId="024BBC3A" w14:textId="2B64B333" w:rsidR="001F7ED0" w:rsidRPr="005114E7" w:rsidRDefault="00B7313E" w:rsidP="00515A1C">
      <w:pPr>
        <w:pStyle w:val="Heading2"/>
      </w:pPr>
      <w:bookmarkStart w:id="36" w:name="_Toc153454152"/>
      <w:r w:rsidRPr="00D36EB6">
        <w:rPr>
          <w:rFonts w:cs="Arial"/>
          <w:lang w:val="mk-MK"/>
        </w:rPr>
        <w:lastRenderedPageBreak/>
        <w:t>Состаноците за постапување во итни ситуации да ги вклучуваат и давателите на услуги</w:t>
      </w:r>
      <w:bookmarkEnd w:id="36"/>
    </w:p>
    <w:p w14:paraId="0E53B1FE" w14:textId="77777777" w:rsidR="00B7313E" w:rsidRPr="00D36EB6" w:rsidRDefault="00B7313E" w:rsidP="00B7313E">
      <w:pPr>
        <w:spacing w:before="240" w:after="240" w:line="240" w:lineRule="auto"/>
        <w:rPr>
          <w:rFonts w:cs="Arial"/>
        </w:rPr>
      </w:pPr>
      <w:r w:rsidRPr="00D36EB6">
        <w:rPr>
          <w:rFonts w:cs="Arial"/>
          <w:b/>
          <w:lang w:val="mk-MK"/>
        </w:rPr>
        <w:t>Надлежност</w:t>
      </w:r>
      <w:r w:rsidRPr="00D36EB6">
        <w:rPr>
          <w:rFonts w:cs="Arial"/>
          <w:b/>
        </w:rPr>
        <w:t xml:space="preserve">: </w:t>
      </w:r>
      <w:r w:rsidRPr="00D36EB6">
        <w:rPr>
          <w:rFonts w:cs="Arial"/>
          <w:lang w:val="mk-MK"/>
        </w:rPr>
        <w:t>Северна Територија: Полициска, противпожарна и итна служба</w:t>
      </w:r>
    </w:p>
    <w:p w14:paraId="3BE01313" w14:textId="77777777" w:rsidR="00B7313E" w:rsidRPr="00D36EB6" w:rsidRDefault="00B7313E" w:rsidP="00B7313E">
      <w:pPr>
        <w:spacing w:before="240" w:after="240" w:line="240" w:lineRule="auto"/>
        <w:rPr>
          <w:rFonts w:cs="Arial"/>
          <w:b/>
        </w:rPr>
      </w:pPr>
      <w:r w:rsidRPr="00D36EB6">
        <w:rPr>
          <w:rFonts w:cs="Arial"/>
          <w:b/>
          <w:lang w:val="mk-MK"/>
        </w:rPr>
        <w:t>План за насочена акција</w:t>
      </w:r>
      <w:r w:rsidRPr="00D36EB6">
        <w:rPr>
          <w:rFonts w:cs="Arial"/>
          <w:b/>
        </w:rPr>
        <w:t xml:space="preserve">: </w:t>
      </w:r>
      <w:r w:rsidRPr="00D36EB6">
        <w:rPr>
          <w:rFonts w:cs="Arial"/>
          <w:lang w:val="mk-MK"/>
        </w:rPr>
        <w:t>Постапување во итни случаи</w:t>
      </w:r>
    </w:p>
    <w:p w14:paraId="1E489A6B" w14:textId="77777777" w:rsidR="00B7313E" w:rsidRPr="00D36EB6" w:rsidRDefault="00B7313E" w:rsidP="00B7313E">
      <w:pPr>
        <w:spacing w:before="240" w:after="240" w:line="240" w:lineRule="auto"/>
        <w:rPr>
          <w:rFonts w:cs="Arial"/>
        </w:rPr>
      </w:pPr>
      <w:r w:rsidRPr="00D36EB6">
        <w:rPr>
          <w:rFonts w:cs="Arial"/>
          <w:b/>
          <w:lang w:val="mk-MK"/>
        </w:rPr>
        <w:t>Цел на Планот за насочена акција</w:t>
      </w:r>
      <w:r w:rsidRPr="00D36EB6">
        <w:rPr>
          <w:rFonts w:cs="Arial"/>
          <w:b/>
        </w:rPr>
        <w:t xml:space="preserve">: </w:t>
      </w:r>
      <w:r w:rsidRPr="00D36EB6">
        <w:rPr>
          <w:rFonts w:cs="Arial"/>
        </w:rPr>
        <w:t xml:space="preserve">1. </w:t>
      </w:r>
      <w:r w:rsidRPr="00D36EB6">
        <w:rPr>
          <w:rFonts w:cs="Arial"/>
          <w:lang w:val="mk-MK"/>
        </w:rPr>
        <w:t>Да се осигури дека постапките за планирање при несреќи/итни случаи заради оценување на опасноста од несреќи и плановите за постапување при несреќи/итни случаи ги вклучуваат луѓето со онеспособеност.</w:t>
      </w:r>
    </w:p>
    <w:p w14:paraId="6258BE88" w14:textId="77777777" w:rsidR="00B7313E" w:rsidRPr="00D36EB6" w:rsidRDefault="00B7313E" w:rsidP="00B7313E">
      <w:pPr>
        <w:spacing w:before="240" w:after="240" w:line="240" w:lineRule="auto"/>
        <w:rPr>
          <w:rFonts w:cs="Arial"/>
          <w:lang w:val="en-US"/>
        </w:rPr>
      </w:pPr>
      <w:r w:rsidRPr="00D36EB6">
        <w:rPr>
          <w:rFonts w:cs="Arial"/>
          <w:b/>
          <w:lang w:val="mk-MK"/>
        </w:rPr>
        <w:t>Акција</w:t>
      </w:r>
      <w:r w:rsidRPr="00D36EB6">
        <w:rPr>
          <w:rFonts w:cs="Arial"/>
          <w:b/>
        </w:rPr>
        <w:t>:</w:t>
      </w:r>
      <w:r w:rsidRPr="00D36EB6">
        <w:rPr>
          <w:rFonts w:cs="Arial"/>
        </w:rPr>
        <w:t xml:space="preserve">  1.2 </w:t>
      </w:r>
      <w:r w:rsidRPr="00D36EB6">
        <w:rPr>
          <w:rFonts w:cs="Arial"/>
          <w:lang w:val="mk-MK"/>
        </w:rPr>
        <w:t xml:space="preserve">Меѓуагенциските состаноци и состаноците на секторот да ги вклучуваат и </w:t>
      </w:r>
      <w:proofErr w:type="spellStart"/>
      <w:r w:rsidRPr="00D36EB6">
        <w:rPr>
          <w:rFonts w:cs="Arial"/>
        </w:rPr>
        <w:t>давателите</w:t>
      </w:r>
      <w:proofErr w:type="spellEnd"/>
      <w:r w:rsidRPr="00D36EB6">
        <w:rPr>
          <w:rFonts w:cs="Arial"/>
        </w:rPr>
        <w:t xml:space="preserve"> </w:t>
      </w:r>
      <w:proofErr w:type="spellStart"/>
      <w:r w:rsidRPr="00D36EB6">
        <w:rPr>
          <w:rFonts w:cs="Arial"/>
        </w:rPr>
        <w:t>на</w:t>
      </w:r>
      <w:proofErr w:type="spellEnd"/>
      <w:r w:rsidRPr="00D36EB6">
        <w:rPr>
          <w:rFonts w:cs="Arial"/>
        </w:rPr>
        <w:t xml:space="preserve"> </w:t>
      </w:r>
      <w:proofErr w:type="spellStart"/>
      <w:r w:rsidRPr="00D36EB6">
        <w:rPr>
          <w:rFonts w:cs="Arial"/>
        </w:rPr>
        <w:t>услуги</w:t>
      </w:r>
      <w:proofErr w:type="spellEnd"/>
      <w:r w:rsidRPr="00D36EB6">
        <w:rPr>
          <w:rFonts w:cs="Arial"/>
          <w:lang w:val="en-US"/>
        </w:rPr>
        <w:t>.</w:t>
      </w:r>
    </w:p>
    <w:p w14:paraId="01924213" w14:textId="77777777" w:rsidR="00B7313E" w:rsidRPr="00D36EB6" w:rsidRDefault="00B7313E" w:rsidP="00B7313E">
      <w:pPr>
        <w:spacing w:before="240" w:after="240" w:line="240" w:lineRule="auto"/>
        <w:rPr>
          <w:rFonts w:cs="Arial"/>
        </w:rPr>
      </w:pPr>
      <w:r w:rsidRPr="00D36EB6">
        <w:rPr>
          <w:rFonts w:cs="Arial"/>
          <w:lang w:val="mk-MK"/>
        </w:rPr>
        <w:t>Развојниот тим за онеспособеност при Одделот за семејства, домување и заедници на Територијата ги поддржува Отсекот за правда за младинци (</w:t>
      </w:r>
      <w:r w:rsidRPr="00D36EB6">
        <w:rPr>
          <w:rFonts w:cs="Arial"/>
        </w:rPr>
        <w:t>Youth Justice Division</w:t>
      </w:r>
      <w:r w:rsidRPr="00D36EB6">
        <w:rPr>
          <w:rFonts w:cs="Arial"/>
          <w:lang w:val="mk-MK"/>
        </w:rPr>
        <w:t>)</w:t>
      </w:r>
      <w:r w:rsidRPr="00D36EB6">
        <w:rPr>
          <w:rFonts w:cs="Arial"/>
        </w:rPr>
        <w:t xml:space="preserve">; </w:t>
      </w:r>
      <w:r w:rsidRPr="00D36EB6">
        <w:rPr>
          <w:rFonts w:cs="Arial"/>
          <w:lang w:val="mk-MK"/>
        </w:rPr>
        <w:t>роднините и привремените посвојувачи, како и семејствата клиенти на Одделот коишто имаат дијагноза онеспособеност или доцнење со развојот или за кои постои сомневање дека имаат таква дијагноза.</w:t>
      </w:r>
    </w:p>
    <w:p w14:paraId="62FD7E22" w14:textId="77777777" w:rsidR="00B7313E" w:rsidRPr="00D36EB6" w:rsidRDefault="00B7313E" w:rsidP="00B7313E">
      <w:pPr>
        <w:spacing w:before="240" w:after="240" w:line="240" w:lineRule="auto"/>
        <w:rPr>
          <w:rFonts w:cs="Arial"/>
          <w:b/>
        </w:rPr>
      </w:pPr>
      <w:r w:rsidRPr="00D36EB6">
        <w:rPr>
          <w:rFonts w:cs="Arial"/>
          <w:b/>
          <w:lang w:val="mk-MK"/>
        </w:rPr>
        <w:t>Показател</w:t>
      </w:r>
      <w:r w:rsidRPr="00D36EB6">
        <w:rPr>
          <w:rFonts w:cs="Arial"/>
          <w:b/>
        </w:rPr>
        <w:t>:</w:t>
      </w:r>
    </w:p>
    <w:p w14:paraId="31DCD723" w14:textId="77777777" w:rsidR="00B7313E" w:rsidRPr="00D36EB6" w:rsidRDefault="00B7313E" w:rsidP="00B7313E">
      <w:pPr>
        <w:pStyle w:val="ListParagraph"/>
        <w:numPr>
          <w:ilvl w:val="0"/>
          <w:numId w:val="11"/>
        </w:numPr>
        <w:spacing w:after="120" w:line="240" w:lineRule="auto"/>
        <w:ind w:left="432" w:hanging="432"/>
        <w:contextualSpacing w:val="0"/>
        <w:rPr>
          <w:rFonts w:cs="Arial"/>
        </w:rPr>
      </w:pPr>
      <w:r w:rsidRPr="00D36EB6">
        <w:rPr>
          <w:rFonts w:cs="Arial"/>
          <w:lang w:val="mk-MK"/>
        </w:rPr>
        <w:t>Меѓуагенцските мрежи ја зголемија застапеноста на секторот за онеспособеност и на луѓето кои се соочени со онеспособеност преку учество на состаноците за постапување при немили случаи, преку состаноци на групите за добросостојба и преку известувања од секторот за групи за добросостојба.</w:t>
      </w:r>
    </w:p>
    <w:p w14:paraId="00363787" w14:textId="77777777" w:rsidR="00B7313E" w:rsidRPr="00D36EB6" w:rsidRDefault="00B7313E" w:rsidP="00B7313E">
      <w:pPr>
        <w:pStyle w:val="ListParagraph"/>
        <w:numPr>
          <w:ilvl w:val="0"/>
          <w:numId w:val="11"/>
        </w:numPr>
        <w:spacing w:after="120" w:line="240" w:lineRule="auto"/>
        <w:ind w:left="432" w:hanging="432"/>
        <w:contextualSpacing w:val="0"/>
        <w:rPr>
          <w:rFonts w:cs="Arial"/>
        </w:rPr>
      </w:pPr>
      <w:r w:rsidRPr="00D36EB6">
        <w:rPr>
          <w:rFonts w:cs="Arial"/>
          <w:lang w:val="mk-MK"/>
        </w:rPr>
        <w:t>Луѓето кои се соочени со онеспособеност, негувателите и старателите се известувани и имаат пристап до најнови информации во текот на фазите на планирање и подготвување за несреќен случај/планирање за постапување при итен случај.</w:t>
      </w:r>
    </w:p>
    <w:p w14:paraId="3AFCF967" w14:textId="77777777" w:rsidR="00B7313E" w:rsidRPr="00D36EB6" w:rsidRDefault="00B7313E" w:rsidP="00B7313E">
      <w:pPr>
        <w:spacing w:before="240" w:after="240" w:line="240" w:lineRule="auto"/>
        <w:rPr>
          <w:rFonts w:cs="Arial"/>
          <w:b/>
        </w:rPr>
      </w:pPr>
      <w:r w:rsidRPr="00D36EB6">
        <w:rPr>
          <w:rFonts w:cs="Arial"/>
          <w:b/>
          <w:lang w:val="mk-MK"/>
        </w:rPr>
        <w:t>Состојба</w:t>
      </w:r>
      <w:r w:rsidRPr="00D36EB6">
        <w:rPr>
          <w:rFonts w:cs="Arial"/>
          <w:b/>
        </w:rPr>
        <w:t xml:space="preserve">: </w:t>
      </w:r>
      <w:r w:rsidRPr="00D36EB6">
        <w:rPr>
          <w:rFonts w:cs="Arial"/>
          <w:lang w:val="mk-MK"/>
        </w:rPr>
        <w:t>Во тек</w:t>
      </w:r>
    </w:p>
    <w:p w14:paraId="15F8C993" w14:textId="77777777" w:rsidR="00B7313E" w:rsidRPr="00D36EB6" w:rsidRDefault="00B7313E" w:rsidP="00B7313E">
      <w:pPr>
        <w:spacing w:before="240" w:after="240" w:line="240" w:lineRule="auto"/>
        <w:rPr>
          <w:rFonts w:cs="Arial"/>
          <w:b/>
        </w:rPr>
      </w:pPr>
      <w:r w:rsidRPr="00D36EB6">
        <w:rPr>
          <w:rFonts w:cs="Arial"/>
          <w:b/>
          <w:lang w:val="mk-MK"/>
        </w:rPr>
        <w:t>Опис</w:t>
      </w:r>
      <w:r w:rsidRPr="00D36EB6">
        <w:rPr>
          <w:rFonts w:cs="Arial"/>
          <w:b/>
        </w:rPr>
        <w:t>:</w:t>
      </w:r>
    </w:p>
    <w:p w14:paraId="0459D683" w14:textId="77777777" w:rsidR="00B7313E" w:rsidRPr="00D36EB6" w:rsidRDefault="00B7313E" w:rsidP="00B7313E">
      <w:pPr>
        <w:spacing w:before="240" w:after="240" w:line="240" w:lineRule="auto"/>
        <w:rPr>
          <w:rFonts w:cs="Arial"/>
        </w:rPr>
      </w:pPr>
      <w:r w:rsidRPr="00D36EB6">
        <w:rPr>
          <w:rFonts w:cs="Arial"/>
          <w:lang w:val="mk-MK"/>
        </w:rPr>
        <w:t>Водечките агенции за дејствување во случај на познати опасни ситуации (итни случаи) се опишани во Планот за итни случаи на Територијата (</w:t>
      </w:r>
      <w:r w:rsidRPr="00D36EB6">
        <w:rPr>
          <w:rFonts w:cs="Arial"/>
        </w:rPr>
        <w:t>Territory Emergency Plan</w:t>
      </w:r>
      <w:r w:rsidRPr="00D36EB6">
        <w:rPr>
          <w:rFonts w:cs="Arial"/>
          <w:lang w:val="mk-MK"/>
        </w:rPr>
        <w:t>), а ги предводи Одделот на главниот министер и кабинетот (</w:t>
      </w:r>
      <w:r w:rsidRPr="00D36EB6">
        <w:rPr>
          <w:rFonts w:cs="Arial"/>
        </w:rPr>
        <w:t>Department of Chief Minister and Cabinet</w:t>
      </w:r>
      <w:r w:rsidRPr="00D36EB6">
        <w:rPr>
          <w:rFonts w:cs="Arial"/>
          <w:lang w:val="mk-MK"/>
        </w:rPr>
        <w:t xml:space="preserve"> - </w:t>
      </w:r>
      <w:r w:rsidRPr="00D36EB6">
        <w:rPr>
          <w:rFonts w:cs="Arial"/>
        </w:rPr>
        <w:t>DCMC).</w:t>
      </w:r>
      <w:r w:rsidRPr="00D36EB6">
        <w:rPr>
          <w:rFonts w:cs="Arial"/>
          <w:lang w:val="mk-MK"/>
        </w:rPr>
        <w:t xml:space="preserve"> Органот за постапување при опасни ситуации (Hazard Management Authority - HMA) е агенција на владата на Северната Територија надлежна за усогласување и подготвување на планови и способности за реагирање во случај на специфични опасни ситуации. Одговарањето на потребите на поединците кои се изложени на висок степен на опасност е заедничка надлежност на целата заедница, на давателите на услуги и на државните сектори.</w:t>
      </w:r>
    </w:p>
    <w:p w14:paraId="0587055C" w14:textId="77777777" w:rsidR="00B7313E" w:rsidRPr="00D36EB6" w:rsidRDefault="00B7313E" w:rsidP="00B7313E">
      <w:pPr>
        <w:spacing w:before="240" w:after="240" w:line="240" w:lineRule="auto"/>
        <w:rPr>
          <w:rFonts w:cs="Arial"/>
        </w:rPr>
      </w:pPr>
      <w:r w:rsidRPr="00D36EB6">
        <w:rPr>
          <w:rFonts w:cs="Arial"/>
          <w:lang w:val="mk-MK"/>
        </w:rPr>
        <w:t>Службите за итни случаи на Северната Територија даваат бесплатни јавни соопштенија во врска со тоа како треба луѓето да се подготват, да реагираат и да се опорават при опасни ситуации што се утврдени и при коишто се постапува преку нашата Единица за ангажирање на заедницата (</w:t>
      </w:r>
      <w:r w:rsidRPr="00D36EB6">
        <w:rPr>
          <w:rFonts w:cs="Arial"/>
        </w:rPr>
        <w:t>Community Engagement Unit</w:t>
      </w:r>
      <w:r w:rsidRPr="00D36EB6">
        <w:rPr>
          <w:rFonts w:cs="Arial"/>
          <w:lang w:val="mk-MK"/>
        </w:rPr>
        <w:t xml:space="preserve">). Ова е со </w:t>
      </w:r>
      <w:r w:rsidRPr="00D36EB6">
        <w:rPr>
          <w:rFonts w:cs="Arial"/>
          <w:lang w:val="mk-MK"/>
        </w:rPr>
        <w:lastRenderedPageBreak/>
        <w:t>цел да се дадат совети за тоа дека, при некој немил настан, преку осмислено планирање и подготвеност опасноста по лицето може да се намали.</w:t>
      </w:r>
      <w:r w:rsidRPr="00D36EB6">
        <w:rPr>
          <w:rFonts w:cs="Arial"/>
        </w:rPr>
        <w:t xml:space="preserve"> </w:t>
      </w:r>
    </w:p>
    <w:p w14:paraId="27E53C84" w14:textId="77777777" w:rsidR="00B7313E" w:rsidRPr="00D36EB6" w:rsidRDefault="00B7313E" w:rsidP="00B7313E">
      <w:pPr>
        <w:spacing w:before="240" w:after="240" w:line="240" w:lineRule="auto"/>
        <w:rPr>
          <w:rFonts w:cs="Arial"/>
        </w:rPr>
      </w:pPr>
      <w:r w:rsidRPr="00D36EB6">
        <w:rPr>
          <w:rFonts w:cs="Arial"/>
          <w:lang w:val="mk-MK"/>
        </w:rPr>
        <w:t>Групата за информирање на јавноста (</w:t>
      </w:r>
      <w:r w:rsidRPr="00D36EB6">
        <w:rPr>
          <w:rFonts w:cs="Arial"/>
        </w:rPr>
        <w:t>Public Information Group</w:t>
      </w:r>
      <w:r w:rsidRPr="00D36EB6">
        <w:rPr>
          <w:rFonts w:cs="Arial"/>
          <w:lang w:val="mk-MK"/>
        </w:rPr>
        <w:t xml:space="preserve"> - </w:t>
      </w:r>
      <w:r w:rsidRPr="00D36EB6">
        <w:rPr>
          <w:rFonts w:cs="Arial"/>
        </w:rPr>
        <w:t xml:space="preserve">PIG), </w:t>
      </w:r>
      <w:r w:rsidRPr="00D36EB6">
        <w:rPr>
          <w:rFonts w:cs="Arial"/>
          <w:lang w:val="mk-MK"/>
        </w:rPr>
        <w:t>предводена од Одделот</w:t>
      </w:r>
      <w:r w:rsidRPr="00D36EB6">
        <w:rPr>
          <w:rFonts w:cs="Arial"/>
        </w:rPr>
        <w:t xml:space="preserve"> DCMC</w:t>
      </w:r>
      <w:r w:rsidRPr="00D36EB6">
        <w:rPr>
          <w:rFonts w:cs="Arial"/>
          <w:lang w:val="mk-MK"/>
        </w:rPr>
        <w:t>, обезбедува навремено, точно и усогласено објавување на јавни информации во случај на закана или во итен случај, во соработка со државни корпорации и со сите други партнерски организации или клучни заинтересирани страни.</w:t>
      </w:r>
    </w:p>
    <w:p w14:paraId="72960E9C" w14:textId="204F603B" w:rsidR="00B7313E" w:rsidRDefault="00B7313E" w:rsidP="00B7313E">
      <w:pPr>
        <w:spacing w:before="240" w:after="240" w:line="240" w:lineRule="auto"/>
        <w:rPr>
          <w:rFonts w:cs="Arial"/>
        </w:rPr>
      </w:pPr>
      <w:r w:rsidRPr="00D36EB6">
        <w:rPr>
          <w:rFonts w:cs="Arial"/>
          <w:lang w:val="mk-MK"/>
        </w:rPr>
        <w:t>Главната обврска на Групата</w:t>
      </w:r>
      <w:r w:rsidRPr="00D36EB6">
        <w:rPr>
          <w:rFonts w:cs="Arial"/>
        </w:rPr>
        <w:t xml:space="preserve"> PIG</w:t>
      </w:r>
      <w:r w:rsidRPr="00D36EB6">
        <w:rPr>
          <w:rFonts w:cs="Arial"/>
          <w:lang w:val="mk-MK"/>
        </w:rPr>
        <w:t xml:space="preserve"> е да го предводи подготвувањето и објавувањето на сите пораки за јавноста од владата на Северната Територија во текот на одговарањето на и опоравувањето од итниот случај; тоа може да вклучува и ангажирање на преведувачи за Австралискиот знаковен јазик (</w:t>
      </w:r>
      <w:r w:rsidRPr="00D36EB6">
        <w:rPr>
          <w:rFonts w:cs="Arial"/>
        </w:rPr>
        <w:t>AUSLAN)</w:t>
      </w:r>
      <w:r w:rsidRPr="00D36EB6">
        <w:rPr>
          <w:rFonts w:cs="Arial"/>
          <w:lang w:val="mk-MK"/>
        </w:rPr>
        <w:t xml:space="preserve"> за јавни пораки што се објавуваат на телевизијата, како и за преведените материјали. Групата PIG тековно ја ажурира збирката јазични пораки за да се усогласи со новиот австралиски систем за предупредување.</w:t>
      </w:r>
    </w:p>
    <w:p w14:paraId="01BB6D10" w14:textId="16325FE0" w:rsidR="00B7313E" w:rsidRDefault="00B7313E">
      <w:pPr>
        <w:rPr>
          <w:rFonts w:cs="Arial"/>
        </w:rPr>
      </w:pPr>
      <w:r>
        <w:rPr>
          <w:rFonts w:cs="Arial"/>
        </w:rPr>
        <w:br w:type="page"/>
      </w:r>
    </w:p>
    <w:p w14:paraId="5BA2EE5D" w14:textId="3F65F0A3" w:rsidR="00D1030A" w:rsidRPr="005114E7" w:rsidRDefault="00B7313E" w:rsidP="00515A1C">
      <w:pPr>
        <w:pStyle w:val="Heading2"/>
      </w:pPr>
      <w:bookmarkStart w:id="37" w:name="_Toc153454153"/>
      <w:r w:rsidRPr="00D36EB6">
        <w:rPr>
          <w:rFonts w:cs="Arial"/>
          <w:lang w:val="mk-MK"/>
        </w:rPr>
        <w:lastRenderedPageBreak/>
        <w:t>Иницијатива за дејствување во итни случаи на семејно насилство во коишто се вклучени луѓе со онеспособеност</w:t>
      </w:r>
      <w:bookmarkEnd w:id="37"/>
    </w:p>
    <w:p w14:paraId="60CD5899" w14:textId="77777777" w:rsidR="00B7313E" w:rsidRPr="00D36EB6" w:rsidRDefault="00B7313E" w:rsidP="00B7313E">
      <w:pPr>
        <w:spacing w:before="240" w:after="240" w:line="240" w:lineRule="auto"/>
        <w:rPr>
          <w:rFonts w:cs="Arial"/>
          <w:b/>
          <w:lang w:val="mk-MK"/>
        </w:rPr>
      </w:pPr>
      <w:r w:rsidRPr="00D36EB6">
        <w:rPr>
          <w:rFonts w:cs="Arial"/>
          <w:b/>
          <w:lang w:val="mk-MK"/>
        </w:rPr>
        <w:t>Надлежност</w:t>
      </w:r>
      <w:r w:rsidRPr="00D36EB6">
        <w:rPr>
          <w:rFonts w:cs="Arial"/>
          <w:b/>
        </w:rPr>
        <w:t xml:space="preserve">: </w:t>
      </w:r>
      <w:r w:rsidRPr="00D36EB6">
        <w:rPr>
          <w:rFonts w:cs="Arial"/>
          <w:lang w:val="mk-MK"/>
        </w:rPr>
        <w:t>Викторија</w:t>
      </w:r>
    </w:p>
    <w:p w14:paraId="40CCDCDE" w14:textId="77777777" w:rsidR="00B7313E" w:rsidRPr="00D36EB6" w:rsidRDefault="00B7313E" w:rsidP="00B7313E">
      <w:pPr>
        <w:spacing w:before="240" w:after="240" w:line="240" w:lineRule="auto"/>
        <w:rPr>
          <w:rFonts w:cs="Arial"/>
          <w:lang w:val="mk-MK"/>
        </w:rPr>
      </w:pPr>
      <w:r w:rsidRPr="00D36EB6">
        <w:rPr>
          <w:rFonts w:cs="Arial"/>
          <w:b/>
          <w:lang w:val="mk-MK"/>
        </w:rPr>
        <w:t>План за насочена акција</w:t>
      </w:r>
      <w:r w:rsidRPr="00D36EB6">
        <w:rPr>
          <w:rFonts w:cs="Arial"/>
          <w:b/>
        </w:rPr>
        <w:t>:</w:t>
      </w:r>
      <w:r w:rsidRPr="00D36EB6">
        <w:rPr>
          <w:rFonts w:cs="Arial"/>
        </w:rPr>
        <w:tab/>
      </w:r>
      <w:r w:rsidRPr="00D36EB6">
        <w:rPr>
          <w:rFonts w:cs="Arial"/>
          <w:lang w:val="mk-MK"/>
        </w:rPr>
        <w:t>Безбедност</w:t>
      </w:r>
    </w:p>
    <w:p w14:paraId="0E421116" w14:textId="77777777" w:rsidR="00B7313E" w:rsidRPr="00D36EB6" w:rsidRDefault="00B7313E" w:rsidP="00B7313E">
      <w:pPr>
        <w:spacing w:before="240" w:after="240" w:line="240" w:lineRule="auto"/>
        <w:rPr>
          <w:rFonts w:cs="Arial"/>
        </w:rPr>
      </w:pPr>
      <w:r w:rsidRPr="00D36EB6">
        <w:rPr>
          <w:rFonts w:cs="Arial"/>
          <w:b/>
          <w:lang w:val="mk-MK"/>
        </w:rPr>
        <w:t>Цел на Планот за насочена акција</w:t>
      </w:r>
      <w:r w:rsidRPr="00D36EB6">
        <w:rPr>
          <w:rFonts w:cs="Arial"/>
          <w:b/>
        </w:rPr>
        <w:t xml:space="preserve">: </w:t>
      </w:r>
      <w:r w:rsidRPr="00D36EB6">
        <w:rPr>
          <w:rFonts w:cs="Arial"/>
        </w:rPr>
        <w:t xml:space="preserve">3. </w:t>
      </w:r>
      <w:r w:rsidRPr="00D36EB6">
        <w:rPr>
          <w:rFonts w:cs="Arial"/>
          <w:lang w:val="mk-MK"/>
        </w:rPr>
        <w:t xml:space="preserve">Да се засилат системите на сите државни служби и поддршките што истите им ги даваат на луѓето со онеспособеност на кои им се заканува опасност да им се случи </w:t>
      </w:r>
      <w:proofErr w:type="spellStart"/>
      <w:r w:rsidRPr="00D36EB6">
        <w:rPr>
          <w:rFonts w:cs="Arial"/>
        </w:rPr>
        <w:t>нешто</w:t>
      </w:r>
      <w:proofErr w:type="spellEnd"/>
      <w:r w:rsidRPr="00D36EB6">
        <w:rPr>
          <w:rFonts w:cs="Arial"/>
        </w:rPr>
        <w:t xml:space="preserve"> </w:t>
      </w:r>
      <w:proofErr w:type="spellStart"/>
      <w:r w:rsidRPr="00D36EB6">
        <w:rPr>
          <w:rFonts w:cs="Arial"/>
        </w:rPr>
        <w:t>лошо</w:t>
      </w:r>
      <w:proofErr w:type="spellEnd"/>
      <w:r w:rsidRPr="00D36EB6">
        <w:rPr>
          <w:rFonts w:cs="Arial"/>
          <w:lang w:val="mk-MK"/>
        </w:rPr>
        <w:t>.</w:t>
      </w:r>
    </w:p>
    <w:p w14:paraId="179623B4" w14:textId="77777777" w:rsidR="00B7313E" w:rsidRPr="00D36EB6" w:rsidRDefault="00B7313E" w:rsidP="00B7313E">
      <w:pPr>
        <w:spacing w:before="240" w:after="240" w:line="240" w:lineRule="auto"/>
        <w:rPr>
          <w:rFonts w:cs="Arial"/>
          <w:lang w:val="mk-MK"/>
        </w:rPr>
      </w:pPr>
      <w:r w:rsidRPr="00D36EB6">
        <w:rPr>
          <w:rFonts w:cs="Arial"/>
          <w:b/>
          <w:lang w:val="mk-MK"/>
        </w:rPr>
        <w:t>Акција</w:t>
      </w:r>
      <w:r w:rsidRPr="00D36EB6">
        <w:rPr>
          <w:rFonts w:cs="Arial"/>
          <w:b/>
        </w:rPr>
        <w:t xml:space="preserve">: </w:t>
      </w:r>
      <w:r w:rsidRPr="00D36EB6">
        <w:rPr>
          <w:rFonts w:cs="Arial"/>
        </w:rPr>
        <w:t xml:space="preserve">3.3 </w:t>
      </w:r>
      <w:r w:rsidRPr="00D36EB6">
        <w:rPr>
          <w:rFonts w:cs="Arial"/>
          <w:lang w:val="mk-MK"/>
        </w:rPr>
        <w:t>Иницијатива за дејствување во итни случаи на семејно насилство во коишто се вклучени луѓе со онеспособеност (</w:t>
      </w:r>
      <w:r w:rsidRPr="00D36EB6">
        <w:rPr>
          <w:rFonts w:cs="Arial"/>
        </w:rPr>
        <w:t>Disability Family Violence Crisis Response Initiative</w:t>
      </w:r>
      <w:r w:rsidRPr="00D36EB6">
        <w:rPr>
          <w:rFonts w:cs="Arial"/>
          <w:lang w:val="mk-MK"/>
        </w:rPr>
        <w:t>). Оваа иницијатива посредува при обезбедување финансиски средства за луѓето со онеспособеност кои бегаат од семејно насилство и го финансира работното место Координатор за дејствување во итни случаи на семејно насилство во коишто се вклучени луѓе со онеспособеност (Disability Family Violence Crisis Response Coordinator).</w:t>
      </w:r>
    </w:p>
    <w:p w14:paraId="75E47865" w14:textId="77777777" w:rsidR="00B7313E" w:rsidRPr="00D36EB6" w:rsidRDefault="00B7313E" w:rsidP="00B7313E">
      <w:pPr>
        <w:spacing w:before="240" w:after="240" w:line="240" w:lineRule="auto"/>
        <w:rPr>
          <w:rFonts w:cs="Arial"/>
        </w:rPr>
      </w:pPr>
      <w:r w:rsidRPr="00D36EB6">
        <w:rPr>
          <w:rFonts w:cs="Arial"/>
          <w:b/>
          <w:lang w:val="mk-MK"/>
        </w:rPr>
        <w:t>Показател</w:t>
      </w:r>
      <w:r w:rsidRPr="00D36EB6">
        <w:rPr>
          <w:rFonts w:cs="Arial"/>
          <w:b/>
        </w:rPr>
        <w:t xml:space="preserve">: </w:t>
      </w:r>
      <w:r w:rsidRPr="00D36EB6">
        <w:rPr>
          <w:rFonts w:cs="Arial"/>
          <w:lang w:val="mk-MK"/>
        </w:rPr>
        <w:t>Бројот на клиенти кои добиле поддршка и доделените и оправдани финансиски средства обезбедени со посредување</w:t>
      </w:r>
      <w:r w:rsidRPr="00D36EB6">
        <w:rPr>
          <w:rFonts w:cs="Arial"/>
        </w:rPr>
        <w:t>.</w:t>
      </w:r>
    </w:p>
    <w:p w14:paraId="58EBA9E2" w14:textId="77777777" w:rsidR="00B7313E" w:rsidRPr="00D36EB6" w:rsidRDefault="00B7313E" w:rsidP="00B7313E">
      <w:pPr>
        <w:spacing w:before="240" w:after="240" w:line="240" w:lineRule="auto"/>
        <w:rPr>
          <w:rFonts w:cs="Arial"/>
          <w:lang w:val="mk-MK"/>
        </w:rPr>
      </w:pPr>
      <w:r w:rsidRPr="00D36EB6">
        <w:rPr>
          <w:rFonts w:cs="Arial"/>
          <w:b/>
          <w:lang w:val="mk-MK"/>
        </w:rPr>
        <w:t>Состојба</w:t>
      </w:r>
      <w:r w:rsidRPr="00D36EB6">
        <w:rPr>
          <w:rFonts w:cs="Arial"/>
          <w:b/>
        </w:rPr>
        <w:t xml:space="preserve">: </w:t>
      </w:r>
      <w:r w:rsidRPr="00D36EB6">
        <w:rPr>
          <w:rFonts w:cs="Arial"/>
          <w:lang w:val="mk-MK"/>
        </w:rPr>
        <w:t>Завршено</w:t>
      </w:r>
    </w:p>
    <w:p w14:paraId="63E13238" w14:textId="77777777" w:rsidR="00B7313E" w:rsidRPr="00D36EB6" w:rsidRDefault="00B7313E" w:rsidP="00B7313E">
      <w:pPr>
        <w:spacing w:before="240" w:after="240" w:line="240" w:lineRule="auto"/>
        <w:rPr>
          <w:rFonts w:cs="Arial"/>
        </w:rPr>
      </w:pPr>
      <w:r w:rsidRPr="00D36EB6">
        <w:rPr>
          <w:rFonts w:cs="Arial"/>
          <w:b/>
          <w:lang w:val="mk-MK"/>
        </w:rPr>
        <w:t>Опис</w:t>
      </w:r>
      <w:r w:rsidRPr="00D36EB6">
        <w:rPr>
          <w:rFonts w:cs="Arial"/>
          <w:b/>
        </w:rPr>
        <w:t>:</w:t>
      </w:r>
      <w:r w:rsidRPr="00D36EB6">
        <w:rPr>
          <w:rFonts w:cs="Arial"/>
        </w:rPr>
        <w:t xml:space="preserve"> </w:t>
      </w:r>
    </w:p>
    <w:p w14:paraId="5150767E" w14:textId="77777777" w:rsidR="00B7313E" w:rsidRPr="00D36EB6" w:rsidRDefault="00B7313E" w:rsidP="00B7313E">
      <w:pPr>
        <w:spacing w:before="240" w:after="240" w:line="240" w:lineRule="auto"/>
        <w:rPr>
          <w:rFonts w:cs="Arial"/>
        </w:rPr>
      </w:pPr>
      <w:r w:rsidRPr="00D36EB6">
        <w:rPr>
          <w:rFonts w:cs="Arial"/>
          <w:lang w:val="mk-MK"/>
        </w:rPr>
        <w:t>Иницијатива за дејствување во итни случаи на семејно насилство во коишто се вклучени луѓе со онеспособеност обезбеди непосредна и итна практична помош за повеќе од 250 жртви со онеспособеност кои имале итни ситуации. Жртвите добија пристап до над 100,000 долари поддршка поради онеспособеноста за да останат безбедни и/или за да избегаат од семејното насилство. Тоа вклучуваше финансирање на работници за лична поддршка и негуватели, помагала за онеспособеност, технолошки помагала и достапни можности за превоз.</w:t>
      </w:r>
    </w:p>
    <w:p w14:paraId="16DEAC0C" w14:textId="77777777" w:rsidR="00B7313E" w:rsidRPr="00D36EB6" w:rsidRDefault="00B7313E" w:rsidP="00B7313E">
      <w:pPr>
        <w:spacing w:before="240" w:after="240" w:line="240" w:lineRule="auto"/>
        <w:rPr>
          <w:rFonts w:cs="Arial"/>
        </w:rPr>
      </w:pPr>
      <w:r w:rsidRPr="00D36EB6">
        <w:rPr>
          <w:rFonts w:cs="Arial"/>
          <w:lang w:val="mk-MK"/>
        </w:rPr>
        <w:t xml:space="preserve">Оваа иницијатива исто така им даде поддршка на луѓето кои професионално се занимаваат со помагање при семејно насилство за да можат да им даваат подобро приспособена и поделотворна поддршка на жртвите на семејно насилство со онеспособеност преку служби за дополнителни советувања. Тие служби даваат совети за тоа како да се планира безбедноста, за специфичните потреби на луѓето со онеспособеност, како и упати до други специјализирани служби за поддршка при онеспособеност. </w:t>
      </w:r>
    </w:p>
    <w:p w14:paraId="777B0DE4" w14:textId="77777777" w:rsidR="00B7313E" w:rsidRPr="00D36EB6" w:rsidRDefault="00B7313E" w:rsidP="00B7313E">
      <w:pPr>
        <w:spacing w:before="240" w:after="240" w:line="240" w:lineRule="auto"/>
        <w:rPr>
          <w:rFonts w:cs="Arial"/>
        </w:rPr>
      </w:pPr>
      <w:r w:rsidRPr="00D36EB6">
        <w:rPr>
          <w:rFonts w:cs="Arial"/>
          <w:lang w:val="mk-MK"/>
        </w:rPr>
        <w:t>Покрај тоа, беа обезбедени финансиски средства за работното место Координатор за дејствување во случај на онеспособеност за да се придонесе за зголемување на способноста на секторот и за подигање на свеста преку организирање на информативни средби и презентации за онеспособеноста и за семејното насилство врз лица со онеспособеност пред разни организации што имаат контакти со жртвите или што ги поддржуваат жртвите на семејно насилство со онеспособеност.</w:t>
      </w:r>
    </w:p>
    <w:p w14:paraId="31673E4A" w14:textId="46D0D33F" w:rsidR="00B7313E" w:rsidRPr="005114E7" w:rsidRDefault="00B7313E" w:rsidP="00B7313E">
      <w:pPr>
        <w:spacing w:before="240" w:after="240" w:line="240" w:lineRule="auto"/>
        <w:rPr>
          <w:rFonts w:cs="Arial"/>
        </w:rPr>
      </w:pPr>
      <w:r w:rsidRPr="00D36EB6">
        <w:rPr>
          <w:rFonts w:cs="Arial"/>
          <w:lang w:val="mk-MK"/>
        </w:rPr>
        <w:lastRenderedPageBreak/>
        <w:t>Програмата за службеник за поврзување со лица со онеспособеност (</w:t>
      </w:r>
      <w:r w:rsidRPr="00D36EB6">
        <w:rPr>
          <w:rFonts w:cs="Arial"/>
        </w:rPr>
        <w:t>DLO</w:t>
      </w:r>
      <w:r w:rsidRPr="00D36EB6">
        <w:rPr>
          <w:rFonts w:cs="Arial"/>
          <w:lang w:val="mk-MK"/>
        </w:rPr>
        <w:t>) исто така го поддржува и спроведувањето на Викторискиот план за аутизам (</w:t>
      </w:r>
      <w:r w:rsidRPr="00D36EB6">
        <w:rPr>
          <w:rFonts w:cs="Arial"/>
        </w:rPr>
        <w:t>Victorian Autism Plan</w:t>
      </w:r>
      <w:r w:rsidRPr="00D36EB6">
        <w:rPr>
          <w:rFonts w:cs="Arial"/>
          <w:lang w:val="mk-MK"/>
        </w:rPr>
        <w:t>) и на Десетгодишниот план за душевно здравје (</w:t>
      </w:r>
      <w:r w:rsidRPr="00D36EB6">
        <w:rPr>
          <w:rFonts w:cs="Arial"/>
        </w:rPr>
        <w:t>10 Year Mental Health Plan</w:t>
      </w:r>
      <w:r w:rsidRPr="00D36EB6">
        <w:rPr>
          <w:rFonts w:cs="Arial"/>
          <w:lang w:val="mk-MK"/>
        </w:rPr>
        <w:t>)</w:t>
      </w:r>
      <w:r w:rsidRPr="00D36EB6">
        <w:rPr>
          <w:rFonts w:cs="Arial"/>
        </w:rPr>
        <w:t>.</w:t>
      </w:r>
    </w:p>
    <w:p w14:paraId="717494A3" w14:textId="1932A64F" w:rsidR="00D1030A" w:rsidRPr="005114E7" w:rsidRDefault="00D1030A" w:rsidP="00AB6088">
      <w:pPr>
        <w:spacing w:before="240" w:after="240"/>
      </w:pPr>
      <w:r w:rsidRPr="005114E7">
        <w:br w:type="page"/>
      </w:r>
    </w:p>
    <w:p w14:paraId="1182E798" w14:textId="644AAACB" w:rsidR="00D1030A" w:rsidRPr="005114E7" w:rsidRDefault="00B7313E" w:rsidP="00515A1C">
      <w:pPr>
        <w:pStyle w:val="Heading2"/>
      </w:pPr>
      <w:bookmarkStart w:id="38" w:name="_Toc153454154"/>
      <w:r w:rsidRPr="00D36EB6">
        <w:rPr>
          <w:rFonts w:cs="Arial"/>
          <w:lang w:val="mk-MK"/>
        </w:rPr>
        <w:lastRenderedPageBreak/>
        <w:t>Достапни прифатилишта и поддршка</w:t>
      </w:r>
      <w:bookmarkEnd w:id="38"/>
    </w:p>
    <w:p w14:paraId="2BF6F16A" w14:textId="77777777" w:rsidR="00B7313E" w:rsidRPr="00D36EB6" w:rsidRDefault="00B7313E" w:rsidP="00B7313E">
      <w:pPr>
        <w:spacing w:before="240" w:after="240" w:line="240" w:lineRule="auto"/>
        <w:rPr>
          <w:rFonts w:cs="Arial"/>
          <w:b/>
        </w:rPr>
      </w:pPr>
      <w:r w:rsidRPr="00D36EB6">
        <w:rPr>
          <w:rFonts w:cs="Arial"/>
          <w:b/>
          <w:lang w:val="mk-MK"/>
        </w:rPr>
        <w:t>Надлежност</w:t>
      </w:r>
      <w:r w:rsidRPr="00D36EB6">
        <w:rPr>
          <w:rFonts w:cs="Arial"/>
          <w:b/>
        </w:rPr>
        <w:t xml:space="preserve">: </w:t>
      </w:r>
      <w:r w:rsidRPr="00D36EB6">
        <w:rPr>
          <w:rFonts w:cs="Arial"/>
          <w:lang w:val="mk-MK"/>
        </w:rPr>
        <w:t>Западна Австралија</w:t>
      </w:r>
    </w:p>
    <w:p w14:paraId="3B982B4D" w14:textId="77777777" w:rsidR="00B7313E" w:rsidRPr="00D36EB6" w:rsidRDefault="00B7313E" w:rsidP="00B7313E">
      <w:pPr>
        <w:spacing w:before="240" w:after="240" w:line="240" w:lineRule="auto"/>
        <w:rPr>
          <w:rFonts w:cs="Arial"/>
          <w:lang w:val="mk-MK"/>
        </w:rPr>
      </w:pPr>
      <w:r w:rsidRPr="00D36EB6">
        <w:rPr>
          <w:rFonts w:cs="Arial"/>
          <w:b/>
          <w:lang w:val="mk-MK"/>
        </w:rPr>
        <w:t>План за насочена акција</w:t>
      </w:r>
      <w:r w:rsidRPr="00D36EB6">
        <w:rPr>
          <w:rFonts w:cs="Arial"/>
          <w:b/>
        </w:rPr>
        <w:t>:</w:t>
      </w:r>
      <w:r w:rsidRPr="00D36EB6">
        <w:rPr>
          <w:rFonts w:cs="Arial"/>
        </w:rPr>
        <w:tab/>
      </w:r>
      <w:r w:rsidRPr="00D36EB6">
        <w:rPr>
          <w:rFonts w:cs="Arial"/>
          <w:lang w:val="mk-MK"/>
        </w:rPr>
        <w:t>Безбедност</w:t>
      </w:r>
    </w:p>
    <w:p w14:paraId="57C200DD" w14:textId="77777777" w:rsidR="00B7313E" w:rsidRPr="00D36EB6" w:rsidRDefault="00B7313E" w:rsidP="00B7313E">
      <w:pPr>
        <w:spacing w:before="240" w:after="240" w:line="240" w:lineRule="auto"/>
        <w:rPr>
          <w:rFonts w:cs="Arial"/>
          <w:lang w:val="en-US"/>
        </w:rPr>
      </w:pPr>
      <w:r w:rsidRPr="00D36EB6">
        <w:rPr>
          <w:rFonts w:cs="Arial"/>
          <w:b/>
          <w:lang w:val="mk-MK"/>
        </w:rPr>
        <w:t>Цел на Планот за насочена акција</w:t>
      </w:r>
      <w:r w:rsidRPr="00D36EB6">
        <w:rPr>
          <w:rFonts w:cs="Arial"/>
          <w:b/>
        </w:rPr>
        <w:t xml:space="preserve">: </w:t>
      </w:r>
      <w:r w:rsidRPr="00D36EB6">
        <w:rPr>
          <w:rFonts w:cs="Arial"/>
        </w:rPr>
        <w:t xml:space="preserve">3. </w:t>
      </w:r>
      <w:r w:rsidRPr="00D36EB6">
        <w:rPr>
          <w:rFonts w:cs="Arial"/>
          <w:lang w:val="mk-MK"/>
        </w:rPr>
        <w:t xml:space="preserve">Да се засилат системите на сите државни служби и поддршките што истите им ги даваат на луѓето со онеспособеност на кои им се заканува опасност да им се случи </w:t>
      </w:r>
      <w:proofErr w:type="spellStart"/>
      <w:r w:rsidRPr="00D36EB6">
        <w:rPr>
          <w:rFonts w:cs="Arial"/>
        </w:rPr>
        <w:t>нешто</w:t>
      </w:r>
      <w:proofErr w:type="spellEnd"/>
      <w:r w:rsidRPr="00D36EB6">
        <w:rPr>
          <w:rFonts w:cs="Arial"/>
        </w:rPr>
        <w:t xml:space="preserve"> </w:t>
      </w:r>
      <w:proofErr w:type="spellStart"/>
      <w:r w:rsidRPr="00D36EB6">
        <w:rPr>
          <w:rFonts w:cs="Arial"/>
        </w:rPr>
        <w:t>лошо</w:t>
      </w:r>
      <w:proofErr w:type="spellEnd"/>
      <w:r w:rsidRPr="00D36EB6">
        <w:rPr>
          <w:rFonts w:cs="Arial"/>
          <w:lang w:val="en-US"/>
        </w:rPr>
        <w:t>.</w:t>
      </w:r>
    </w:p>
    <w:p w14:paraId="48A7FA99" w14:textId="77777777" w:rsidR="00B7313E" w:rsidRPr="00D36EB6" w:rsidRDefault="00B7313E" w:rsidP="00B7313E">
      <w:pPr>
        <w:spacing w:before="240" w:after="240" w:line="240" w:lineRule="auto"/>
        <w:rPr>
          <w:rFonts w:cs="Arial"/>
        </w:rPr>
      </w:pPr>
      <w:r w:rsidRPr="00D36EB6">
        <w:rPr>
          <w:rFonts w:cs="Arial"/>
          <w:b/>
          <w:lang w:val="mk-MK"/>
        </w:rPr>
        <w:t>Акција</w:t>
      </w:r>
      <w:r w:rsidRPr="00D36EB6">
        <w:rPr>
          <w:rFonts w:cs="Arial"/>
          <w:b/>
        </w:rPr>
        <w:t>:</w:t>
      </w:r>
      <w:r w:rsidRPr="00D36EB6">
        <w:rPr>
          <w:rFonts w:cs="Arial"/>
        </w:rPr>
        <w:t xml:space="preserve"> 3.1 </w:t>
      </w:r>
      <w:r w:rsidRPr="00D36EB6">
        <w:rPr>
          <w:rFonts w:cs="Arial"/>
          <w:lang w:val="mk-MK"/>
        </w:rPr>
        <w:t>Достапни прифатилишта и поддршка</w:t>
      </w:r>
    </w:p>
    <w:p w14:paraId="6F459107" w14:textId="77777777" w:rsidR="00B7313E" w:rsidRPr="00D36EB6" w:rsidRDefault="00B7313E" w:rsidP="00B7313E">
      <w:pPr>
        <w:spacing w:before="240" w:after="240" w:line="240" w:lineRule="auto"/>
        <w:rPr>
          <w:rFonts w:cs="Arial"/>
        </w:rPr>
      </w:pPr>
      <w:r w:rsidRPr="00D36EB6">
        <w:rPr>
          <w:rFonts w:cs="Arial"/>
          <w:b/>
          <w:lang w:val="mk-MK"/>
        </w:rPr>
        <w:t>Показател</w:t>
      </w:r>
      <w:r w:rsidRPr="00D36EB6">
        <w:rPr>
          <w:rFonts w:cs="Arial"/>
          <w:b/>
        </w:rPr>
        <w:t>:</w:t>
      </w:r>
      <w:r w:rsidRPr="00D36EB6">
        <w:rPr>
          <w:rFonts w:cs="Arial"/>
        </w:rPr>
        <w:t xml:space="preserve"> </w:t>
      </w:r>
      <w:r w:rsidRPr="00D36EB6">
        <w:rPr>
          <w:rFonts w:cs="Arial"/>
          <w:lang w:val="mk-MK"/>
        </w:rPr>
        <w:t>Спроведувањето на програмата</w:t>
      </w:r>
    </w:p>
    <w:p w14:paraId="5AD9A464" w14:textId="77777777" w:rsidR="00B7313E" w:rsidRPr="00D36EB6" w:rsidRDefault="00B7313E" w:rsidP="00B7313E">
      <w:pPr>
        <w:spacing w:before="240" w:after="240" w:line="240" w:lineRule="auto"/>
        <w:rPr>
          <w:rFonts w:cs="Arial"/>
        </w:rPr>
      </w:pPr>
      <w:r w:rsidRPr="00D36EB6">
        <w:rPr>
          <w:rFonts w:cs="Arial"/>
          <w:b/>
          <w:lang w:val="mk-MK"/>
        </w:rPr>
        <w:t>Состојба</w:t>
      </w:r>
      <w:r w:rsidRPr="00D36EB6">
        <w:rPr>
          <w:rFonts w:cs="Arial"/>
          <w:b/>
        </w:rPr>
        <w:t xml:space="preserve">: </w:t>
      </w:r>
      <w:r w:rsidRPr="00D36EB6">
        <w:rPr>
          <w:rFonts w:cs="Arial"/>
          <w:lang w:val="mk-MK"/>
        </w:rPr>
        <w:t>Завршено</w:t>
      </w:r>
      <w:r w:rsidRPr="00D36EB6">
        <w:rPr>
          <w:rFonts w:cs="Arial"/>
        </w:rPr>
        <w:t xml:space="preserve"> </w:t>
      </w:r>
    </w:p>
    <w:p w14:paraId="6A846AEA" w14:textId="77777777" w:rsidR="00B7313E" w:rsidRPr="00D36EB6" w:rsidRDefault="00B7313E" w:rsidP="00B7313E">
      <w:pPr>
        <w:spacing w:before="240" w:after="240" w:line="240" w:lineRule="auto"/>
        <w:rPr>
          <w:rFonts w:cs="Arial"/>
          <w:b/>
        </w:rPr>
      </w:pPr>
      <w:r w:rsidRPr="00D36EB6">
        <w:rPr>
          <w:rFonts w:cs="Arial"/>
          <w:b/>
          <w:lang w:val="mk-MK"/>
        </w:rPr>
        <w:t>Опис</w:t>
      </w:r>
      <w:r w:rsidRPr="00D36EB6">
        <w:rPr>
          <w:rFonts w:cs="Arial"/>
          <w:b/>
        </w:rPr>
        <w:t>:</w:t>
      </w:r>
    </w:p>
    <w:p w14:paraId="750683FF" w14:textId="77777777" w:rsidR="00B7313E" w:rsidRPr="00D36EB6" w:rsidRDefault="00B7313E" w:rsidP="00B7313E">
      <w:pPr>
        <w:spacing w:before="240" w:after="240" w:line="240" w:lineRule="auto"/>
        <w:rPr>
          <w:rFonts w:cs="Arial"/>
          <w:lang w:val="mk-MK"/>
        </w:rPr>
      </w:pPr>
      <w:r w:rsidRPr="00D36EB6">
        <w:rPr>
          <w:rFonts w:cs="Arial"/>
          <w:lang w:val="mk-MK"/>
        </w:rPr>
        <w:t>Двете нови прифатилишта за жртви на семејно и домашно насилство беа отворени во регионите Квинана и Пил во декември 2020 г. Прифатилиштето Ворланг Биди во регионот Пил е првото прифатилиште за жени во целата држава што нуди терапевтски третман, а беше основано по обемен процес на заедничко обмислување во којшто беа вклучени жени кои доживеале семејно насилство. Прифатилиштето нуди специјализирана помош сосредоточена на поединецот за жените кои исто така имаат и онеспособеност, проблеми со душевното здравје или пак кои страдаат поради користење на алкохол и дрога.</w:t>
      </w:r>
    </w:p>
    <w:p w14:paraId="1602CA8C" w14:textId="77777777" w:rsidR="00B7313E" w:rsidRPr="00D36EB6" w:rsidRDefault="00B7313E" w:rsidP="00B7313E">
      <w:pPr>
        <w:spacing w:before="240" w:after="240" w:line="240" w:lineRule="auto"/>
        <w:rPr>
          <w:rFonts w:cs="Arial"/>
        </w:rPr>
      </w:pPr>
      <w:r w:rsidRPr="00D36EB6">
        <w:rPr>
          <w:rFonts w:cs="Arial"/>
          <w:lang w:val="mk-MK"/>
        </w:rPr>
        <w:t>Прифатилиштето за жени Андреа Миа во Квинана обезбедува сместување во итни случаи, како и услуги за поддршка, а наменето е за сите жени, вклучувајќи ги и жените со онеспособеност.</w:t>
      </w:r>
    </w:p>
    <w:p w14:paraId="0BBEA61A" w14:textId="0421088C" w:rsidR="00B7313E" w:rsidRPr="005114E7" w:rsidRDefault="00B7313E" w:rsidP="00B7313E">
      <w:pPr>
        <w:spacing w:before="240" w:after="240" w:line="240" w:lineRule="auto"/>
        <w:rPr>
          <w:rFonts w:cs="Arial"/>
        </w:rPr>
      </w:pPr>
      <w:r w:rsidRPr="00D36EB6">
        <w:rPr>
          <w:rFonts w:cs="Arial"/>
          <w:lang w:val="mk-MK"/>
        </w:rPr>
        <w:t>Од декември 2021 г. до денес, прифатилиштето Ворланг Биди им даде поддршка на 5 жени со онеспособеност, а Андреа Миа им даде поддршка на 3 жени со онеспособеност, вклучувајќи и едно дете. Ниедна од жените немаше поддршка од негувател за да биде примена во прифатилиштата.</w:t>
      </w:r>
    </w:p>
    <w:p w14:paraId="523DE4BF" w14:textId="220502E8" w:rsidR="00D1030A" w:rsidRPr="005114E7" w:rsidRDefault="00D1030A" w:rsidP="00B7313E">
      <w:pPr>
        <w:spacing w:before="240" w:after="240" w:line="240" w:lineRule="auto"/>
      </w:pPr>
      <w:r w:rsidRPr="005114E7">
        <w:br w:type="page"/>
      </w:r>
    </w:p>
    <w:p w14:paraId="0A2E6B52" w14:textId="32F201CD" w:rsidR="00D1030A" w:rsidRPr="005114E7" w:rsidRDefault="00B7313E" w:rsidP="00515A1C">
      <w:pPr>
        <w:pStyle w:val="Heading2"/>
      </w:pPr>
      <w:bookmarkStart w:id="39" w:name="_Toc153454155"/>
      <w:r w:rsidRPr="00D36EB6">
        <w:rPr>
          <w:rFonts w:cs="Arial"/>
          <w:lang w:val="mk-MK"/>
        </w:rPr>
        <w:lastRenderedPageBreak/>
        <w:t>Програма за посредување во Австралиската Престолнинска Територија</w:t>
      </w:r>
      <w:bookmarkEnd w:id="39"/>
    </w:p>
    <w:p w14:paraId="4E4B2146" w14:textId="77777777" w:rsidR="003F468C" w:rsidRPr="00D36EB6" w:rsidRDefault="003F468C" w:rsidP="003F468C">
      <w:pPr>
        <w:spacing w:before="240" w:after="240" w:line="240" w:lineRule="auto"/>
        <w:rPr>
          <w:rFonts w:cs="Arial"/>
          <w:b/>
        </w:rPr>
      </w:pPr>
      <w:r w:rsidRPr="00D36EB6">
        <w:rPr>
          <w:rFonts w:cs="Arial"/>
          <w:b/>
          <w:lang w:val="mk-MK"/>
        </w:rPr>
        <w:t>Надлежност</w:t>
      </w:r>
      <w:r w:rsidRPr="00D36EB6">
        <w:rPr>
          <w:rFonts w:cs="Arial"/>
          <w:b/>
        </w:rPr>
        <w:t xml:space="preserve">: </w:t>
      </w:r>
      <w:r w:rsidRPr="00D36EB6">
        <w:rPr>
          <w:rFonts w:cs="Arial"/>
          <w:lang w:val="mk-MK"/>
        </w:rPr>
        <w:t>Австралиската Престолнинска Територија</w:t>
      </w:r>
    </w:p>
    <w:p w14:paraId="3348668D" w14:textId="77777777" w:rsidR="003F468C" w:rsidRPr="00D36EB6" w:rsidRDefault="003F468C" w:rsidP="003F468C">
      <w:pPr>
        <w:spacing w:before="240" w:after="240" w:line="240" w:lineRule="auto"/>
        <w:rPr>
          <w:rFonts w:cs="Arial"/>
        </w:rPr>
      </w:pPr>
      <w:r w:rsidRPr="00D36EB6">
        <w:rPr>
          <w:rFonts w:cs="Arial"/>
          <w:b/>
          <w:lang w:val="mk-MK"/>
        </w:rPr>
        <w:t>План за насочена акција</w:t>
      </w:r>
      <w:r w:rsidRPr="00D36EB6">
        <w:rPr>
          <w:rFonts w:cs="Arial"/>
          <w:b/>
        </w:rPr>
        <w:t>:</w:t>
      </w:r>
      <w:r w:rsidRPr="00D36EB6">
        <w:rPr>
          <w:rFonts w:cs="Arial"/>
        </w:rPr>
        <w:tab/>
      </w:r>
      <w:r w:rsidRPr="00D36EB6">
        <w:rPr>
          <w:rFonts w:cs="Arial"/>
          <w:lang w:val="mk-MK"/>
        </w:rPr>
        <w:t>Безбедност</w:t>
      </w:r>
    </w:p>
    <w:p w14:paraId="7B930D2E" w14:textId="77777777" w:rsidR="003F468C" w:rsidRPr="00D36EB6" w:rsidRDefault="003F468C" w:rsidP="003F468C">
      <w:pPr>
        <w:spacing w:before="240" w:after="240" w:line="240" w:lineRule="auto"/>
        <w:rPr>
          <w:rFonts w:cs="Arial"/>
        </w:rPr>
      </w:pPr>
      <w:r w:rsidRPr="00D36EB6">
        <w:rPr>
          <w:rFonts w:cs="Arial"/>
          <w:b/>
          <w:lang w:val="mk-MK"/>
        </w:rPr>
        <w:t>Цел на Планот за насочена акција</w:t>
      </w:r>
      <w:r w:rsidRPr="00D36EB6">
        <w:rPr>
          <w:rFonts w:cs="Arial"/>
        </w:rPr>
        <w:t xml:space="preserve">: 3. </w:t>
      </w:r>
      <w:r w:rsidRPr="00D36EB6">
        <w:rPr>
          <w:rFonts w:cs="Arial"/>
          <w:lang w:val="mk-MK"/>
        </w:rPr>
        <w:t>Да се засилат системите на сите државни служби и поддршките што истите им ги даваат на луѓето со онеспособеност на кои им се заканува опасност да им се случи нешто лошо.</w:t>
      </w:r>
    </w:p>
    <w:p w14:paraId="536D955F" w14:textId="77777777" w:rsidR="003F468C" w:rsidRPr="00D36EB6" w:rsidRDefault="003F468C" w:rsidP="003F468C">
      <w:pPr>
        <w:spacing w:before="240" w:after="240" w:line="240" w:lineRule="auto"/>
        <w:rPr>
          <w:rFonts w:cs="Arial"/>
        </w:rPr>
      </w:pPr>
      <w:r w:rsidRPr="00D36EB6">
        <w:rPr>
          <w:rFonts w:cs="Arial"/>
          <w:b/>
          <w:lang w:val="mk-MK"/>
        </w:rPr>
        <w:t>Акција</w:t>
      </w:r>
      <w:r w:rsidRPr="00D36EB6">
        <w:rPr>
          <w:rFonts w:cs="Arial"/>
          <w:b/>
        </w:rPr>
        <w:t xml:space="preserve">: </w:t>
      </w:r>
      <w:r w:rsidRPr="00D36EB6">
        <w:rPr>
          <w:rFonts w:cs="Arial"/>
        </w:rPr>
        <w:t xml:space="preserve">3.6 </w:t>
      </w:r>
      <w:r w:rsidRPr="00D36EB6">
        <w:rPr>
          <w:rFonts w:cs="Arial"/>
          <w:lang w:val="mk-MK"/>
        </w:rPr>
        <w:t>Програма за посредување</w:t>
      </w:r>
    </w:p>
    <w:p w14:paraId="2E083A80" w14:textId="77777777" w:rsidR="003F468C" w:rsidRPr="00D36EB6" w:rsidRDefault="003F468C" w:rsidP="003F468C">
      <w:pPr>
        <w:spacing w:before="240" w:after="240" w:line="240" w:lineRule="auto"/>
        <w:rPr>
          <w:rFonts w:cs="Arial"/>
        </w:rPr>
      </w:pPr>
      <w:r w:rsidRPr="00D36EB6">
        <w:rPr>
          <w:rFonts w:cs="Arial"/>
          <w:b/>
          <w:lang w:val="mk-MK"/>
        </w:rPr>
        <w:t>Показател</w:t>
      </w:r>
      <w:r w:rsidRPr="00D36EB6">
        <w:rPr>
          <w:rFonts w:cs="Arial"/>
        </w:rPr>
        <w:t xml:space="preserve">: </w:t>
      </w:r>
      <w:r w:rsidRPr="00D36EB6">
        <w:rPr>
          <w:rFonts w:cs="Arial"/>
          <w:lang w:val="mk-MK"/>
        </w:rPr>
        <w:t>Програмата за посредување продолжува да работи</w:t>
      </w:r>
      <w:r w:rsidRPr="00D36EB6">
        <w:rPr>
          <w:rFonts w:cs="Arial"/>
        </w:rPr>
        <w:t>.</w:t>
      </w:r>
    </w:p>
    <w:p w14:paraId="0CB903F0" w14:textId="77777777" w:rsidR="003F468C" w:rsidRPr="00D36EB6" w:rsidRDefault="003F468C" w:rsidP="003F468C">
      <w:pPr>
        <w:spacing w:before="240" w:after="240" w:line="240" w:lineRule="auto"/>
        <w:rPr>
          <w:rFonts w:cs="Arial"/>
          <w:lang w:val="mk-MK"/>
        </w:rPr>
      </w:pPr>
      <w:r w:rsidRPr="00D36EB6">
        <w:rPr>
          <w:rFonts w:cs="Arial"/>
          <w:b/>
          <w:lang w:val="mk-MK"/>
        </w:rPr>
        <w:t>Состојба</w:t>
      </w:r>
      <w:r w:rsidRPr="00D36EB6">
        <w:rPr>
          <w:rFonts w:cs="Arial"/>
        </w:rPr>
        <w:t xml:space="preserve">: </w:t>
      </w:r>
      <w:r w:rsidRPr="00D36EB6">
        <w:rPr>
          <w:rFonts w:cs="Arial"/>
          <w:lang w:val="mk-MK"/>
        </w:rPr>
        <w:t>Завршено</w:t>
      </w:r>
    </w:p>
    <w:p w14:paraId="30D8D3F2" w14:textId="77777777" w:rsidR="003F468C" w:rsidRPr="00D36EB6" w:rsidRDefault="003F468C" w:rsidP="003F468C">
      <w:pPr>
        <w:spacing w:before="240" w:after="240" w:line="240" w:lineRule="auto"/>
        <w:rPr>
          <w:rFonts w:cs="Arial"/>
        </w:rPr>
      </w:pPr>
      <w:r w:rsidRPr="00D36EB6">
        <w:rPr>
          <w:rFonts w:cs="Arial"/>
          <w:b/>
          <w:lang w:val="mk-MK"/>
        </w:rPr>
        <w:t>Опис</w:t>
      </w:r>
      <w:r w:rsidRPr="00D36EB6">
        <w:rPr>
          <w:rFonts w:cs="Arial"/>
        </w:rPr>
        <w:t>:</w:t>
      </w:r>
      <w:r w:rsidRPr="00D36EB6">
        <w:rPr>
          <w:rFonts w:cs="Arial"/>
        </w:rPr>
        <w:tab/>
      </w:r>
    </w:p>
    <w:p w14:paraId="0947C8E1" w14:textId="77777777" w:rsidR="003F468C" w:rsidRPr="00D36EB6" w:rsidRDefault="003F468C" w:rsidP="003F468C">
      <w:pPr>
        <w:spacing w:before="240" w:after="240" w:line="240" w:lineRule="auto"/>
        <w:rPr>
          <w:rFonts w:cs="Arial"/>
          <w:lang w:val="mk-MK"/>
        </w:rPr>
      </w:pPr>
      <w:r w:rsidRPr="00D36EB6">
        <w:rPr>
          <w:rFonts w:cs="Arial"/>
          <w:lang w:val="mk-MK"/>
        </w:rPr>
        <w:t>Програмата за посредување во Австралиската Престолнинска Територија (</w:t>
      </w:r>
      <w:r w:rsidRPr="00D36EB6">
        <w:rPr>
          <w:rFonts w:cs="Arial"/>
        </w:rPr>
        <w:t>ACT Intermediary Program</w:t>
      </w:r>
      <w:r w:rsidRPr="00D36EB6">
        <w:rPr>
          <w:rFonts w:cs="Arial"/>
          <w:lang w:val="mk-MK"/>
        </w:rPr>
        <w:t xml:space="preserve">) продолжува да обезбедува посредници при разговорите со полицијата, во судските случаи и во работењето со професионалните правни работници ширум Австралиската Престолнинска Територија. До 14 јуни 2023 г., Програмата за посредување доби 787 упати од полицијата, 129 барања од судовите (Врховниот и основните) и 14 барања од професионални правни работници, првенствено од Службата за правна помош (Legal Aid). </w:t>
      </w:r>
    </w:p>
    <w:p w14:paraId="21F20AAD" w14:textId="77777777" w:rsidR="003F468C" w:rsidRPr="00D36EB6" w:rsidRDefault="003F468C" w:rsidP="003F468C">
      <w:pPr>
        <w:spacing w:before="240" w:after="240" w:line="240" w:lineRule="auto"/>
        <w:rPr>
          <w:rFonts w:cs="Arial"/>
          <w:lang w:val="mk-MK"/>
        </w:rPr>
      </w:pPr>
      <w:r w:rsidRPr="00D36EB6">
        <w:rPr>
          <w:rFonts w:cs="Arial"/>
          <w:lang w:val="mk-MK"/>
        </w:rPr>
        <w:t>Околу</w:t>
      </w:r>
      <w:r w:rsidRPr="00D36EB6">
        <w:rPr>
          <w:rFonts w:cs="Arial"/>
        </w:rPr>
        <w:t xml:space="preserve"> 57% </w:t>
      </w:r>
      <w:r w:rsidRPr="00D36EB6">
        <w:rPr>
          <w:rFonts w:cs="Arial"/>
          <w:lang w:val="mk-MK"/>
        </w:rPr>
        <w:t xml:space="preserve">од сите упати до Програмата вклучуваа сведок со дополнителни тешкотии за комуникација независно од возраста. Тоа вклучуваше проблеми како што се тешкотии со учењето, разни аутистички нарушувања, когнитивна онеспособеност, доцнење во говорот, физички онеспособености, проблеми со душевното здравје и трауми. </w:t>
      </w:r>
    </w:p>
    <w:p w14:paraId="5D904565" w14:textId="77777777" w:rsidR="003F468C" w:rsidRPr="00D36EB6" w:rsidRDefault="003F468C" w:rsidP="003F468C">
      <w:pPr>
        <w:spacing w:before="240" w:after="240" w:line="240" w:lineRule="auto"/>
        <w:rPr>
          <w:rFonts w:cs="Arial"/>
        </w:rPr>
      </w:pPr>
      <w:r w:rsidRPr="00D36EB6">
        <w:rPr>
          <w:rFonts w:cs="Arial"/>
          <w:lang w:val="mk-MK"/>
        </w:rPr>
        <w:t>Посредниците со соодветна стручност вршат проценка на комуникациските способности и им даваат соодветна препорака на полицијата, судовите и професионалните правни работници за најдобрите стратегии за комуникација а, оттаму, и за обезбедување на најдобри докази.</w:t>
      </w:r>
      <w:r w:rsidRPr="00D36EB6">
        <w:rPr>
          <w:rFonts w:cs="Arial"/>
        </w:rPr>
        <w:t xml:space="preserve"> </w:t>
      </w:r>
    </w:p>
    <w:p w14:paraId="6D7F78D3" w14:textId="02C31687" w:rsidR="003F468C" w:rsidRPr="005114E7" w:rsidRDefault="003F468C" w:rsidP="003F468C">
      <w:pPr>
        <w:spacing w:before="240" w:after="240" w:line="240" w:lineRule="auto"/>
        <w:rPr>
          <w:rFonts w:cs="Arial"/>
        </w:rPr>
      </w:pPr>
      <w:r w:rsidRPr="00D36EB6">
        <w:rPr>
          <w:rFonts w:cs="Arial"/>
          <w:lang w:val="mk-MK"/>
        </w:rPr>
        <w:t xml:space="preserve">Програмата продолжува да ги поврзува сите добиени упати </w:t>
      </w:r>
      <w:r w:rsidRPr="00D36EB6">
        <w:rPr>
          <w:rFonts w:cs="Arial"/>
        </w:rPr>
        <w:t>(100%)</w:t>
      </w:r>
      <w:r w:rsidRPr="00D36EB6">
        <w:rPr>
          <w:rFonts w:cs="Arial"/>
          <w:lang w:val="mk-MK"/>
        </w:rPr>
        <w:t xml:space="preserve"> со посредник кој поседува соодветна стручност.</w:t>
      </w:r>
    </w:p>
    <w:p w14:paraId="0DC759C2" w14:textId="6E6386AC" w:rsidR="00D1030A" w:rsidRPr="005114E7" w:rsidRDefault="00D1030A">
      <w:pPr>
        <w:rPr>
          <w:rFonts w:asciiTheme="minorHAnsi" w:hAnsiTheme="minorHAnsi" w:cstheme="minorHAnsi"/>
        </w:rPr>
      </w:pPr>
      <w:r w:rsidRPr="005114E7">
        <w:rPr>
          <w:rFonts w:asciiTheme="minorHAnsi" w:hAnsiTheme="minorHAnsi" w:cstheme="minorHAnsi"/>
        </w:rPr>
        <w:br w:type="page"/>
      </w:r>
    </w:p>
    <w:p w14:paraId="5F4AC7CF" w14:textId="0B8D3B89" w:rsidR="00D1030A" w:rsidRPr="005114E7" w:rsidRDefault="003F468C" w:rsidP="00515A1C">
      <w:pPr>
        <w:pStyle w:val="Heading2"/>
      </w:pPr>
      <w:bookmarkStart w:id="40" w:name="_Toc153454156"/>
      <w:r w:rsidRPr="00D36EB6">
        <w:rPr>
          <w:rFonts w:cs="Arial"/>
          <w:lang w:val="mk-MK"/>
        </w:rPr>
        <w:lastRenderedPageBreak/>
        <w:t>Програма за намалување на опасноста при несреќи што ги вклучува и луѓето со онеспособеност</w:t>
      </w:r>
      <w:bookmarkEnd w:id="40"/>
    </w:p>
    <w:p w14:paraId="1B7AB27B" w14:textId="77777777" w:rsidR="003F468C" w:rsidRPr="00D36EB6" w:rsidRDefault="003F468C" w:rsidP="003F468C">
      <w:pPr>
        <w:spacing w:before="240" w:after="240" w:line="240" w:lineRule="auto"/>
        <w:rPr>
          <w:rFonts w:cs="Arial"/>
          <w:b/>
        </w:rPr>
      </w:pPr>
      <w:r w:rsidRPr="00D36EB6">
        <w:rPr>
          <w:rFonts w:cs="Arial"/>
          <w:b/>
          <w:lang w:val="mk-MK"/>
        </w:rPr>
        <w:t>Надлежност</w:t>
      </w:r>
      <w:r w:rsidRPr="00D36EB6">
        <w:rPr>
          <w:rFonts w:cs="Arial"/>
          <w:b/>
        </w:rPr>
        <w:t xml:space="preserve">: </w:t>
      </w:r>
      <w:r w:rsidRPr="00D36EB6">
        <w:rPr>
          <w:rFonts w:cs="Arial"/>
          <w:lang w:val="mk-MK"/>
        </w:rPr>
        <w:t>Националната агенција за постапување во итни случаи при австралиската влада</w:t>
      </w:r>
    </w:p>
    <w:p w14:paraId="4D1DC63D" w14:textId="77777777" w:rsidR="003F468C" w:rsidRPr="00D36EB6" w:rsidRDefault="003F468C" w:rsidP="003F468C">
      <w:pPr>
        <w:spacing w:before="240" w:after="240" w:line="240" w:lineRule="auto"/>
        <w:rPr>
          <w:rFonts w:cs="Arial"/>
        </w:rPr>
      </w:pPr>
      <w:r w:rsidRPr="00D36EB6">
        <w:rPr>
          <w:rFonts w:cs="Arial"/>
          <w:b/>
          <w:lang w:val="mk-MK"/>
        </w:rPr>
        <w:t>План за насочена акција</w:t>
      </w:r>
      <w:r w:rsidRPr="00D36EB6">
        <w:rPr>
          <w:rFonts w:cs="Arial"/>
          <w:b/>
        </w:rPr>
        <w:t>:</w:t>
      </w:r>
      <w:r w:rsidRPr="00D36EB6">
        <w:rPr>
          <w:rFonts w:cs="Arial"/>
        </w:rPr>
        <w:t xml:space="preserve"> </w:t>
      </w:r>
      <w:r w:rsidRPr="00D36EB6">
        <w:rPr>
          <w:rFonts w:cs="Arial"/>
          <w:lang w:val="mk-MK"/>
        </w:rPr>
        <w:t>Постапување во итни случаи</w:t>
      </w:r>
    </w:p>
    <w:p w14:paraId="0A4AFCC9" w14:textId="77777777" w:rsidR="003F468C" w:rsidRPr="00D36EB6" w:rsidRDefault="003F468C" w:rsidP="003F468C">
      <w:pPr>
        <w:spacing w:before="240" w:after="240" w:line="240" w:lineRule="auto"/>
        <w:rPr>
          <w:rFonts w:cs="Arial"/>
          <w:b/>
          <w:lang w:val="en-US"/>
        </w:rPr>
      </w:pPr>
      <w:r w:rsidRPr="00D36EB6">
        <w:rPr>
          <w:rFonts w:cs="Arial"/>
          <w:b/>
          <w:lang w:val="mk-MK"/>
        </w:rPr>
        <w:t>Цел на Планот за насочена акција</w:t>
      </w:r>
      <w:r w:rsidRPr="00D36EB6">
        <w:rPr>
          <w:rFonts w:cs="Arial"/>
          <w:b/>
        </w:rPr>
        <w:t xml:space="preserve">: </w:t>
      </w:r>
      <w:r w:rsidRPr="00D36EB6">
        <w:rPr>
          <w:rFonts w:cs="Arial"/>
        </w:rPr>
        <w:t xml:space="preserve">2. </w:t>
      </w:r>
      <w:r w:rsidRPr="00D36EB6">
        <w:rPr>
          <w:rFonts w:cs="Arial"/>
          <w:lang w:val="mk-MK"/>
        </w:rPr>
        <w:t xml:space="preserve">Да се осигури дека инклузивните постапки за постапување, подготвување и опоравување при несреќи/итни случаи ги поддржуваат здравјето и добросостојбата на луѓето со онеспособеност пред, во текот на, и по </w:t>
      </w:r>
      <w:proofErr w:type="spellStart"/>
      <w:r w:rsidRPr="00D36EB6">
        <w:rPr>
          <w:rFonts w:cs="Arial"/>
        </w:rPr>
        <w:t>итните</w:t>
      </w:r>
      <w:proofErr w:type="spellEnd"/>
      <w:r w:rsidRPr="00D36EB6">
        <w:rPr>
          <w:rFonts w:cs="Arial"/>
        </w:rPr>
        <w:t xml:space="preserve"> </w:t>
      </w:r>
      <w:proofErr w:type="spellStart"/>
      <w:r w:rsidRPr="00D36EB6">
        <w:rPr>
          <w:rFonts w:cs="Arial"/>
        </w:rPr>
        <w:t>случаи</w:t>
      </w:r>
      <w:proofErr w:type="spellEnd"/>
      <w:r w:rsidRPr="00D36EB6">
        <w:rPr>
          <w:rFonts w:cs="Arial"/>
          <w:lang w:val="en-US"/>
        </w:rPr>
        <w:t>.</w:t>
      </w:r>
    </w:p>
    <w:p w14:paraId="79D070B3" w14:textId="77777777" w:rsidR="003F468C" w:rsidRPr="00D36EB6" w:rsidRDefault="003F468C" w:rsidP="003F468C">
      <w:pPr>
        <w:spacing w:before="240" w:after="240" w:line="240" w:lineRule="auto"/>
        <w:rPr>
          <w:rFonts w:cs="Arial"/>
        </w:rPr>
      </w:pPr>
      <w:r w:rsidRPr="00D36EB6">
        <w:rPr>
          <w:rFonts w:cs="Arial"/>
          <w:b/>
          <w:lang w:val="mk-MK"/>
        </w:rPr>
        <w:t>Акција</w:t>
      </w:r>
      <w:r w:rsidRPr="00D36EB6">
        <w:rPr>
          <w:rFonts w:cs="Arial"/>
          <w:b/>
        </w:rPr>
        <w:t xml:space="preserve">: </w:t>
      </w:r>
      <w:r w:rsidRPr="00D36EB6">
        <w:rPr>
          <w:rFonts w:cs="Arial"/>
        </w:rPr>
        <w:t xml:space="preserve">2.5 </w:t>
      </w:r>
      <w:r w:rsidRPr="00D36EB6">
        <w:rPr>
          <w:rFonts w:cs="Arial"/>
          <w:lang w:val="mk-MK"/>
        </w:rPr>
        <w:t>Националната агенција за постапување во итни случаи (</w:t>
      </w:r>
      <w:r w:rsidRPr="00D36EB6">
        <w:rPr>
          <w:rFonts w:cs="Arial"/>
        </w:rPr>
        <w:t>National Emergency Management Agency</w:t>
      </w:r>
      <w:r w:rsidRPr="00D36EB6">
        <w:rPr>
          <w:rFonts w:cs="Arial"/>
          <w:lang w:val="mk-MK"/>
        </w:rPr>
        <w:t>), којашто ја опфаќа и поранешната Агенција за национално закрепнување и издржливост (</w:t>
      </w:r>
      <w:r w:rsidRPr="00D36EB6">
        <w:rPr>
          <w:rFonts w:cs="Arial"/>
        </w:rPr>
        <w:t>National Recovery and Resilience Agency</w:t>
      </w:r>
      <w:r w:rsidRPr="00D36EB6">
        <w:rPr>
          <w:rFonts w:cs="Arial"/>
          <w:lang w:val="mk-MK"/>
        </w:rPr>
        <w:t>) во своите извештаи ќе почне да ги вклучува недостигот на информативни материјали и незадоволените потреби на луѓето со онеспособеност во иницијативите за опоравување и за намалување на опасноста преку постојните деловни процеси на Агенцијата</w:t>
      </w:r>
      <w:r w:rsidRPr="00D36EB6">
        <w:rPr>
          <w:rFonts w:cs="Arial"/>
        </w:rPr>
        <w:t>.</w:t>
      </w:r>
    </w:p>
    <w:p w14:paraId="4C808062" w14:textId="77777777" w:rsidR="003F468C" w:rsidRPr="00D36EB6" w:rsidRDefault="003F468C" w:rsidP="003F468C">
      <w:pPr>
        <w:spacing w:before="240" w:after="240" w:line="240" w:lineRule="auto"/>
        <w:rPr>
          <w:rFonts w:cs="Arial"/>
          <w:lang w:val="en-US"/>
        </w:rPr>
      </w:pPr>
      <w:r w:rsidRPr="00D36EB6">
        <w:rPr>
          <w:rFonts w:cs="Arial"/>
          <w:b/>
          <w:lang w:val="mk-MK"/>
        </w:rPr>
        <w:t>Показател</w:t>
      </w:r>
      <w:r w:rsidRPr="00D36EB6">
        <w:rPr>
          <w:rFonts w:cs="Arial"/>
          <w:b/>
        </w:rPr>
        <w:t>:</w:t>
      </w:r>
      <w:r w:rsidRPr="00D36EB6">
        <w:rPr>
          <w:rFonts w:cs="Arial"/>
        </w:rPr>
        <w:t xml:space="preserve"> </w:t>
      </w:r>
      <w:r w:rsidRPr="00D36EB6">
        <w:rPr>
          <w:rFonts w:cs="Arial"/>
          <w:lang w:val="mk-MK"/>
        </w:rPr>
        <w:t xml:space="preserve">За недостигот на информативни материјали и незадоволените потреби на луѓето со онеспособеност во иницијативите за опоравување и за намалување на опасноста се известуваат надлежните </w:t>
      </w:r>
      <w:proofErr w:type="spellStart"/>
      <w:r w:rsidRPr="00D36EB6">
        <w:rPr>
          <w:rFonts w:cs="Arial"/>
        </w:rPr>
        <w:t>деловни</w:t>
      </w:r>
      <w:proofErr w:type="spellEnd"/>
      <w:r w:rsidRPr="00D36EB6">
        <w:rPr>
          <w:rFonts w:cs="Arial"/>
        </w:rPr>
        <w:t xml:space="preserve"> </w:t>
      </w:r>
      <w:proofErr w:type="spellStart"/>
      <w:r w:rsidRPr="00D36EB6">
        <w:rPr>
          <w:rFonts w:cs="Arial"/>
        </w:rPr>
        <w:t>подрачја</w:t>
      </w:r>
      <w:proofErr w:type="spellEnd"/>
      <w:r w:rsidRPr="00D36EB6">
        <w:rPr>
          <w:rFonts w:cs="Arial"/>
          <w:lang w:val="mk-MK"/>
        </w:rPr>
        <w:t xml:space="preserve"> на Националната агенција за постапување во итни случаи (којашто ја опфаќа и поранешната Агенција за национално закрепнување и издржливост)</w:t>
      </w:r>
      <w:r w:rsidRPr="00D36EB6">
        <w:rPr>
          <w:rFonts w:cs="Arial"/>
          <w:lang w:val="en-US"/>
        </w:rPr>
        <w:t>.</w:t>
      </w:r>
    </w:p>
    <w:p w14:paraId="78CA0517" w14:textId="77777777" w:rsidR="003F468C" w:rsidRPr="00D36EB6" w:rsidRDefault="003F468C" w:rsidP="003F468C">
      <w:pPr>
        <w:spacing w:before="240" w:after="240" w:line="240" w:lineRule="auto"/>
        <w:rPr>
          <w:rFonts w:cs="Arial"/>
          <w:lang w:val="mk-MK"/>
        </w:rPr>
      </w:pPr>
      <w:r w:rsidRPr="00D36EB6">
        <w:rPr>
          <w:rFonts w:cs="Arial"/>
          <w:b/>
          <w:lang w:val="mk-MK"/>
        </w:rPr>
        <w:t>Состојба</w:t>
      </w:r>
      <w:r w:rsidRPr="00D36EB6">
        <w:rPr>
          <w:rFonts w:cs="Arial"/>
          <w:b/>
        </w:rPr>
        <w:t xml:space="preserve">: </w:t>
      </w:r>
      <w:r w:rsidRPr="00D36EB6">
        <w:rPr>
          <w:rFonts w:cs="Arial"/>
          <w:lang w:val="mk-MK"/>
        </w:rPr>
        <w:t>Во тек</w:t>
      </w:r>
    </w:p>
    <w:p w14:paraId="79324D38" w14:textId="77777777" w:rsidR="003F468C" w:rsidRPr="00D36EB6" w:rsidRDefault="003F468C" w:rsidP="003F468C">
      <w:pPr>
        <w:spacing w:before="240" w:after="240" w:line="240" w:lineRule="auto"/>
        <w:rPr>
          <w:rFonts w:cs="Arial"/>
        </w:rPr>
      </w:pPr>
      <w:r w:rsidRPr="00D36EB6">
        <w:rPr>
          <w:rFonts w:cs="Arial"/>
          <w:b/>
          <w:lang w:val="mk-MK"/>
        </w:rPr>
        <w:t>Опис</w:t>
      </w:r>
      <w:r w:rsidRPr="00D36EB6">
        <w:rPr>
          <w:rFonts w:cs="Arial"/>
        </w:rPr>
        <w:t>:</w:t>
      </w:r>
    </w:p>
    <w:p w14:paraId="19C965F1" w14:textId="77777777" w:rsidR="003F468C" w:rsidRPr="00D36EB6" w:rsidRDefault="003F468C" w:rsidP="003F468C">
      <w:pPr>
        <w:spacing w:before="240" w:after="240" w:line="240" w:lineRule="auto"/>
        <w:rPr>
          <w:rFonts w:cs="Arial"/>
        </w:rPr>
      </w:pPr>
      <w:r w:rsidRPr="00D36EB6">
        <w:rPr>
          <w:rFonts w:cs="Arial"/>
          <w:lang w:val="mk-MK"/>
        </w:rPr>
        <w:t>Првата фаза од Програмата за намалување на опасноста при несреќи што ги вклучува и луѓето со онеспособеност (</w:t>
      </w:r>
      <w:r w:rsidRPr="00D36EB6">
        <w:rPr>
          <w:rFonts w:cs="Arial"/>
        </w:rPr>
        <w:t>Disability Inclusive Disaster Risk Reduction</w:t>
      </w:r>
      <w:r w:rsidRPr="00D36EB6">
        <w:rPr>
          <w:rFonts w:cs="Arial"/>
          <w:lang w:val="mk-MK"/>
        </w:rPr>
        <w:t>) веќе е завршена, а се состоеше од истражување на национално ниво што го изврши Центарот за истражување на онеспособеноста при Универзитетот на Сиднеј.</w:t>
      </w:r>
      <w:r w:rsidRPr="00D36EB6">
        <w:rPr>
          <w:rFonts w:cs="Arial"/>
        </w:rPr>
        <w:t xml:space="preserve"> </w:t>
      </w:r>
    </w:p>
    <w:p w14:paraId="5E58871F" w14:textId="77777777" w:rsidR="003F468C" w:rsidRPr="00D36EB6" w:rsidRDefault="003F468C" w:rsidP="003F468C">
      <w:pPr>
        <w:spacing w:before="240" w:after="240" w:line="240" w:lineRule="auto"/>
        <w:rPr>
          <w:rFonts w:cs="Arial"/>
          <w:lang w:val="mk-MK"/>
        </w:rPr>
      </w:pPr>
      <w:r w:rsidRPr="00D36EB6">
        <w:rPr>
          <w:rFonts w:cs="Arial"/>
          <w:lang w:val="mk-MK"/>
        </w:rPr>
        <w:t xml:space="preserve">Истражувањето претставува сеопфатна анализа на сегашната инклузивност на плановите за постапување во итни случаи на национално ниво. Тоа претставува појдовна точка за оценување на нашата доследност ширум целата држава во поглед на Програмата за намалување на опасноста при несреќи што ги вклучува и луѓето со онеспособеност. </w:t>
      </w:r>
    </w:p>
    <w:p w14:paraId="05448F6D" w14:textId="77777777" w:rsidR="003F468C" w:rsidRPr="00D36EB6" w:rsidRDefault="003F468C" w:rsidP="003F468C">
      <w:pPr>
        <w:spacing w:before="240" w:after="240" w:line="240" w:lineRule="auto"/>
        <w:rPr>
          <w:rFonts w:cs="Arial"/>
        </w:rPr>
      </w:pPr>
      <w:r w:rsidRPr="00D36EB6">
        <w:rPr>
          <w:rFonts w:cs="Arial"/>
          <w:lang w:val="mk-MK"/>
        </w:rPr>
        <w:t>Истражувањето вклучува и анализа на истражувањето што ги изработи „мапите на недостиг“(„</w:t>
      </w:r>
      <w:r w:rsidRPr="00D36EB6">
        <w:rPr>
          <w:rFonts w:cs="Arial"/>
        </w:rPr>
        <w:t>Gap Maps</w:t>
      </w:r>
      <w:r w:rsidRPr="00D36EB6">
        <w:rPr>
          <w:rFonts w:cs="Arial"/>
          <w:lang w:val="mk-MK"/>
        </w:rPr>
        <w:t>“) и на докази и на материјали, истражување на застапеноста на луѓето со онеспособеност во начините на коишто се уредува постапувањето во итни случаи, и утврдувањето на добрите практики за намалување на опасноста при несреќи што ги вклучува и луѓето со онеспособеност денес.</w:t>
      </w:r>
      <w:r w:rsidRPr="00D36EB6">
        <w:rPr>
          <w:rFonts w:cs="Arial"/>
        </w:rPr>
        <w:t xml:space="preserve"> </w:t>
      </w:r>
    </w:p>
    <w:p w14:paraId="323EEFF0" w14:textId="77777777" w:rsidR="003F468C" w:rsidRPr="00D36EB6" w:rsidRDefault="003F468C" w:rsidP="003F468C">
      <w:pPr>
        <w:spacing w:before="240" w:after="240" w:line="240" w:lineRule="auto"/>
        <w:rPr>
          <w:rFonts w:cs="Arial"/>
        </w:rPr>
      </w:pPr>
      <w:r w:rsidRPr="00D36EB6">
        <w:rPr>
          <w:rFonts w:cs="Arial"/>
          <w:lang w:val="mk-MK"/>
        </w:rPr>
        <w:t>Истражувањето утврди три најитни подрачја  за акција</w:t>
      </w:r>
      <w:r w:rsidRPr="00D36EB6">
        <w:rPr>
          <w:rFonts w:cs="Arial"/>
        </w:rPr>
        <w:t>:</w:t>
      </w:r>
    </w:p>
    <w:p w14:paraId="33878B87" w14:textId="76829874" w:rsidR="003F468C" w:rsidRPr="00D36EB6" w:rsidRDefault="003F468C" w:rsidP="003F468C">
      <w:pPr>
        <w:pStyle w:val="ListParagraph"/>
        <w:numPr>
          <w:ilvl w:val="0"/>
          <w:numId w:val="30"/>
        </w:numPr>
        <w:spacing w:after="120" w:line="240" w:lineRule="auto"/>
        <w:ind w:left="720"/>
        <w:contextualSpacing w:val="0"/>
        <w:rPr>
          <w:rFonts w:cs="Arial"/>
        </w:rPr>
      </w:pPr>
      <w:r w:rsidRPr="00D36EB6">
        <w:rPr>
          <w:rFonts w:cs="Arial"/>
          <w:lang w:val="mk-MK"/>
        </w:rPr>
        <w:lastRenderedPageBreak/>
        <w:t>Инклузивни планови што ги утврдуваат услугите и средствата што може да бидат ангажирани за луѓето со онеспособеност во итни случаи;</w:t>
      </w:r>
    </w:p>
    <w:p w14:paraId="72007C80" w14:textId="5032AA93" w:rsidR="003F468C" w:rsidRPr="00D36EB6" w:rsidRDefault="003F468C" w:rsidP="003F468C">
      <w:pPr>
        <w:pStyle w:val="ListParagraph"/>
        <w:numPr>
          <w:ilvl w:val="0"/>
          <w:numId w:val="30"/>
        </w:numPr>
        <w:spacing w:after="120" w:line="240" w:lineRule="auto"/>
        <w:ind w:left="720"/>
        <w:contextualSpacing w:val="0"/>
        <w:rPr>
          <w:rFonts w:cs="Arial"/>
        </w:rPr>
      </w:pPr>
      <w:r w:rsidRPr="00D36EB6">
        <w:rPr>
          <w:rFonts w:cs="Arial"/>
          <w:lang w:val="mk-MK"/>
        </w:rPr>
        <w:t>Инклузивни информации што им се достапни на сите; процесите и алатките за комуникација мора да бидат одново разгледани во соработка со луѓето со онеспособеност;</w:t>
      </w:r>
    </w:p>
    <w:p w14:paraId="17B53F20" w14:textId="42C6ABEF" w:rsidR="003F468C" w:rsidRPr="00D36EB6" w:rsidRDefault="003F468C" w:rsidP="003F468C">
      <w:pPr>
        <w:pStyle w:val="ListParagraph"/>
        <w:numPr>
          <w:ilvl w:val="0"/>
          <w:numId w:val="30"/>
        </w:numPr>
        <w:spacing w:after="120" w:line="240" w:lineRule="auto"/>
        <w:ind w:left="720"/>
        <w:contextualSpacing w:val="0"/>
        <w:rPr>
          <w:rFonts w:cs="Arial"/>
        </w:rPr>
      </w:pPr>
      <w:r w:rsidRPr="00D36EB6">
        <w:rPr>
          <w:rFonts w:cs="Arial"/>
          <w:lang w:val="mk-MK"/>
        </w:rPr>
        <w:t>Инклузивни практики што поттикнуваат можности за приспособување на поддршката и соработка меѓу сите сектори и намалување на пречките за луѓето со онеспособеност.</w:t>
      </w:r>
      <w:r w:rsidRPr="00D36EB6">
        <w:rPr>
          <w:rFonts w:cs="Arial"/>
        </w:rPr>
        <w:t xml:space="preserve"> </w:t>
      </w:r>
    </w:p>
    <w:p w14:paraId="1C524701" w14:textId="1F43756F" w:rsidR="003F468C" w:rsidRPr="005114E7" w:rsidRDefault="003F468C" w:rsidP="003F468C">
      <w:pPr>
        <w:spacing w:before="240" w:after="240" w:line="240" w:lineRule="auto"/>
        <w:rPr>
          <w:rFonts w:cs="Arial"/>
          <w:b/>
        </w:rPr>
      </w:pPr>
      <w:r w:rsidRPr="00D36EB6">
        <w:rPr>
          <w:rFonts w:cs="Arial"/>
          <w:lang w:val="mk-MK"/>
        </w:rPr>
        <w:t>Ова истражување ќе послужи како информација за следната фаза од работата на Програмата за намалување на опасноста при несреќи што ги вклучува и луѓето со онеспособеност, која што Националната агенција за постапување во итни случаи планира ги унапреди во многу блиска иднина.</w:t>
      </w:r>
    </w:p>
    <w:p w14:paraId="50B2BAE9" w14:textId="77777777" w:rsidR="001F7ED0" w:rsidRPr="005114E7" w:rsidRDefault="001F7ED0" w:rsidP="00760AE8">
      <w:pPr>
        <w:spacing w:before="240" w:after="240"/>
      </w:pPr>
      <w:r w:rsidRPr="005114E7">
        <w:br w:type="page"/>
      </w:r>
    </w:p>
    <w:p w14:paraId="3C55E03B" w14:textId="41EEB3B7" w:rsidR="00B875C3" w:rsidRPr="005114E7" w:rsidRDefault="00B55359" w:rsidP="00515A1C">
      <w:pPr>
        <w:pStyle w:val="Heading2"/>
      </w:pPr>
      <w:bookmarkStart w:id="41" w:name="_Toc153454157"/>
      <w:r w:rsidRPr="00D36EB6">
        <w:rPr>
          <w:rFonts w:cs="Arial"/>
          <w:lang w:val="mk-MK"/>
        </w:rPr>
        <w:lastRenderedPageBreak/>
        <w:t>Краток преглед на напредокот од 3 декември 2021 г.</w:t>
      </w:r>
      <w:bookmarkEnd w:id="41"/>
    </w:p>
    <w:p w14:paraId="49747675" w14:textId="77777777" w:rsidR="00B55359" w:rsidRPr="00D36EB6" w:rsidRDefault="00B55359" w:rsidP="00B55359">
      <w:pPr>
        <w:spacing w:before="240" w:after="240" w:line="240" w:lineRule="auto"/>
        <w:rPr>
          <w:rFonts w:cs="Arial"/>
          <w:lang w:val="mk-MK"/>
        </w:rPr>
      </w:pPr>
      <w:r w:rsidRPr="00D36EB6">
        <w:rPr>
          <w:rFonts w:cs="Arial"/>
          <w:lang w:val="mk-MK"/>
        </w:rPr>
        <w:t>Од моментот кога почна да се применува Стратегијата</w:t>
      </w:r>
      <w:r w:rsidRPr="00D36EB6">
        <w:rPr>
          <w:rFonts w:cs="Arial"/>
        </w:rPr>
        <w:t xml:space="preserve"> ADS,</w:t>
      </w:r>
      <w:r w:rsidRPr="00D36EB6">
        <w:rPr>
          <w:rFonts w:cs="Arial"/>
          <w:lang w:val="mk-MK"/>
        </w:rPr>
        <w:t xml:space="preserve"> има општ позитивен напредок во поглед на спроведувањето на акциите. Повеќето надлежни чинители го зголемија бројот на завршени акции во 2022-2023 во споредба со периодот за известување 2021-2022 г.</w:t>
      </w:r>
    </w:p>
    <w:p w14:paraId="13F1303D" w14:textId="77777777" w:rsidR="00B55359" w:rsidRPr="00D36EB6" w:rsidRDefault="00B55359" w:rsidP="00B55359">
      <w:pPr>
        <w:spacing w:before="240" w:after="240" w:line="240" w:lineRule="auto"/>
        <w:rPr>
          <w:rFonts w:cs="Arial"/>
        </w:rPr>
      </w:pPr>
      <w:r w:rsidRPr="00D36EB6">
        <w:rPr>
          <w:rFonts w:cs="Arial"/>
          <w:lang w:val="mk-MK"/>
        </w:rPr>
        <w:t>Општиот напредок постигнат за сите 417 Планови за насочена акција покажува дека:</w:t>
      </w:r>
    </w:p>
    <w:p w14:paraId="26D43D73" w14:textId="77777777" w:rsidR="00B55359" w:rsidRPr="00D36EB6" w:rsidRDefault="00B55359" w:rsidP="00B55359">
      <w:pPr>
        <w:pStyle w:val="ListParagraph"/>
        <w:numPr>
          <w:ilvl w:val="0"/>
          <w:numId w:val="32"/>
        </w:numPr>
        <w:spacing w:before="120" w:after="240" w:line="240" w:lineRule="auto"/>
        <w:ind w:left="709" w:hanging="359"/>
        <w:contextualSpacing w:val="0"/>
        <w:rPr>
          <w:rFonts w:cs="Arial"/>
        </w:rPr>
      </w:pPr>
      <w:r w:rsidRPr="00D36EB6">
        <w:rPr>
          <w:rFonts w:cs="Arial"/>
          <w:lang w:val="mk-MK"/>
        </w:rPr>
        <w:t xml:space="preserve">За </w:t>
      </w:r>
      <w:r w:rsidRPr="00D36EB6">
        <w:rPr>
          <w:rFonts w:cs="Arial"/>
          <w:b/>
        </w:rPr>
        <w:t>353 (85%)</w:t>
      </w:r>
      <w:r w:rsidRPr="00D36EB6">
        <w:rPr>
          <w:rFonts w:cs="Arial"/>
        </w:rPr>
        <w:t xml:space="preserve"> </w:t>
      </w:r>
      <w:r w:rsidRPr="00D36EB6">
        <w:rPr>
          <w:rFonts w:cs="Arial"/>
          <w:lang w:val="mk-MK"/>
        </w:rPr>
        <w:t>акции е известено дека се завршени или во тек; при што</w:t>
      </w:r>
      <w:r w:rsidRPr="00D36EB6">
        <w:rPr>
          <w:rFonts w:cs="Arial"/>
        </w:rPr>
        <w:t>:</w:t>
      </w:r>
    </w:p>
    <w:p w14:paraId="37461B7A" w14:textId="77777777" w:rsidR="00B55359" w:rsidRPr="00D36EB6" w:rsidRDefault="00B55359" w:rsidP="00B55359">
      <w:pPr>
        <w:pStyle w:val="ListParagraph"/>
        <w:numPr>
          <w:ilvl w:val="2"/>
          <w:numId w:val="31"/>
        </w:numPr>
        <w:spacing w:before="120" w:after="240" w:line="240" w:lineRule="auto"/>
        <w:ind w:left="1276" w:hanging="425"/>
        <w:contextualSpacing w:val="0"/>
        <w:rPr>
          <w:rFonts w:cs="Arial"/>
        </w:rPr>
      </w:pPr>
      <w:r w:rsidRPr="00D36EB6">
        <w:rPr>
          <w:rFonts w:cs="Arial"/>
          <w:b/>
        </w:rPr>
        <w:t>144</w:t>
      </w:r>
      <w:r w:rsidRPr="00D36EB6">
        <w:rPr>
          <w:rFonts w:cs="Arial"/>
        </w:rPr>
        <w:t xml:space="preserve"> </w:t>
      </w:r>
      <w:r w:rsidRPr="00D36EB6">
        <w:rPr>
          <w:rFonts w:cs="Arial"/>
          <w:b/>
        </w:rPr>
        <w:t>(35%)</w:t>
      </w:r>
      <w:r w:rsidRPr="00D36EB6">
        <w:rPr>
          <w:rFonts w:cs="Arial"/>
        </w:rPr>
        <w:t xml:space="preserve"> </w:t>
      </w:r>
      <w:r w:rsidRPr="00D36EB6">
        <w:rPr>
          <w:rFonts w:cs="Arial"/>
          <w:lang w:val="mk-MK"/>
        </w:rPr>
        <w:t>акции се завршени, и</w:t>
      </w:r>
    </w:p>
    <w:p w14:paraId="1798E1BA" w14:textId="77777777" w:rsidR="00B55359" w:rsidRPr="00D36EB6" w:rsidRDefault="00B55359" w:rsidP="00B55359">
      <w:pPr>
        <w:pStyle w:val="ListParagraph"/>
        <w:numPr>
          <w:ilvl w:val="2"/>
          <w:numId w:val="31"/>
        </w:numPr>
        <w:spacing w:before="120" w:after="240" w:line="240" w:lineRule="auto"/>
        <w:ind w:left="1276" w:hanging="425"/>
        <w:contextualSpacing w:val="0"/>
        <w:rPr>
          <w:rFonts w:cs="Arial"/>
        </w:rPr>
      </w:pPr>
      <w:r w:rsidRPr="00D36EB6">
        <w:rPr>
          <w:rFonts w:cs="Arial"/>
          <w:b/>
        </w:rPr>
        <w:t>209</w:t>
      </w:r>
      <w:r w:rsidRPr="00D36EB6">
        <w:rPr>
          <w:rFonts w:cs="Arial"/>
        </w:rPr>
        <w:t xml:space="preserve"> </w:t>
      </w:r>
      <w:r w:rsidRPr="00D36EB6">
        <w:rPr>
          <w:rFonts w:cs="Arial"/>
          <w:b/>
        </w:rPr>
        <w:t>(50%)</w:t>
      </w:r>
      <w:r w:rsidRPr="00D36EB6">
        <w:rPr>
          <w:rFonts w:cs="Arial"/>
        </w:rPr>
        <w:t xml:space="preserve"> </w:t>
      </w:r>
      <w:r w:rsidRPr="00D36EB6">
        <w:rPr>
          <w:rFonts w:cs="Arial"/>
          <w:lang w:val="mk-MK"/>
        </w:rPr>
        <w:t>акции се во тек</w:t>
      </w:r>
      <w:r w:rsidRPr="00D36EB6">
        <w:rPr>
          <w:rFonts w:cs="Arial"/>
        </w:rPr>
        <w:t xml:space="preserve"> </w:t>
      </w:r>
    </w:p>
    <w:p w14:paraId="7F41E992" w14:textId="5F185E35" w:rsidR="00B55359" w:rsidRPr="005114E7" w:rsidRDefault="00B55359" w:rsidP="00B55359">
      <w:pPr>
        <w:pStyle w:val="ListParagraph"/>
        <w:numPr>
          <w:ilvl w:val="2"/>
          <w:numId w:val="31"/>
        </w:numPr>
        <w:spacing w:before="120" w:after="240" w:line="240" w:lineRule="auto"/>
        <w:ind w:left="720"/>
        <w:contextualSpacing w:val="0"/>
      </w:pPr>
      <w:r w:rsidRPr="00B55359">
        <w:rPr>
          <w:rFonts w:cs="Arial"/>
          <w:lang w:val="mk-MK"/>
        </w:rPr>
        <w:t xml:space="preserve">За </w:t>
      </w:r>
      <w:r w:rsidRPr="00B55359">
        <w:rPr>
          <w:rFonts w:cs="Arial"/>
          <w:b/>
        </w:rPr>
        <w:t xml:space="preserve">63 (15%) </w:t>
      </w:r>
      <w:r w:rsidRPr="00B55359">
        <w:rPr>
          <w:rFonts w:cs="Arial"/>
          <w:lang w:val="mk-MK"/>
        </w:rPr>
        <w:t>акции е известено дека има извесно доцнење, дека се привремено прекинати или дека ќе почнат во иднина.</w:t>
      </w:r>
    </w:p>
    <w:p w14:paraId="58D1035C" w14:textId="77D87DD0" w:rsidR="00B875C3" w:rsidRPr="005114E7" w:rsidRDefault="000218B6" w:rsidP="00760AE8">
      <w:pPr>
        <w:spacing w:before="240" w:after="240"/>
        <w:rPr>
          <w:b/>
        </w:rPr>
      </w:pPr>
      <w:r w:rsidRPr="00D36EB6">
        <w:rPr>
          <w:rFonts w:cs="Arial"/>
          <w:b/>
          <w:lang w:val="mk-MK"/>
        </w:rPr>
        <w:t>Табела</w:t>
      </w:r>
      <w:r w:rsidRPr="00D36EB6">
        <w:rPr>
          <w:rFonts w:cs="Arial"/>
          <w:b/>
        </w:rPr>
        <w:t xml:space="preserve"> 13: </w:t>
      </w:r>
      <w:r w:rsidRPr="00D36EB6">
        <w:rPr>
          <w:rFonts w:cs="Arial"/>
          <w:b/>
          <w:lang w:val="mk-MK"/>
        </w:rPr>
        <w:t xml:space="preserve">Напредокот на сите акции од Плановите за насочена акција по влада и по состојба за периодот </w:t>
      </w:r>
      <w:r w:rsidRPr="00D36EB6">
        <w:rPr>
          <w:rFonts w:cs="Arial"/>
          <w:b/>
        </w:rPr>
        <w:t>2021-2023</w:t>
      </w:r>
      <w:r w:rsidRPr="00D36EB6">
        <w:rPr>
          <w:rFonts w:cs="Arial"/>
          <w:b/>
          <w:lang w:val="mk-MK"/>
        </w:rPr>
        <w:t xml:space="preserve"> г.</w:t>
      </w:r>
    </w:p>
    <w:tbl>
      <w:tblPr>
        <w:tblStyle w:val="TableGrid"/>
        <w:tblW w:w="5000" w:type="pct"/>
        <w:tblCellMar>
          <w:top w:w="115" w:type="dxa"/>
          <w:bottom w:w="115" w:type="dxa"/>
        </w:tblCellMar>
        <w:tblLook w:val="04A0" w:firstRow="1" w:lastRow="0" w:firstColumn="1" w:lastColumn="0" w:noHBand="0" w:noVBand="1"/>
      </w:tblPr>
      <w:tblGrid>
        <w:gridCol w:w="1658"/>
        <w:gridCol w:w="1368"/>
        <w:gridCol w:w="1243"/>
        <w:gridCol w:w="1243"/>
        <w:gridCol w:w="1243"/>
        <w:gridCol w:w="1243"/>
        <w:gridCol w:w="1244"/>
      </w:tblGrid>
      <w:tr w:rsidR="000218B6" w:rsidRPr="005114E7" w14:paraId="2CAF848F" w14:textId="77777777" w:rsidTr="005A5EF0">
        <w:tc>
          <w:tcPr>
            <w:tcW w:w="839" w:type="pct"/>
            <w:tcBorders>
              <w:left w:val="single" w:sz="4" w:space="0" w:color="FFFFFF" w:themeColor="background1"/>
              <w:right w:val="single" w:sz="4" w:space="0" w:color="FFFFFF" w:themeColor="background1"/>
            </w:tcBorders>
            <w:shd w:val="clear" w:color="auto" w:fill="6C1740"/>
          </w:tcPr>
          <w:p w14:paraId="56F5D0F5" w14:textId="3ABCD9F7" w:rsidR="000218B6" w:rsidRPr="005114E7" w:rsidRDefault="000218B6" w:rsidP="008E5982">
            <w:pPr>
              <w:rPr>
                <w:b/>
              </w:rPr>
            </w:pPr>
            <w:r w:rsidRPr="005114E7">
              <w:rPr>
                <w:rFonts w:eastAsia="Times New Roman" w:cs="Calibri"/>
                <w:b/>
                <w:bCs/>
                <w:color w:val="FFFFFF" w:themeColor="background1"/>
                <w:lang w:val="mk" w:eastAsia="en-AU"/>
              </w:rPr>
              <w:t>Влада</w:t>
            </w:r>
          </w:p>
        </w:tc>
        <w:tc>
          <w:tcPr>
            <w:tcW w:w="750" w:type="pct"/>
            <w:tcBorders>
              <w:left w:val="single" w:sz="4" w:space="0" w:color="FFFFFF" w:themeColor="background1"/>
              <w:right w:val="single" w:sz="4" w:space="0" w:color="FFFFFF" w:themeColor="background1"/>
            </w:tcBorders>
            <w:shd w:val="clear" w:color="auto" w:fill="6C1740"/>
          </w:tcPr>
          <w:p w14:paraId="4BC5319F" w14:textId="524D5672" w:rsidR="000218B6" w:rsidRPr="005114E7" w:rsidRDefault="000218B6" w:rsidP="00EF7D0A">
            <w:pPr>
              <w:jc w:val="center"/>
              <w:rPr>
                <w:b/>
              </w:rPr>
            </w:pPr>
            <w:r w:rsidRPr="005114E7">
              <w:rPr>
                <w:rFonts w:eastAsia="Times New Roman" w:cs="Calibri"/>
                <w:b/>
                <w:bCs/>
                <w:color w:val="FFFFFF" w:themeColor="background1"/>
                <w:lang w:val="mk" w:eastAsia="en-AU"/>
              </w:rPr>
              <w:t>Завршено</w:t>
            </w:r>
          </w:p>
        </w:tc>
        <w:tc>
          <w:tcPr>
            <w:tcW w:w="682" w:type="pct"/>
            <w:tcBorders>
              <w:left w:val="single" w:sz="4" w:space="0" w:color="FFFFFF" w:themeColor="background1"/>
              <w:right w:val="single" w:sz="4" w:space="0" w:color="FFFFFF" w:themeColor="background1"/>
            </w:tcBorders>
            <w:shd w:val="clear" w:color="auto" w:fill="6C1740"/>
          </w:tcPr>
          <w:p w14:paraId="670D6CA9" w14:textId="49C34FF9" w:rsidR="000218B6" w:rsidRPr="005114E7" w:rsidRDefault="000218B6" w:rsidP="008E5982">
            <w:pPr>
              <w:jc w:val="center"/>
              <w:rPr>
                <w:b/>
              </w:rPr>
            </w:pPr>
            <w:r w:rsidRPr="005114E7">
              <w:rPr>
                <w:rFonts w:eastAsia="Times New Roman" w:cs="Calibri"/>
                <w:b/>
                <w:bCs/>
                <w:color w:val="FFFFFF" w:themeColor="background1"/>
                <w:lang w:val="mk" w:eastAsia="en-AU"/>
              </w:rPr>
              <w:t>Навреме</w:t>
            </w:r>
          </w:p>
        </w:tc>
        <w:tc>
          <w:tcPr>
            <w:tcW w:w="682" w:type="pct"/>
            <w:tcBorders>
              <w:left w:val="single" w:sz="4" w:space="0" w:color="FFFFFF" w:themeColor="background1"/>
              <w:right w:val="single" w:sz="4" w:space="0" w:color="FFFFFF" w:themeColor="background1"/>
            </w:tcBorders>
            <w:shd w:val="clear" w:color="auto" w:fill="6C1740"/>
          </w:tcPr>
          <w:p w14:paraId="090E8FAD" w14:textId="7A08CBFD" w:rsidR="000218B6" w:rsidRPr="005114E7" w:rsidRDefault="000218B6" w:rsidP="008E5982">
            <w:pPr>
              <w:jc w:val="center"/>
              <w:rPr>
                <w:b/>
              </w:rPr>
            </w:pPr>
            <w:r w:rsidRPr="005114E7">
              <w:rPr>
                <w:rFonts w:eastAsia="Times New Roman" w:cs="Calibri"/>
                <w:b/>
                <w:bCs/>
                <w:color w:val="FFFFFF" w:themeColor="background1"/>
                <w:lang w:val="mk" w:eastAsia="en-AU"/>
              </w:rPr>
              <w:t>Доцнење</w:t>
            </w:r>
          </w:p>
        </w:tc>
        <w:tc>
          <w:tcPr>
            <w:tcW w:w="682" w:type="pct"/>
            <w:tcBorders>
              <w:left w:val="single" w:sz="4" w:space="0" w:color="FFFFFF" w:themeColor="background1"/>
              <w:right w:val="single" w:sz="4" w:space="0" w:color="FFFFFF" w:themeColor="background1"/>
            </w:tcBorders>
            <w:shd w:val="clear" w:color="auto" w:fill="6C1740"/>
          </w:tcPr>
          <w:p w14:paraId="0EAA9221" w14:textId="4B7AB8AA" w:rsidR="000218B6" w:rsidRPr="005114E7" w:rsidRDefault="000218B6" w:rsidP="008E5982">
            <w:pPr>
              <w:jc w:val="center"/>
              <w:rPr>
                <w:b/>
              </w:rPr>
            </w:pPr>
            <w:r w:rsidRPr="005114E7">
              <w:rPr>
                <w:rFonts w:eastAsia="Times New Roman" w:cs="Calibri"/>
                <w:b/>
                <w:bCs/>
                <w:color w:val="FFFFFF" w:themeColor="background1"/>
                <w:lang w:val="mk" w:eastAsia="en-AU"/>
              </w:rPr>
              <w:t>Паузира</w:t>
            </w:r>
          </w:p>
        </w:tc>
        <w:tc>
          <w:tcPr>
            <w:tcW w:w="682" w:type="pct"/>
            <w:tcBorders>
              <w:left w:val="single" w:sz="4" w:space="0" w:color="FFFFFF" w:themeColor="background1"/>
              <w:right w:val="single" w:sz="4" w:space="0" w:color="FFFFFF" w:themeColor="background1"/>
            </w:tcBorders>
            <w:shd w:val="clear" w:color="auto" w:fill="6C1740"/>
          </w:tcPr>
          <w:p w14:paraId="40B4AAE5" w14:textId="50B65A2C" w:rsidR="000218B6" w:rsidRPr="005114E7" w:rsidRDefault="000218B6" w:rsidP="008E5982">
            <w:pPr>
              <w:jc w:val="center"/>
              <w:rPr>
                <w:b/>
              </w:rPr>
            </w:pPr>
            <w:r w:rsidRPr="005114E7">
              <w:rPr>
                <w:rFonts w:eastAsia="Times New Roman" w:cs="Calibri"/>
                <w:b/>
                <w:bCs/>
                <w:color w:val="FFFFFF" w:themeColor="background1"/>
                <w:lang w:val="mk" w:eastAsia="en-AU"/>
              </w:rPr>
              <w:t>Ќе започне во иднина</w:t>
            </w:r>
          </w:p>
        </w:tc>
        <w:tc>
          <w:tcPr>
            <w:tcW w:w="683" w:type="pct"/>
            <w:tcBorders>
              <w:left w:val="single" w:sz="4" w:space="0" w:color="FFFFFF" w:themeColor="background1"/>
              <w:right w:val="single" w:sz="4" w:space="0" w:color="FFFFFF" w:themeColor="background1"/>
            </w:tcBorders>
            <w:shd w:val="clear" w:color="auto" w:fill="6C1740"/>
          </w:tcPr>
          <w:p w14:paraId="7F3EF0F9" w14:textId="79BB0628" w:rsidR="000218B6" w:rsidRPr="005114E7" w:rsidRDefault="000218B6" w:rsidP="001E7183">
            <w:pPr>
              <w:jc w:val="center"/>
              <w:rPr>
                <w:b/>
              </w:rPr>
            </w:pPr>
            <w:r w:rsidRPr="005114E7">
              <w:rPr>
                <w:rFonts w:eastAsia="Times New Roman" w:cs="Calibri"/>
                <w:b/>
                <w:bCs/>
                <w:color w:val="FFFFFF" w:themeColor="background1"/>
                <w:lang w:val="mk" w:eastAsia="en-AU"/>
              </w:rPr>
              <w:t>Вкупно</w:t>
            </w:r>
          </w:p>
        </w:tc>
      </w:tr>
      <w:tr w:rsidR="000218B6" w:rsidRPr="005114E7" w14:paraId="0CA8A133" w14:textId="77777777" w:rsidTr="00BE022F">
        <w:tc>
          <w:tcPr>
            <w:tcW w:w="839" w:type="pct"/>
            <w:tcBorders>
              <w:left w:val="single" w:sz="4" w:space="0" w:color="FFFFFF" w:themeColor="background1"/>
            </w:tcBorders>
            <w:vAlign w:val="bottom"/>
          </w:tcPr>
          <w:p w14:paraId="647D1E6A" w14:textId="0F45A783" w:rsidR="000218B6" w:rsidRPr="005114E7" w:rsidRDefault="000218B6" w:rsidP="008E5982">
            <w:r w:rsidRPr="005114E7">
              <w:rPr>
                <w:rFonts w:eastAsia="Times New Roman" w:cs="Calibri"/>
                <w:color w:val="000000"/>
                <w:lang w:val="mk" w:eastAsia="en-AU"/>
              </w:rPr>
              <w:t>Австралиска влада</w:t>
            </w:r>
          </w:p>
        </w:tc>
        <w:tc>
          <w:tcPr>
            <w:tcW w:w="750" w:type="pct"/>
          </w:tcPr>
          <w:p w14:paraId="2F04B8C0" w14:textId="71EC45A5" w:rsidR="000218B6" w:rsidRPr="005114E7" w:rsidRDefault="000218B6" w:rsidP="008E5982">
            <w:pPr>
              <w:jc w:val="center"/>
            </w:pPr>
            <w:r w:rsidRPr="005114E7">
              <w:t>17</w:t>
            </w:r>
          </w:p>
        </w:tc>
        <w:tc>
          <w:tcPr>
            <w:tcW w:w="682" w:type="pct"/>
          </w:tcPr>
          <w:p w14:paraId="63307B55" w14:textId="0FF19D3D" w:rsidR="000218B6" w:rsidRPr="005114E7" w:rsidRDefault="000218B6" w:rsidP="009C41C7">
            <w:pPr>
              <w:jc w:val="center"/>
            </w:pPr>
            <w:r w:rsidRPr="005114E7">
              <w:t>23</w:t>
            </w:r>
          </w:p>
        </w:tc>
        <w:tc>
          <w:tcPr>
            <w:tcW w:w="682" w:type="pct"/>
          </w:tcPr>
          <w:p w14:paraId="55F8670F" w14:textId="4329E116" w:rsidR="000218B6" w:rsidRPr="005114E7" w:rsidRDefault="000218B6" w:rsidP="008E5982">
            <w:pPr>
              <w:jc w:val="center"/>
            </w:pPr>
            <w:r w:rsidRPr="005114E7">
              <w:t>16</w:t>
            </w:r>
          </w:p>
        </w:tc>
        <w:tc>
          <w:tcPr>
            <w:tcW w:w="682" w:type="pct"/>
          </w:tcPr>
          <w:p w14:paraId="35969BF7" w14:textId="77777777" w:rsidR="000218B6" w:rsidRPr="005114E7" w:rsidRDefault="000218B6" w:rsidP="008E5982">
            <w:pPr>
              <w:jc w:val="center"/>
            </w:pPr>
            <w:r w:rsidRPr="005114E7">
              <w:t>1</w:t>
            </w:r>
          </w:p>
        </w:tc>
        <w:tc>
          <w:tcPr>
            <w:tcW w:w="682" w:type="pct"/>
          </w:tcPr>
          <w:p w14:paraId="6DEA33AF" w14:textId="77777777" w:rsidR="000218B6" w:rsidRPr="005114E7" w:rsidRDefault="000218B6" w:rsidP="008E5982">
            <w:pPr>
              <w:jc w:val="center"/>
            </w:pPr>
            <w:r w:rsidRPr="005114E7">
              <w:t>2</w:t>
            </w:r>
          </w:p>
        </w:tc>
        <w:tc>
          <w:tcPr>
            <w:tcW w:w="683" w:type="pct"/>
            <w:tcBorders>
              <w:right w:val="single" w:sz="4" w:space="0" w:color="FFFFFF" w:themeColor="background1"/>
            </w:tcBorders>
          </w:tcPr>
          <w:p w14:paraId="4CCDC26D" w14:textId="77777777" w:rsidR="000218B6" w:rsidRPr="005114E7" w:rsidRDefault="000218B6" w:rsidP="008E5982">
            <w:pPr>
              <w:jc w:val="center"/>
            </w:pPr>
            <w:r w:rsidRPr="005114E7">
              <w:t>59</w:t>
            </w:r>
          </w:p>
        </w:tc>
      </w:tr>
      <w:tr w:rsidR="000218B6" w:rsidRPr="005114E7" w14:paraId="331BF5F9" w14:textId="77777777" w:rsidTr="00BE022F">
        <w:tc>
          <w:tcPr>
            <w:tcW w:w="839" w:type="pct"/>
            <w:tcBorders>
              <w:left w:val="single" w:sz="4" w:space="0" w:color="FFFFFF" w:themeColor="background1"/>
            </w:tcBorders>
            <w:shd w:val="clear" w:color="auto" w:fill="FAF9F8"/>
            <w:vAlign w:val="bottom"/>
          </w:tcPr>
          <w:p w14:paraId="3C3CCD96" w14:textId="4863FB72" w:rsidR="000218B6" w:rsidRPr="005114E7" w:rsidRDefault="000218B6" w:rsidP="008E5982">
            <w:r w:rsidRPr="005114E7">
              <w:rPr>
                <w:rFonts w:eastAsia="Times New Roman" w:cs="Calibri"/>
                <w:color w:val="000000"/>
                <w:lang w:val="mk" w:eastAsia="en-AU"/>
              </w:rPr>
              <w:t>Нов Јужен Велс</w:t>
            </w:r>
          </w:p>
        </w:tc>
        <w:tc>
          <w:tcPr>
            <w:tcW w:w="750" w:type="pct"/>
            <w:shd w:val="clear" w:color="auto" w:fill="FAF9F8"/>
          </w:tcPr>
          <w:p w14:paraId="03A7C5D8" w14:textId="77777777" w:rsidR="000218B6" w:rsidRPr="005114E7" w:rsidRDefault="000218B6" w:rsidP="008E5982">
            <w:pPr>
              <w:jc w:val="center"/>
            </w:pPr>
            <w:r w:rsidRPr="005114E7">
              <w:t>6</w:t>
            </w:r>
          </w:p>
        </w:tc>
        <w:tc>
          <w:tcPr>
            <w:tcW w:w="682" w:type="pct"/>
            <w:shd w:val="clear" w:color="auto" w:fill="FAF9F8"/>
          </w:tcPr>
          <w:p w14:paraId="565D947B" w14:textId="77777777" w:rsidR="000218B6" w:rsidRPr="005114E7" w:rsidRDefault="000218B6" w:rsidP="008E5982">
            <w:pPr>
              <w:jc w:val="center"/>
            </w:pPr>
            <w:r w:rsidRPr="005114E7">
              <w:t>25</w:t>
            </w:r>
          </w:p>
        </w:tc>
        <w:tc>
          <w:tcPr>
            <w:tcW w:w="682" w:type="pct"/>
            <w:shd w:val="clear" w:color="auto" w:fill="FAF9F8"/>
          </w:tcPr>
          <w:p w14:paraId="5F16288B" w14:textId="77777777" w:rsidR="000218B6" w:rsidRPr="005114E7" w:rsidRDefault="000218B6" w:rsidP="008E5982">
            <w:pPr>
              <w:jc w:val="center"/>
            </w:pPr>
            <w:r w:rsidRPr="005114E7">
              <w:t>12</w:t>
            </w:r>
          </w:p>
        </w:tc>
        <w:tc>
          <w:tcPr>
            <w:tcW w:w="682" w:type="pct"/>
            <w:shd w:val="clear" w:color="auto" w:fill="FAF9F8"/>
          </w:tcPr>
          <w:p w14:paraId="701E51FB" w14:textId="77777777" w:rsidR="000218B6" w:rsidRPr="005114E7" w:rsidRDefault="000218B6" w:rsidP="008E5982">
            <w:pPr>
              <w:jc w:val="center"/>
            </w:pPr>
            <w:r w:rsidRPr="005114E7">
              <w:t>3</w:t>
            </w:r>
          </w:p>
        </w:tc>
        <w:tc>
          <w:tcPr>
            <w:tcW w:w="682" w:type="pct"/>
            <w:shd w:val="clear" w:color="auto" w:fill="FAF9F8"/>
          </w:tcPr>
          <w:p w14:paraId="563C0331" w14:textId="77777777" w:rsidR="000218B6" w:rsidRPr="005114E7" w:rsidRDefault="000218B6" w:rsidP="008E5982">
            <w:pPr>
              <w:jc w:val="center"/>
            </w:pPr>
            <w:r w:rsidRPr="005114E7">
              <w:t>0</w:t>
            </w:r>
          </w:p>
        </w:tc>
        <w:tc>
          <w:tcPr>
            <w:tcW w:w="683" w:type="pct"/>
            <w:tcBorders>
              <w:right w:val="single" w:sz="4" w:space="0" w:color="FFFFFF" w:themeColor="background1"/>
            </w:tcBorders>
            <w:shd w:val="clear" w:color="auto" w:fill="FAF9F8"/>
          </w:tcPr>
          <w:p w14:paraId="57535620" w14:textId="77777777" w:rsidR="000218B6" w:rsidRPr="005114E7" w:rsidRDefault="000218B6" w:rsidP="008E5982">
            <w:pPr>
              <w:jc w:val="center"/>
            </w:pPr>
            <w:r w:rsidRPr="005114E7">
              <w:t>46</w:t>
            </w:r>
          </w:p>
        </w:tc>
      </w:tr>
      <w:tr w:rsidR="000218B6" w:rsidRPr="005114E7" w14:paraId="2022C9B4" w14:textId="77777777" w:rsidTr="00BE022F">
        <w:tc>
          <w:tcPr>
            <w:tcW w:w="839" w:type="pct"/>
            <w:tcBorders>
              <w:left w:val="single" w:sz="4" w:space="0" w:color="FFFFFF" w:themeColor="background1"/>
            </w:tcBorders>
            <w:vAlign w:val="bottom"/>
          </w:tcPr>
          <w:p w14:paraId="52B81DF5" w14:textId="54A0D9DE" w:rsidR="000218B6" w:rsidRPr="005114E7" w:rsidRDefault="000218B6" w:rsidP="008E5982">
            <w:r w:rsidRPr="005114E7">
              <w:rPr>
                <w:rFonts w:eastAsia="Times New Roman" w:cs="Calibri"/>
                <w:color w:val="000000"/>
                <w:lang w:val="mk" w:eastAsia="en-AU"/>
              </w:rPr>
              <w:t>Викторија</w:t>
            </w:r>
          </w:p>
        </w:tc>
        <w:tc>
          <w:tcPr>
            <w:tcW w:w="750" w:type="pct"/>
          </w:tcPr>
          <w:p w14:paraId="7C622B4C" w14:textId="77777777" w:rsidR="000218B6" w:rsidRPr="005114E7" w:rsidRDefault="000218B6" w:rsidP="008E5982">
            <w:pPr>
              <w:jc w:val="center"/>
            </w:pPr>
            <w:r w:rsidRPr="005114E7">
              <w:t>18</w:t>
            </w:r>
          </w:p>
        </w:tc>
        <w:tc>
          <w:tcPr>
            <w:tcW w:w="682" w:type="pct"/>
          </w:tcPr>
          <w:p w14:paraId="5D240702" w14:textId="77777777" w:rsidR="000218B6" w:rsidRPr="005114E7" w:rsidRDefault="000218B6" w:rsidP="008E5982">
            <w:pPr>
              <w:jc w:val="center"/>
            </w:pPr>
            <w:r w:rsidRPr="005114E7">
              <w:t>30</w:t>
            </w:r>
          </w:p>
        </w:tc>
        <w:tc>
          <w:tcPr>
            <w:tcW w:w="682" w:type="pct"/>
          </w:tcPr>
          <w:p w14:paraId="4A2DB011" w14:textId="77777777" w:rsidR="000218B6" w:rsidRPr="005114E7" w:rsidRDefault="000218B6" w:rsidP="008E5982">
            <w:pPr>
              <w:jc w:val="center"/>
            </w:pPr>
            <w:r w:rsidRPr="005114E7">
              <w:t>2</w:t>
            </w:r>
          </w:p>
        </w:tc>
        <w:tc>
          <w:tcPr>
            <w:tcW w:w="682" w:type="pct"/>
          </w:tcPr>
          <w:p w14:paraId="55C85BEF" w14:textId="77777777" w:rsidR="000218B6" w:rsidRPr="005114E7" w:rsidRDefault="000218B6" w:rsidP="008E5982">
            <w:pPr>
              <w:jc w:val="center"/>
            </w:pPr>
            <w:r w:rsidRPr="005114E7">
              <w:t>0</w:t>
            </w:r>
          </w:p>
        </w:tc>
        <w:tc>
          <w:tcPr>
            <w:tcW w:w="682" w:type="pct"/>
          </w:tcPr>
          <w:p w14:paraId="027BBEEA" w14:textId="77777777" w:rsidR="000218B6" w:rsidRPr="005114E7" w:rsidRDefault="000218B6" w:rsidP="008E5982">
            <w:pPr>
              <w:jc w:val="center"/>
            </w:pPr>
            <w:r w:rsidRPr="005114E7">
              <w:t>0</w:t>
            </w:r>
          </w:p>
        </w:tc>
        <w:tc>
          <w:tcPr>
            <w:tcW w:w="683" w:type="pct"/>
            <w:tcBorders>
              <w:right w:val="single" w:sz="4" w:space="0" w:color="FFFFFF" w:themeColor="background1"/>
            </w:tcBorders>
          </w:tcPr>
          <w:p w14:paraId="6057B760" w14:textId="77777777" w:rsidR="000218B6" w:rsidRPr="005114E7" w:rsidRDefault="000218B6" w:rsidP="008E5982">
            <w:pPr>
              <w:jc w:val="center"/>
            </w:pPr>
            <w:r w:rsidRPr="005114E7">
              <w:t>50</w:t>
            </w:r>
          </w:p>
        </w:tc>
      </w:tr>
      <w:tr w:rsidR="000218B6" w:rsidRPr="005114E7" w14:paraId="46448FAF" w14:textId="77777777" w:rsidTr="00BE022F">
        <w:tc>
          <w:tcPr>
            <w:tcW w:w="839" w:type="pct"/>
            <w:tcBorders>
              <w:left w:val="single" w:sz="4" w:space="0" w:color="FFFFFF" w:themeColor="background1"/>
            </w:tcBorders>
            <w:shd w:val="clear" w:color="auto" w:fill="FAF9F8"/>
            <w:vAlign w:val="bottom"/>
          </w:tcPr>
          <w:p w14:paraId="71A0B11D" w14:textId="6E1005DB" w:rsidR="000218B6" w:rsidRPr="005114E7" w:rsidRDefault="000218B6" w:rsidP="008E5982">
            <w:r w:rsidRPr="005114E7">
              <w:rPr>
                <w:rFonts w:eastAsia="Times New Roman" w:cs="Calibri"/>
                <w:color w:val="000000"/>
                <w:lang w:val="mk" w:eastAsia="en-AU"/>
              </w:rPr>
              <w:t>Квинсленд</w:t>
            </w:r>
          </w:p>
        </w:tc>
        <w:tc>
          <w:tcPr>
            <w:tcW w:w="750" w:type="pct"/>
            <w:shd w:val="clear" w:color="auto" w:fill="FAF9F8"/>
          </w:tcPr>
          <w:p w14:paraId="3CB7A49D" w14:textId="77777777" w:rsidR="000218B6" w:rsidRPr="005114E7" w:rsidRDefault="000218B6" w:rsidP="008E5982">
            <w:pPr>
              <w:jc w:val="center"/>
            </w:pPr>
            <w:r w:rsidRPr="005114E7">
              <w:t>23</w:t>
            </w:r>
          </w:p>
        </w:tc>
        <w:tc>
          <w:tcPr>
            <w:tcW w:w="682" w:type="pct"/>
            <w:shd w:val="clear" w:color="auto" w:fill="FAF9F8"/>
          </w:tcPr>
          <w:p w14:paraId="6C32F745" w14:textId="77777777" w:rsidR="000218B6" w:rsidRPr="005114E7" w:rsidRDefault="000218B6" w:rsidP="008E5982">
            <w:pPr>
              <w:jc w:val="center"/>
            </w:pPr>
            <w:r w:rsidRPr="005114E7">
              <w:t>28</w:t>
            </w:r>
          </w:p>
        </w:tc>
        <w:tc>
          <w:tcPr>
            <w:tcW w:w="682" w:type="pct"/>
            <w:shd w:val="clear" w:color="auto" w:fill="FAF9F8"/>
          </w:tcPr>
          <w:p w14:paraId="7A4502E8" w14:textId="77777777" w:rsidR="000218B6" w:rsidRPr="005114E7" w:rsidRDefault="000218B6" w:rsidP="008E5982">
            <w:pPr>
              <w:jc w:val="center"/>
            </w:pPr>
            <w:r w:rsidRPr="005114E7">
              <w:t>4</w:t>
            </w:r>
          </w:p>
        </w:tc>
        <w:tc>
          <w:tcPr>
            <w:tcW w:w="682" w:type="pct"/>
            <w:shd w:val="clear" w:color="auto" w:fill="FAF9F8"/>
          </w:tcPr>
          <w:p w14:paraId="448D6D66" w14:textId="77777777" w:rsidR="000218B6" w:rsidRPr="005114E7" w:rsidRDefault="000218B6" w:rsidP="008E5982">
            <w:pPr>
              <w:jc w:val="center"/>
            </w:pPr>
            <w:r w:rsidRPr="005114E7">
              <w:t>0</w:t>
            </w:r>
          </w:p>
        </w:tc>
        <w:tc>
          <w:tcPr>
            <w:tcW w:w="682" w:type="pct"/>
            <w:shd w:val="clear" w:color="auto" w:fill="FAF9F8"/>
          </w:tcPr>
          <w:p w14:paraId="00AACA49" w14:textId="77777777" w:rsidR="000218B6" w:rsidRPr="005114E7" w:rsidRDefault="000218B6" w:rsidP="008E5982">
            <w:pPr>
              <w:jc w:val="center"/>
            </w:pPr>
            <w:r w:rsidRPr="005114E7">
              <w:t>0</w:t>
            </w:r>
          </w:p>
        </w:tc>
        <w:tc>
          <w:tcPr>
            <w:tcW w:w="683" w:type="pct"/>
            <w:tcBorders>
              <w:right w:val="single" w:sz="4" w:space="0" w:color="FFFFFF" w:themeColor="background1"/>
            </w:tcBorders>
            <w:shd w:val="clear" w:color="auto" w:fill="FAF9F8"/>
          </w:tcPr>
          <w:p w14:paraId="331EF909" w14:textId="77777777" w:rsidR="000218B6" w:rsidRPr="005114E7" w:rsidRDefault="000218B6" w:rsidP="008E5982">
            <w:pPr>
              <w:jc w:val="center"/>
            </w:pPr>
            <w:r w:rsidRPr="005114E7">
              <w:t>55</w:t>
            </w:r>
          </w:p>
        </w:tc>
      </w:tr>
      <w:tr w:rsidR="000218B6" w:rsidRPr="005114E7" w14:paraId="60DB4B8F" w14:textId="77777777" w:rsidTr="00BE022F">
        <w:tc>
          <w:tcPr>
            <w:tcW w:w="839" w:type="pct"/>
            <w:tcBorders>
              <w:left w:val="single" w:sz="4" w:space="0" w:color="FFFFFF" w:themeColor="background1"/>
            </w:tcBorders>
            <w:vAlign w:val="bottom"/>
          </w:tcPr>
          <w:p w14:paraId="4F490181" w14:textId="3C571B6C" w:rsidR="000218B6" w:rsidRPr="005114E7" w:rsidRDefault="000218B6" w:rsidP="008E5982">
            <w:r w:rsidRPr="005114E7">
              <w:rPr>
                <w:rFonts w:eastAsia="Times New Roman" w:cs="Calibri"/>
                <w:color w:val="000000"/>
                <w:lang w:val="mk" w:eastAsia="en-AU"/>
              </w:rPr>
              <w:t>Западна Австралија</w:t>
            </w:r>
          </w:p>
        </w:tc>
        <w:tc>
          <w:tcPr>
            <w:tcW w:w="750" w:type="pct"/>
          </w:tcPr>
          <w:p w14:paraId="3ECB9A9D" w14:textId="77777777" w:rsidR="000218B6" w:rsidRPr="005114E7" w:rsidRDefault="000218B6" w:rsidP="008E5982">
            <w:pPr>
              <w:jc w:val="center"/>
            </w:pPr>
            <w:r w:rsidRPr="005114E7">
              <w:t>10</w:t>
            </w:r>
          </w:p>
        </w:tc>
        <w:tc>
          <w:tcPr>
            <w:tcW w:w="682" w:type="pct"/>
          </w:tcPr>
          <w:p w14:paraId="23F75054" w14:textId="77777777" w:rsidR="000218B6" w:rsidRPr="005114E7" w:rsidRDefault="000218B6" w:rsidP="008E5982">
            <w:pPr>
              <w:jc w:val="center"/>
            </w:pPr>
            <w:r w:rsidRPr="005114E7">
              <w:t>20</w:t>
            </w:r>
          </w:p>
        </w:tc>
        <w:tc>
          <w:tcPr>
            <w:tcW w:w="682" w:type="pct"/>
          </w:tcPr>
          <w:p w14:paraId="61D17171" w14:textId="77777777" w:rsidR="000218B6" w:rsidRPr="005114E7" w:rsidRDefault="000218B6" w:rsidP="008E5982">
            <w:pPr>
              <w:jc w:val="center"/>
            </w:pPr>
            <w:r w:rsidRPr="005114E7">
              <w:t>1</w:t>
            </w:r>
          </w:p>
        </w:tc>
        <w:tc>
          <w:tcPr>
            <w:tcW w:w="682" w:type="pct"/>
          </w:tcPr>
          <w:p w14:paraId="3AF9EE78" w14:textId="77777777" w:rsidR="000218B6" w:rsidRPr="005114E7" w:rsidRDefault="000218B6" w:rsidP="008E5982">
            <w:pPr>
              <w:jc w:val="center"/>
            </w:pPr>
            <w:r w:rsidRPr="005114E7">
              <w:t>0</w:t>
            </w:r>
          </w:p>
        </w:tc>
        <w:tc>
          <w:tcPr>
            <w:tcW w:w="682" w:type="pct"/>
          </w:tcPr>
          <w:p w14:paraId="213E3315" w14:textId="77777777" w:rsidR="000218B6" w:rsidRPr="005114E7" w:rsidRDefault="000218B6" w:rsidP="008E5982">
            <w:pPr>
              <w:jc w:val="center"/>
            </w:pPr>
            <w:r w:rsidRPr="005114E7">
              <w:t>0</w:t>
            </w:r>
          </w:p>
        </w:tc>
        <w:tc>
          <w:tcPr>
            <w:tcW w:w="683" w:type="pct"/>
            <w:tcBorders>
              <w:right w:val="single" w:sz="4" w:space="0" w:color="FFFFFF" w:themeColor="background1"/>
            </w:tcBorders>
          </w:tcPr>
          <w:p w14:paraId="6A3A7D06" w14:textId="77777777" w:rsidR="000218B6" w:rsidRPr="005114E7" w:rsidRDefault="000218B6" w:rsidP="008E5982">
            <w:pPr>
              <w:jc w:val="center"/>
            </w:pPr>
            <w:r w:rsidRPr="005114E7">
              <w:t>31</w:t>
            </w:r>
          </w:p>
        </w:tc>
      </w:tr>
      <w:tr w:rsidR="000218B6" w:rsidRPr="005114E7" w14:paraId="77B63654" w14:textId="77777777" w:rsidTr="00BE022F">
        <w:tc>
          <w:tcPr>
            <w:tcW w:w="839" w:type="pct"/>
            <w:tcBorders>
              <w:left w:val="single" w:sz="4" w:space="0" w:color="FFFFFF" w:themeColor="background1"/>
            </w:tcBorders>
            <w:shd w:val="clear" w:color="auto" w:fill="FAF9F8"/>
            <w:vAlign w:val="bottom"/>
          </w:tcPr>
          <w:p w14:paraId="57EE9ADE" w14:textId="16A73533" w:rsidR="000218B6" w:rsidRPr="005114E7" w:rsidRDefault="000218B6" w:rsidP="008E5982">
            <w:r w:rsidRPr="005114E7">
              <w:rPr>
                <w:rFonts w:eastAsia="Times New Roman" w:cs="Calibri"/>
                <w:color w:val="000000"/>
                <w:lang w:val="mk" w:eastAsia="en-AU"/>
              </w:rPr>
              <w:t>Јужна Австралија</w:t>
            </w:r>
          </w:p>
        </w:tc>
        <w:tc>
          <w:tcPr>
            <w:tcW w:w="750" w:type="pct"/>
            <w:shd w:val="clear" w:color="auto" w:fill="FAF9F8"/>
          </w:tcPr>
          <w:p w14:paraId="77B82264" w14:textId="77777777" w:rsidR="000218B6" w:rsidRPr="005114E7" w:rsidRDefault="000218B6" w:rsidP="008E5982">
            <w:pPr>
              <w:jc w:val="center"/>
            </w:pPr>
            <w:r w:rsidRPr="005114E7">
              <w:t>28</w:t>
            </w:r>
          </w:p>
        </w:tc>
        <w:tc>
          <w:tcPr>
            <w:tcW w:w="682" w:type="pct"/>
            <w:shd w:val="clear" w:color="auto" w:fill="FAF9F8"/>
          </w:tcPr>
          <w:p w14:paraId="6E0C5E2C" w14:textId="77777777" w:rsidR="000218B6" w:rsidRPr="005114E7" w:rsidRDefault="000218B6" w:rsidP="008E5982">
            <w:pPr>
              <w:jc w:val="center"/>
            </w:pPr>
            <w:r w:rsidRPr="005114E7">
              <w:t>31</w:t>
            </w:r>
          </w:p>
        </w:tc>
        <w:tc>
          <w:tcPr>
            <w:tcW w:w="682" w:type="pct"/>
            <w:shd w:val="clear" w:color="auto" w:fill="FAF9F8"/>
          </w:tcPr>
          <w:p w14:paraId="6B85A3F6" w14:textId="77777777" w:rsidR="000218B6" w:rsidRPr="005114E7" w:rsidRDefault="000218B6" w:rsidP="008E5982">
            <w:pPr>
              <w:jc w:val="center"/>
            </w:pPr>
            <w:r w:rsidRPr="005114E7">
              <w:t>7</w:t>
            </w:r>
          </w:p>
        </w:tc>
        <w:tc>
          <w:tcPr>
            <w:tcW w:w="682" w:type="pct"/>
            <w:shd w:val="clear" w:color="auto" w:fill="FAF9F8"/>
          </w:tcPr>
          <w:p w14:paraId="00EFF674" w14:textId="77777777" w:rsidR="000218B6" w:rsidRPr="005114E7" w:rsidRDefault="000218B6" w:rsidP="008E5982">
            <w:pPr>
              <w:jc w:val="center"/>
            </w:pPr>
            <w:r w:rsidRPr="005114E7">
              <w:t>2</w:t>
            </w:r>
          </w:p>
        </w:tc>
        <w:tc>
          <w:tcPr>
            <w:tcW w:w="682" w:type="pct"/>
            <w:shd w:val="clear" w:color="auto" w:fill="FAF9F8"/>
          </w:tcPr>
          <w:p w14:paraId="10CE6AC7" w14:textId="77777777" w:rsidR="000218B6" w:rsidRPr="005114E7" w:rsidRDefault="000218B6" w:rsidP="008E5982">
            <w:pPr>
              <w:jc w:val="center"/>
            </w:pPr>
            <w:r w:rsidRPr="005114E7">
              <w:t>1</w:t>
            </w:r>
          </w:p>
        </w:tc>
        <w:tc>
          <w:tcPr>
            <w:tcW w:w="683" w:type="pct"/>
            <w:tcBorders>
              <w:right w:val="single" w:sz="4" w:space="0" w:color="FFFFFF" w:themeColor="background1"/>
            </w:tcBorders>
            <w:shd w:val="clear" w:color="auto" w:fill="FAF9F8"/>
          </w:tcPr>
          <w:p w14:paraId="59E31555" w14:textId="77777777" w:rsidR="000218B6" w:rsidRPr="005114E7" w:rsidRDefault="000218B6" w:rsidP="008E5982">
            <w:pPr>
              <w:jc w:val="center"/>
            </w:pPr>
            <w:r w:rsidRPr="005114E7">
              <w:t>69</w:t>
            </w:r>
          </w:p>
        </w:tc>
      </w:tr>
      <w:tr w:rsidR="000218B6" w:rsidRPr="005114E7" w14:paraId="3699CAA8" w14:textId="77777777" w:rsidTr="00BE022F">
        <w:tc>
          <w:tcPr>
            <w:tcW w:w="839" w:type="pct"/>
            <w:tcBorders>
              <w:left w:val="single" w:sz="4" w:space="0" w:color="FFFFFF" w:themeColor="background1"/>
            </w:tcBorders>
            <w:vAlign w:val="bottom"/>
          </w:tcPr>
          <w:p w14:paraId="244F31F3" w14:textId="3F8B2EC6" w:rsidR="000218B6" w:rsidRPr="005114E7" w:rsidRDefault="000218B6" w:rsidP="008E5982">
            <w:r w:rsidRPr="005114E7">
              <w:rPr>
                <w:rFonts w:eastAsia="Times New Roman" w:cs="Calibri"/>
                <w:color w:val="000000"/>
                <w:lang w:val="mk" w:eastAsia="en-AU"/>
              </w:rPr>
              <w:t>Тасманија</w:t>
            </w:r>
          </w:p>
        </w:tc>
        <w:tc>
          <w:tcPr>
            <w:tcW w:w="750" w:type="pct"/>
          </w:tcPr>
          <w:p w14:paraId="0D3BED74" w14:textId="77777777" w:rsidR="000218B6" w:rsidRPr="005114E7" w:rsidRDefault="000218B6" w:rsidP="008E5982">
            <w:pPr>
              <w:jc w:val="center"/>
            </w:pPr>
            <w:r w:rsidRPr="005114E7">
              <w:t>8</w:t>
            </w:r>
          </w:p>
        </w:tc>
        <w:tc>
          <w:tcPr>
            <w:tcW w:w="682" w:type="pct"/>
          </w:tcPr>
          <w:p w14:paraId="4F113B21" w14:textId="77777777" w:rsidR="000218B6" w:rsidRPr="005114E7" w:rsidRDefault="000218B6" w:rsidP="008E5982">
            <w:pPr>
              <w:jc w:val="center"/>
            </w:pPr>
            <w:r w:rsidRPr="005114E7">
              <w:t>13</w:t>
            </w:r>
          </w:p>
        </w:tc>
        <w:tc>
          <w:tcPr>
            <w:tcW w:w="682" w:type="pct"/>
          </w:tcPr>
          <w:p w14:paraId="63163F79" w14:textId="77777777" w:rsidR="000218B6" w:rsidRPr="005114E7" w:rsidRDefault="000218B6" w:rsidP="008E5982">
            <w:pPr>
              <w:jc w:val="center"/>
            </w:pPr>
            <w:r w:rsidRPr="005114E7">
              <w:t>8</w:t>
            </w:r>
          </w:p>
        </w:tc>
        <w:tc>
          <w:tcPr>
            <w:tcW w:w="682" w:type="pct"/>
          </w:tcPr>
          <w:p w14:paraId="678DE0AB" w14:textId="77777777" w:rsidR="000218B6" w:rsidRPr="005114E7" w:rsidRDefault="000218B6" w:rsidP="008E5982">
            <w:pPr>
              <w:jc w:val="center"/>
            </w:pPr>
            <w:r w:rsidRPr="005114E7">
              <w:t>0</w:t>
            </w:r>
          </w:p>
        </w:tc>
        <w:tc>
          <w:tcPr>
            <w:tcW w:w="682" w:type="pct"/>
          </w:tcPr>
          <w:p w14:paraId="48F0E68C" w14:textId="77777777" w:rsidR="000218B6" w:rsidRPr="005114E7" w:rsidRDefault="000218B6" w:rsidP="008E5982">
            <w:pPr>
              <w:jc w:val="center"/>
            </w:pPr>
            <w:r w:rsidRPr="005114E7">
              <w:t>0</w:t>
            </w:r>
          </w:p>
        </w:tc>
        <w:tc>
          <w:tcPr>
            <w:tcW w:w="683" w:type="pct"/>
            <w:tcBorders>
              <w:right w:val="single" w:sz="4" w:space="0" w:color="FFFFFF" w:themeColor="background1"/>
            </w:tcBorders>
          </w:tcPr>
          <w:p w14:paraId="5CC96E50" w14:textId="77777777" w:rsidR="000218B6" w:rsidRPr="005114E7" w:rsidRDefault="000218B6" w:rsidP="008E5982">
            <w:pPr>
              <w:jc w:val="center"/>
            </w:pPr>
            <w:r w:rsidRPr="005114E7">
              <w:t>29</w:t>
            </w:r>
          </w:p>
        </w:tc>
      </w:tr>
      <w:tr w:rsidR="000218B6" w:rsidRPr="005114E7" w14:paraId="64139BC4" w14:textId="77777777" w:rsidTr="00BE022F">
        <w:tc>
          <w:tcPr>
            <w:tcW w:w="839" w:type="pct"/>
            <w:tcBorders>
              <w:left w:val="single" w:sz="4" w:space="0" w:color="FFFFFF" w:themeColor="background1"/>
            </w:tcBorders>
            <w:shd w:val="clear" w:color="auto" w:fill="FAF9F8"/>
            <w:vAlign w:val="bottom"/>
          </w:tcPr>
          <w:p w14:paraId="45004F78" w14:textId="3FBD5011" w:rsidR="000218B6" w:rsidRPr="005114E7" w:rsidRDefault="000218B6" w:rsidP="008E5982">
            <w:r w:rsidRPr="005114E7">
              <w:rPr>
                <w:rFonts w:eastAsia="Times New Roman" w:cs="Calibri"/>
                <w:color w:val="000000"/>
                <w:lang w:val="mk" w:eastAsia="en-AU"/>
              </w:rPr>
              <w:t>Австралиска Престолничка Територија</w:t>
            </w:r>
          </w:p>
        </w:tc>
        <w:tc>
          <w:tcPr>
            <w:tcW w:w="750" w:type="pct"/>
            <w:shd w:val="clear" w:color="auto" w:fill="FAF9F8"/>
          </w:tcPr>
          <w:p w14:paraId="37F59087" w14:textId="77777777" w:rsidR="000218B6" w:rsidRPr="005114E7" w:rsidRDefault="000218B6" w:rsidP="008E5982">
            <w:pPr>
              <w:jc w:val="center"/>
            </w:pPr>
            <w:r w:rsidRPr="005114E7">
              <w:t>25</w:t>
            </w:r>
          </w:p>
        </w:tc>
        <w:tc>
          <w:tcPr>
            <w:tcW w:w="682" w:type="pct"/>
            <w:shd w:val="clear" w:color="auto" w:fill="FAF9F8"/>
          </w:tcPr>
          <w:p w14:paraId="62B64E07" w14:textId="77777777" w:rsidR="000218B6" w:rsidRPr="005114E7" w:rsidRDefault="000218B6" w:rsidP="008E5982">
            <w:pPr>
              <w:jc w:val="center"/>
            </w:pPr>
            <w:r w:rsidRPr="005114E7">
              <w:t>12</w:t>
            </w:r>
          </w:p>
        </w:tc>
        <w:tc>
          <w:tcPr>
            <w:tcW w:w="682" w:type="pct"/>
            <w:shd w:val="clear" w:color="auto" w:fill="FAF9F8"/>
          </w:tcPr>
          <w:p w14:paraId="06DC4B39" w14:textId="77777777" w:rsidR="000218B6" w:rsidRPr="005114E7" w:rsidRDefault="000218B6" w:rsidP="008E5982">
            <w:pPr>
              <w:jc w:val="center"/>
            </w:pPr>
            <w:r w:rsidRPr="005114E7">
              <w:t>3</w:t>
            </w:r>
          </w:p>
        </w:tc>
        <w:tc>
          <w:tcPr>
            <w:tcW w:w="682" w:type="pct"/>
            <w:shd w:val="clear" w:color="auto" w:fill="FAF9F8"/>
          </w:tcPr>
          <w:p w14:paraId="4C3E73AB" w14:textId="77777777" w:rsidR="000218B6" w:rsidRPr="005114E7" w:rsidRDefault="000218B6" w:rsidP="008E5982">
            <w:pPr>
              <w:jc w:val="center"/>
            </w:pPr>
            <w:r w:rsidRPr="005114E7">
              <w:t>0</w:t>
            </w:r>
          </w:p>
        </w:tc>
        <w:tc>
          <w:tcPr>
            <w:tcW w:w="682" w:type="pct"/>
            <w:shd w:val="clear" w:color="auto" w:fill="FAF9F8"/>
          </w:tcPr>
          <w:p w14:paraId="12E8362C" w14:textId="77777777" w:rsidR="000218B6" w:rsidRPr="005114E7" w:rsidRDefault="000218B6" w:rsidP="008E5982">
            <w:pPr>
              <w:jc w:val="center"/>
            </w:pPr>
            <w:r w:rsidRPr="005114E7">
              <w:t>0</w:t>
            </w:r>
          </w:p>
        </w:tc>
        <w:tc>
          <w:tcPr>
            <w:tcW w:w="683" w:type="pct"/>
            <w:tcBorders>
              <w:right w:val="single" w:sz="4" w:space="0" w:color="FFFFFF" w:themeColor="background1"/>
            </w:tcBorders>
            <w:shd w:val="clear" w:color="auto" w:fill="FAF9F8"/>
          </w:tcPr>
          <w:p w14:paraId="717301A9" w14:textId="77777777" w:rsidR="000218B6" w:rsidRPr="005114E7" w:rsidRDefault="000218B6" w:rsidP="008E5982">
            <w:pPr>
              <w:jc w:val="center"/>
            </w:pPr>
            <w:r w:rsidRPr="005114E7">
              <w:t>40</w:t>
            </w:r>
          </w:p>
        </w:tc>
      </w:tr>
      <w:tr w:rsidR="000218B6" w:rsidRPr="005114E7" w14:paraId="446DE525" w14:textId="77777777" w:rsidTr="00BE022F">
        <w:tc>
          <w:tcPr>
            <w:tcW w:w="839" w:type="pct"/>
            <w:tcBorders>
              <w:left w:val="single" w:sz="4" w:space="0" w:color="FFFFFF" w:themeColor="background1"/>
            </w:tcBorders>
            <w:vAlign w:val="bottom"/>
          </w:tcPr>
          <w:p w14:paraId="5F4B9348" w14:textId="395D7F0A" w:rsidR="000218B6" w:rsidRPr="005114E7" w:rsidRDefault="000218B6" w:rsidP="008E5982">
            <w:r w:rsidRPr="005114E7">
              <w:rPr>
                <w:rFonts w:eastAsia="Times New Roman" w:cs="Calibri"/>
                <w:color w:val="000000"/>
                <w:lang w:val="mk" w:eastAsia="en-AU"/>
              </w:rPr>
              <w:t>Северна Територија</w:t>
            </w:r>
          </w:p>
        </w:tc>
        <w:tc>
          <w:tcPr>
            <w:tcW w:w="750" w:type="pct"/>
          </w:tcPr>
          <w:p w14:paraId="715E0C44" w14:textId="77777777" w:rsidR="000218B6" w:rsidRPr="005114E7" w:rsidRDefault="000218B6" w:rsidP="008E5982">
            <w:pPr>
              <w:jc w:val="center"/>
            </w:pPr>
            <w:r w:rsidRPr="005114E7">
              <w:t>9</w:t>
            </w:r>
          </w:p>
        </w:tc>
        <w:tc>
          <w:tcPr>
            <w:tcW w:w="682" w:type="pct"/>
          </w:tcPr>
          <w:p w14:paraId="4009881C" w14:textId="77777777" w:rsidR="000218B6" w:rsidRPr="005114E7" w:rsidRDefault="000218B6" w:rsidP="008E5982">
            <w:pPr>
              <w:jc w:val="center"/>
            </w:pPr>
            <w:r w:rsidRPr="005114E7">
              <w:t>27</w:t>
            </w:r>
          </w:p>
        </w:tc>
        <w:tc>
          <w:tcPr>
            <w:tcW w:w="682" w:type="pct"/>
          </w:tcPr>
          <w:p w14:paraId="48B77A4E" w14:textId="77777777" w:rsidR="000218B6" w:rsidRPr="005114E7" w:rsidRDefault="000218B6" w:rsidP="008E5982">
            <w:pPr>
              <w:jc w:val="center"/>
            </w:pPr>
            <w:r w:rsidRPr="005114E7">
              <w:t>1</w:t>
            </w:r>
          </w:p>
        </w:tc>
        <w:tc>
          <w:tcPr>
            <w:tcW w:w="682" w:type="pct"/>
          </w:tcPr>
          <w:p w14:paraId="41DBDDE6" w14:textId="77777777" w:rsidR="000218B6" w:rsidRPr="005114E7" w:rsidRDefault="000218B6" w:rsidP="008E5982">
            <w:pPr>
              <w:jc w:val="center"/>
            </w:pPr>
            <w:r w:rsidRPr="005114E7">
              <w:t>1</w:t>
            </w:r>
          </w:p>
        </w:tc>
        <w:tc>
          <w:tcPr>
            <w:tcW w:w="682" w:type="pct"/>
          </w:tcPr>
          <w:p w14:paraId="2ADC990C" w14:textId="77777777" w:rsidR="000218B6" w:rsidRPr="005114E7" w:rsidRDefault="000218B6" w:rsidP="008E5982">
            <w:pPr>
              <w:jc w:val="center"/>
            </w:pPr>
            <w:r w:rsidRPr="005114E7">
              <w:t>0</w:t>
            </w:r>
          </w:p>
        </w:tc>
        <w:tc>
          <w:tcPr>
            <w:tcW w:w="683" w:type="pct"/>
            <w:tcBorders>
              <w:right w:val="single" w:sz="4" w:space="0" w:color="FFFFFF" w:themeColor="background1"/>
            </w:tcBorders>
          </w:tcPr>
          <w:p w14:paraId="6BE828B0" w14:textId="77777777" w:rsidR="000218B6" w:rsidRPr="005114E7" w:rsidRDefault="000218B6" w:rsidP="008E5982">
            <w:pPr>
              <w:jc w:val="center"/>
            </w:pPr>
            <w:r w:rsidRPr="005114E7">
              <w:t>38</w:t>
            </w:r>
          </w:p>
        </w:tc>
      </w:tr>
      <w:tr w:rsidR="000218B6" w:rsidRPr="005114E7" w14:paraId="4017E826" w14:textId="77777777" w:rsidTr="00BE022F">
        <w:tc>
          <w:tcPr>
            <w:tcW w:w="839" w:type="pct"/>
            <w:tcBorders>
              <w:left w:val="single" w:sz="4" w:space="0" w:color="FFFFFF" w:themeColor="background1"/>
              <w:bottom w:val="single" w:sz="4" w:space="0" w:color="FFFFFF" w:themeColor="background1"/>
            </w:tcBorders>
            <w:shd w:val="clear" w:color="auto" w:fill="E4E9F3"/>
            <w:vAlign w:val="bottom"/>
          </w:tcPr>
          <w:p w14:paraId="46FC83FF" w14:textId="6078197E" w:rsidR="000218B6" w:rsidRPr="005114E7" w:rsidRDefault="000218B6" w:rsidP="008E5982">
            <w:pPr>
              <w:rPr>
                <w:b/>
              </w:rPr>
            </w:pPr>
            <w:r w:rsidRPr="005114E7">
              <w:rPr>
                <w:rFonts w:eastAsia="Times New Roman" w:cs="Calibri"/>
                <w:b/>
                <w:bCs/>
                <w:color w:val="000000"/>
                <w:lang w:val="mk" w:eastAsia="en-AU"/>
              </w:rPr>
              <w:lastRenderedPageBreak/>
              <w:t>Вкупно на национално ниво</w:t>
            </w:r>
          </w:p>
        </w:tc>
        <w:tc>
          <w:tcPr>
            <w:tcW w:w="750" w:type="pct"/>
            <w:tcBorders>
              <w:bottom w:val="single" w:sz="4" w:space="0" w:color="FFFFFF" w:themeColor="background1"/>
            </w:tcBorders>
            <w:shd w:val="clear" w:color="auto" w:fill="E4E9F3"/>
          </w:tcPr>
          <w:p w14:paraId="6060B962" w14:textId="0346532D" w:rsidR="000218B6" w:rsidRPr="005114E7" w:rsidRDefault="000218B6" w:rsidP="008E5982">
            <w:pPr>
              <w:jc w:val="center"/>
              <w:rPr>
                <w:b/>
              </w:rPr>
            </w:pPr>
            <w:r w:rsidRPr="005114E7">
              <w:rPr>
                <w:b/>
              </w:rPr>
              <w:t>144</w:t>
            </w:r>
          </w:p>
        </w:tc>
        <w:tc>
          <w:tcPr>
            <w:tcW w:w="682" w:type="pct"/>
            <w:tcBorders>
              <w:bottom w:val="single" w:sz="4" w:space="0" w:color="FFFFFF" w:themeColor="background1"/>
            </w:tcBorders>
            <w:shd w:val="clear" w:color="auto" w:fill="E4E9F3"/>
          </w:tcPr>
          <w:p w14:paraId="79B4C614" w14:textId="38ACDE1D" w:rsidR="000218B6" w:rsidRPr="005114E7" w:rsidRDefault="000218B6" w:rsidP="008E5982">
            <w:pPr>
              <w:jc w:val="center"/>
              <w:rPr>
                <w:b/>
              </w:rPr>
            </w:pPr>
            <w:r w:rsidRPr="005114E7">
              <w:rPr>
                <w:b/>
              </w:rPr>
              <w:t>209</w:t>
            </w:r>
          </w:p>
        </w:tc>
        <w:tc>
          <w:tcPr>
            <w:tcW w:w="682" w:type="pct"/>
            <w:tcBorders>
              <w:bottom w:val="single" w:sz="4" w:space="0" w:color="FFFFFF" w:themeColor="background1"/>
            </w:tcBorders>
            <w:shd w:val="clear" w:color="auto" w:fill="E4E9F3"/>
          </w:tcPr>
          <w:p w14:paraId="271FF989" w14:textId="5AD1BF32" w:rsidR="000218B6" w:rsidRPr="005114E7" w:rsidRDefault="000218B6" w:rsidP="008E5982">
            <w:pPr>
              <w:jc w:val="center"/>
              <w:rPr>
                <w:b/>
              </w:rPr>
            </w:pPr>
            <w:r w:rsidRPr="005114E7">
              <w:rPr>
                <w:b/>
              </w:rPr>
              <w:t>54</w:t>
            </w:r>
          </w:p>
        </w:tc>
        <w:tc>
          <w:tcPr>
            <w:tcW w:w="682" w:type="pct"/>
            <w:tcBorders>
              <w:bottom w:val="single" w:sz="4" w:space="0" w:color="FFFFFF" w:themeColor="background1"/>
            </w:tcBorders>
            <w:shd w:val="clear" w:color="auto" w:fill="E4E9F3"/>
          </w:tcPr>
          <w:p w14:paraId="10B4B173" w14:textId="77777777" w:rsidR="000218B6" w:rsidRPr="005114E7" w:rsidRDefault="000218B6" w:rsidP="008E5982">
            <w:pPr>
              <w:jc w:val="center"/>
              <w:rPr>
                <w:b/>
              </w:rPr>
            </w:pPr>
            <w:r w:rsidRPr="005114E7">
              <w:rPr>
                <w:b/>
              </w:rPr>
              <w:t>7</w:t>
            </w:r>
          </w:p>
        </w:tc>
        <w:tc>
          <w:tcPr>
            <w:tcW w:w="682" w:type="pct"/>
            <w:tcBorders>
              <w:bottom w:val="single" w:sz="4" w:space="0" w:color="FFFFFF" w:themeColor="background1"/>
            </w:tcBorders>
            <w:shd w:val="clear" w:color="auto" w:fill="E4E9F3"/>
          </w:tcPr>
          <w:p w14:paraId="7F08307C" w14:textId="77777777" w:rsidR="000218B6" w:rsidRPr="005114E7" w:rsidRDefault="000218B6" w:rsidP="008E5982">
            <w:pPr>
              <w:jc w:val="center"/>
              <w:rPr>
                <w:b/>
              </w:rPr>
            </w:pPr>
            <w:r w:rsidRPr="005114E7">
              <w:rPr>
                <w:b/>
              </w:rPr>
              <w:t>3</w:t>
            </w:r>
          </w:p>
        </w:tc>
        <w:tc>
          <w:tcPr>
            <w:tcW w:w="683" w:type="pct"/>
            <w:tcBorders>
              <w:bottom w:val="single" w:sz="4" w:space="0" w:color="FFFFFF" w:themeColor="background1"/>
              <w:right w:val="single" w:sz="4" w:space="0" w:color="FFFFFF" w:themeColor="background1"/>
            </w:tcBorders>
            <w:shd w:val="clear" w:color="auto" w:fill="E4E9F3"/>
          </w:tcPr>
          <w:p w14:paraId="78390F96" w14:textId="77777777" w:rsidR="000218B6" w:rsidRPr="005114E7" w:rsidRDefault="000218B6" w:rsidP="008E5982">
            <w:pPr>
              <w:jc w:val="center"/>
              <w:rPr>
                <w:b/>
              </w:rPr>
            </w:pPr>
            <w:r w:rsidRPr="005114E7">
              <w:rPr>
                <w:b/>
              </w:rPr>
              <w:t>417</w:t>
            </w:r>
          </w:p>
        </w:tc>
      </w:tr>
    </w:tbl>
    <w:p w14:paraId="21D03EBA" w14:textId="4FD2FCF5" w:rsidR="00B875C3" w:rsidRPr="005114E7" w:rsidRDefault="000218B6" w:rsidP="00911917">
      <w:pPr>
        <w:spacing w:before="240" w:after="240"/>
        <w:rPr>
          <w:b/>
        </w:rPr>
      </w:pPr>
      <w:r w:rsidRPr="00D36EB6">
        <w:rPr>
          <w:rFonts w:cs="Arial"/>
          <w:b/>
          <w:lang w:val="mk-MK"/>
        </w:rPr>
        <w:t>Табела</w:t>
      </w:r>
      <w:r w:rsidRPr="00D36EB6">
        <w:rPr>
          <w:rFonts w:cs="Arial"/>
          <w:b/>
        </w:rPr>
        <w:t xml:space="preserve"> 14: </w:t>
      </w:r>
      <w:r w:rsidRPr="00D36EB6">
        <w:rPr>
          <w:rFonts w:cs="Arial"/>
          <w:b/>
          <w:lang w:val="mk-MK"/>
        </w:rPr>
        <w:t xml:space="preserve">Напредокот на сите акции од Плановите за насочена акција по одделни Планови за насочена акција и состојба во периодот </w:t>
      </w:r>
      <w:r w:rsidRPr="00D36EB6">
        <w:rPr>
          <w:rFonts w:cs="Arial"/>
          <w:b/>
        </w:rPr>
        <w:t>2021-2023</w:t>
      </w:r>
      <w:r w:rsidRPr="00D36EB6">
        <w:rPr>
          <w:rFonts w:cs="Arial"/>
          <w:b/>
          <w:lang w:val="mk-MK"/>
        </w:rPr>
        <w:t xml:space="preserve"> г.</w:t>
      </w:r>
    </w:p>
    <w:tbl>
      <w:tblPr>
        <w:tblStyle w:val="TableGrid"/>
        <w:tblW w:w="5000" w:type="pct"/>
        <w:tblCellMar>
          <w:top w:w="115" w:type="dxa"/>
          <w:bottom w:w="115" w:type="dxa"/>
        </w:tblCellMar>
        <w:tblLook w:val="04A0" w:firstRow="1" w:lastRow="0" w:firstColumn="1" w:lastColumn="0" w:noHBand="0" w:noVBand="1"/>
      </w:tblPr>
      <w:tblGrid>
        <w:gridCol w:w="1845"/>
        <w:gridCol w:w="1334"/>
        <w:gridCol w:w="1213"/>
        <w:gridCol w:w="1220"/>
        <w:gridCol w:w="1203"/>
        <w:gridCol w:w="1214"/>
        <w:gridCol w:w="1213"/>
      </w:tblGrid>
      <w:tr w:rsidR="000218B6" w:rsidRPr="005114E7" w14:paraId="23B90123" w14:textId="77777777" w:rsidTr="000218B6">
        <w:tc>
          <w:tcPr>
            <w:tcW w:w="998" w:type="pct"/>
            <w:tcBorders>
              <w:left w:val="single" w:sz="4" w:space="0" w:color="FFFFFF" w:themeColor="background1"/>
              <w:right w:val="single" w:sz="4" w:space="0" w:color="FFFFFF" w:themeColor="background1"/>
            </w:tcBorders>
            <w:shd w:val="clear" w:color="auto" w:fill="6C1740"/>
          </w:tcPr>
          <w:p w14:paraId="540ADE83" w14:textId="2455AE2C" w:rsidR="000218B6" w:rsidRPr="005114E7" w:rsidRDefault="000218B6" w:rsidP="008E5982">
            <w:pPr>
              <w:rPr>
                <w:b/>
              </w:rPr>
            </w:pPr>
            <w:r w:rsidRPr="005114E7">
              <w:rPr>
                <w:b/>
                <w:sz w:val="20"/>
                <w:szCs w:val="20"/>
              </w:rPr>
              <w:t>TAP</w:t>
            </w:r>
          </w:p>
        </w:tc>
        <w:tc>
          <w:tcPr>
            <w:tcW w:w="722" w:type="pct"/>
            <w:tcBorders>
              <w:left w:val="single" w:sz="4" w:space="0" w:color="FFFFFF" w:themeColor="background1"/>
              <w:right w:val="single" w:sz="4" w:space="0" w:color="FFFFFF" w:themeColor="background1"/>
            </w:tcBorders>
            <w:shd w:val="clear" w:color="auto" w:fill="6C1740"/>
          </w:tcPr>
          <w:p w14:paraId="400723D4" w14:textId="6E6D9EF1" w:rsidR="000218B6" w:rsidRPr="005114E7" w:rsidRDefault="000218B6" w:rsidP="008E5982">
            <w:pPr>
              <w:jc w:val="center"/>
              <w:rPr>
                <w:b/>
              </w:rPr>
            </w:pPr>
            <w:r w:rsidRPr="005114E7">
              <w:rPr>
                <w:rFonts w:eastAsia="Times New Roman" w:cs="Calibri"/>
                <w:b/>
                <w:bCs/>
                <w:color w:val="FFFFFF" w:themeColor="background1"/>
                <w:lang w:val="mk" w:eastAsia="en-AU"/>
              </w:rPr>
              <w:t>Завршено</w:t>
            </w:r>
          </w:p>
        </w:tc>
        <w:tc>
          <w:tcPr>
            <w:tcW w:w="656" w:type="pct"/>
            <w:tcBorders>
              <w:left w:val="single" w:sz="4" w:space="0" w:color="FFFFFF" w:themeColor="background1"/>
              <w:right w:val="single" w:sz="4" w:space="0" w:color="FFFFFF" w:themeColor="background1"/>
            </w:tcBorders>
            <w:shd w:val="clear" w:color="auto" w:fill="6C1740"/>
          </w:tcPr>
          <w:p w14:paraId="6CF6467E" w14:textId="4A00951E" w:rsidR="000218B6" w:rsidRPr="005114E7" w:rsidRDefault="000218B6" w:rsidP="008E5982">
            <w:pPr>
              <w:jc w:val="center"/>
              <w:rPr>
                <w:b/>
              </w:rPr>
            </w:pPr>
            <w:r w:rsidRPr="005114E7">
              <w:rPr>
                <w:rFonts w:eastAsia="Times New Roman" w:cs="Calibri"/>
                <w:b/>
                <w:bCs/>
                <w:color w:val="FFFFFF" w:themeColor="background1"/>
                <w:lang w:val="mk" w:eastAsia="en-AU"/>
              </w:rPr>
              <w:t>Навреме</w:t>
            </w:r>
          </w:p>
        </w:tc>
        <w:tc>
          <w:tcPr>
            <w:tcW w:w="660" w:type="pct"/>
            <w:tcBorders>
              <w:left w:val="single" w:sz="4" w:space="0" w:color="FFFFFF" w:themeColor="background1"/>
              <w:right w:val="single" w:sz="4" w:space="0" w:color="FFFFFF" w:themeColor="background1"/>
            </w:tcBorders>
            <w:shd w:val="clear" w:color="auto" w:fill="6C1740"/>
          </w:tcPr>
          <w:p w14:paraId="3EFB3EBE" w14:textId="39353FBA" w:rsidR="000218B6" w:rsidRPr="005114E7" w:rsidRDefault="000218B6" w:rsidP="008E5982">
            <w:pPr>
              <w:jc w:val="center"/>
              <w:rPr>
                <w:b/>
              </w:rPr>
            </w:pPr>
            <w:r w:rsidRPr="005114E7">
              <w:rPr>
                <w:rFonts w:eastAsia="Times New Roman" w:cs="Calibri"/>
                <w:b/>
                <w:bCs/>
                <w:color w:val="FFFFFF" w:themeColor="background1"/>
                <w:lang w:val="mk" w:eastAsia="en-AU"/>
              </w:rPr>
              <w:t>Доцнење</w:t>
            </w:r>
          </w:p>
        </w:tc>
        <w:tc>
          <w:tcPr>
            <w:tcW w:w="651" w:type="pct"/>
            <w:tcBorders>
              <w:left w:val="single" w:sz="4" w:space="0" w:color="FFFFFF" w:themeColor="background1"/>
              <w:right w:val="single" w:sz="4" w:space="0" w:color="FFFFFF" w:themeColor="background1"/>
            </w:tcBorders>
            <w:shd w:val="clear" w:color="auto" w:fill="6C1740"/>
          </w:tcPr>
          <w:p w14:paraId="47A2D950" w14:textId="3E114C71" w:rsidR="000218B6" w:rsidRPr="005114E7" w:rsidRDefault="000218B6" w:rsidP="008E5982">
            <w:pPr>
              <w:jc w:val="center"/>
              <w:rPr>
                <w:b/>
              </w:rPr>
            </w:pPr>
            <w:r w:rsidRPr="005114E7">
              <w:rPr>
                <w:rFonts w:eastAsia="Times New Roman" w:cs="Calibri"/>
                <w:b/>
                <w:bCs/>
                <w:color w:val="FFFFFF" w:themeColor="background1"/>
                <w:lang w:val="mk" w:eastAsia="en-AU"/>
              </w:rPr>
              <w:t>Паузира</w:t>
            </w:r>
          </w:p>
        </w:tc>
        <w:tc>
          <w:tcPr>
            <w:tcW w:w="657" w:type="pct"/>
            <w:tcBorders>
              <w:left w:val="single" w:sz="4" w:space="0" w:color="FFFFFF" w:themeColor="background1"/>
              <w:right w:val="single" w:sz="4" w:space="0" w:color="FFFFFF" w:themeColor="background1"/>
            </w:tcBorders>
            <w:shd w:val="clear" w:color="auto" w:fill="6C1740"/>
          </w:tcPr>
          <w:p w14:paraId="4D77A72E" w14:textId="12423475" w:rsidR="000218B6" w:rsidRPr="005114E7" w:rsidRDefault="000218B6" w:rsidP="008E5982">
            <w:pPr>
              <w:jc w:val="center"/>
              <w:rPr>
                <w:b/>
              </w:rPr>
            </w:pPr>
            <w:r w:rsidRPr="005114E7">
              <w:rPr>
                <w:rFonts w:eastAsia="Times New Roman" w:cs="Calibri"/>
                <w:b/>
                <w:bCs/>
                <w:color w:val="FFFFFF" w:themeColor="background1"/>
                <w:lang w:val="mk" w:eastAsia="en-AU"/>
              </w:rPr>
              <w:t>Ќе започне во иднина</w:t>
            </w:r>
          </w:p>
        </w:tc>
        <w:tc>
          <w:tcPr>
            <w:tcW w:w="656" w:type="pct"/>
            <w:tcBorders>
              <w:left w:val="single" w:sz="4" w:space="0" w:color="FFFFFF" w:themeColor="background1"/>
              <w:right w:val="single" w:sz="4" w:space="0" w:color="FFFFFF" w:themeColor="background1"/>
            </w:tcBorders>
            <w:shd w:val="clear" w:color="auto" w:fill="6C1740"/>
          </w:tcPr>
          <w:p w14:paraId="025576BE" w14:textId="73743BAE" w:rsidR="000218B6" w:rsidRPr="005114E7" w:rsidRDefault="000218B6" w:rsidP="008E5982">
            <w:pPr>
              <w:jc w:val="center"/>
              <w:rPr>
                <w:b/>
              </w:rPr>
            </w:pPr>
            <w:r w:rsidRPr="005114E7">
              <w:rPr>
                <w:rFonts w:eastAsia="Times New Roman" w:cs="Calibri"/>
                <w:b/>
                <w:bCs/>
                <w:color w:val="FFFFFF" w:themeColor="background1"/>
                <w:lang w:val="mk" w:eastAsia="en-AU"/>
              </w:rPr>
              <w:t>Вкупно</w:t>
            </w:r>
          </w:p>
        </w:tc>
      </w:tr>
      <w:tr w:rsidR="000218B6" w:rsidRPr="005114E7" w14:paraId="6E8E4859" w14:textId="77777777" w:rsidTr="000218B6">
        <w:tc>
          <w:tcPr>
            <w:tcW w:w="998" w:type="pct"/>
            <w:tcBorders>
              <w:left w:val="single" w:sz="4" w:space="0" w:color="FFFFFF" w:themeColor="background1"/>
            </w:tcBorders>
            <w:vAlign w:val="bottom"/>
          </w:tcPr>
          <w:p w14:paraId="0B6D5258" w14:textId="37441D3E" w:rsidR="000218B6" w:rsidRPr="005114E7" w:rsidRDefault="000218B6" w:rsidP="008E5982">
            <w:r w:rsidRPr="005114E7">
              <w:rPr>
                <w:rFonts w:eastAsia="Times New Roman" w:cs="Calibri"/>
                <w:b/>
                <w:bCs/>
                <w:color w:val="000000"/>
                <w:lang w:val="mk" w:eastAsia="en-AU"/>
              </w:rPr>
              <w:t>Вработување</w:t>
            </w:r>
          </w:p>
        </w:tc>
        <w:tc>
          <w:tcPr>
            <w:tcW w:w="722" w:type="pct"/>
          </w:tcPr>
          <w:p w14:paraId="7BFCAE0A" w14:textId="77777777" w:rsidR="000218B6" w:rsidRPr="005114E7" w:rsidRDefault="000218B6" w:rsidP="008E5982">
            <w:pPr>
              <w:jc w:val="center"/>
            </w:pPr>
            <w:r w:rsidRPr="005114E7">
              <w:t>27</w:t>
            </w:r>
          </w:p>
        </w:tc>
        <w:tc>
          <w:tcPr>
            <w:tcW w:w="656" w:type="pct"/>
          </w:tcPr>
          <w:p w14:paraId="27ADBF0E" w14:textId="746DFB24" w:rsidR="000218B6" w:rsidRPr="005114E7" w:rsidRDefault="000218B6" w:rsidP="008E5982">
            <w:pPr>
              <w:jc w:val="center"/>
            </w:pPr>
            <w:r w:rsidRPr="005114E7">
              <w:t>47</w:t>
            </w:r>
          </w:p>
        </w:tc>
        <w:tc>
          <w:tcPr>
            <w:tcW w:w="660" w:type="pct"/>
          </w:tcPr>
          <w:p w14:paraId="4F8734A8" w14:textId="3A487975" w:rsidR="000218B6" w:rsidRPr="005114E7" w:rsidRDefault="000218B6" w:rsidP="008E5982">
            <w:pPr>
              <w:jc w:val="center"/>
            </w:pPr>
            <w:r w:rsidRPr="005114E7">
              <w:t>9</w:t>
            </w:r>
          </w:p>
        </w:tc>
        <w:tc>
          <w:tcPr>
            <w:tcW w:w="651" w:type="pct"/>
          </w:tcPr>
          <w:p w14:paraId="10FBF032" w14:textId="77777777" w:rsidR="000218B6" w:rsidRPr="005114E7" w:rsidRDefault="000218B6" w:rsidP="008E5982">
            <w:pPr>
              <w:jc w:val="center"/>
            </w:pPr>
            <w:r w:rsidRPr="005114E7">
              <w:t>0</w:t>
            </w:r>
          </w:p>
        </w:tc>
        <w:tc>
          <w:tcPr>
            <w:tcW w:w="657" w:type="pct"/>
          </w:tcPr>
          <w:p w14:paraId="2C3A5581" w14:textId="77777777" w:rsidR="000218B6" w:rsidRPr="005114E7" w:rsidRDefault="000218B6" w:rsidP="008E5982">
            <w:pPr>
              <w:jc w:val="center"/>
            </w:pPr>
            <w:r w:rsidRPr="005114E7">
              <w:t>0</w:t>
            </w:r>
          </w:p>
        </w:tc>
        <w:tc>
          <w:tcPr>
            <w:tcW w:w="656" w:type="pct"/>
            <w:tcBorders>
              <w:right w:val="single" w:sz="4" w:space="0" w:color="FFFFFF" w:themeColor="background1"/>
            </w:tcBorders>
          </w:tcPr>
          <w:p w14:paraId="54EEF733" w14:textId="77777777" w:rsidR="000218B6" w:rsidRPr="005114E7" w:rsidRDefault="000218B6" w:rsidP="008E5982">
            <w:pPr>
              <w:jc w:val="center"/>
            </w:pPr>
            <w:r w:rsidRPr="005114E7">
              <w:t>83</w:t>
            </w:r>
          </w:p>
        </w:tc>
      </w:tr>
      <w:tr w:rsidR="000218B6" w:rsidRPr="005114E7" w14:paraId="5590DF27" w14:textId="77777777" w:rsidTr="000218B6">
        <w:tc>
          <w:tcPr>
            <w:tcW w:w="998" w:type="pct"/>
            <w:tcBorders>
              <w:left w:val="single" w:sz="4" w:space="0" w:color="FFFFFF" w:themeColor="background1"/>
            </w:tcBorders>
            <w:shd w:val="clear" w:color="auto" w:fill="FAF9F8"/>
            <w:vAlign w:val="bottom"/>
          </w:tcPr>
          <w:p w14:paraId="637A82F4" w14:textId="0D952C9F" w:rsidR="000218B6" w:rsidRPr="005114E7" w:rsidRDefault="000218B6" w:rsidP="008E5982">
            <w:r w:rsidRPr="005114E7">
              <w:rPr>
                <w:rFonts w:eastAsia="Times New Roman" w:cs="Calibri"/>
                <w:b/>
                <w:bCs/>
                <w:color w:val="000000"/>
                <w:lang w:val="mk" w:eastAsia="en-AU"/>
              </w:rPr>
              <w:t>Однесување на заедницата</w:t>
            </w:r>
          </w:p>
        </w:tc>
        <w:tc>
          <w:tcPr>
            <w:tcW w:w="722" w:type="pct"/>
            <w:shd w:val="clear" w:color="auto" w:fill="FAF9F8"/>
          </w:tcPr>
          <w:p w14:paraId="6DFEB7F5" w14:textId="09684E35" w:rsidR="000218B6" w:rsidRPr="005114E7" w:rsidRDefault="000218B6" w:rsidP="008E5982">
            <w:pPr>
              <w:jc w:val="center"/>
            </w:pPr>
            <w:r w:rsidRPr="005114E7">
              <w:t>25</w:t>
            </w:r>
          </w:p>
        </w:tc>
        <w:tc>
          <w:tcPr>
            <w:tcW w:w="656" w:type="pct"/>
            <w:shd w:val="clear" w:color="auto" w:fill="FAF9F8"/>
          </w:tcPr>
          <w:p w14:paraId="5FE432BB" w14:textId="018CEC6C" w:rsidR="000218B6" w:rsidRPr="005114E7" w:rsidRDefault="000218B6" w:rsidP="008E5982">
            <w:pPr>
              <w:jc w:val="center"/>
            </w:pPr>
            <w:r w:rsidRPr="005114E7">
              <w:t>33</w:t>
            </w:r>
          </w:p>
        </w:tc>
        <w:tc>
          <w:tcPr>
            <w:tcW w:w="660" w:type="pct"/>
            <w:shd w:val="clear" w:color="auto" w:fill="FAF9F8"/>
          </w:tcPr>
          <w:p w14:paraId="507B0C2B" w14:textId="3304BED5" w:rsidR="000218B6" w:rsidRPr="005114E7" w:rsidRDefault="000218B6" w:rsidP="008E5982">
            <w:pPr>
              <w:jc w:val="center"/>
            </w:pPr>
            <w:r w:rsidRPr="005114E7">
              <w:t>10</w:t>
            </w:r>
          </w:p>
        </w:tc>
        <w:tc>
          <w:tcPr>
            <w:tcW w:w="651" w:type="pct"/>
            <w:shd w:val="clear" w:color="auto" w:fill="FAF9F8"/>
          </w:tcPr>
          <w:p w14:paraId="1B8EBE77" w14:textId="77777777" w:rsidR="000218B6" w:rsidRPr="005114E7" w:rsidRDefault="000218B6" w:rsidP="008E5982">
            <w:pPr>
              <w:jc w:val="center"/>
            </w:pPr>
            <w:r w:rsidRPr="005114E7">
              <w:t>0</w:t>
            </w:r>
          </w:p>
        </w:tc>
        <w:tc>
          <w:tcPr>
            <w:tcW w:w="657" w:type="pct"/>
            <w:shd w:val="clear" w:color="auto" w:fill="FAF9F8"/>
          </w:tcPr>
          <w:p w14:paraId="4E2DA3D6" w14:textId="77777777" w:rsidR="000218B6" w:rsidRPr="005114E7" w:rsidRDefault="000218B6" w:rsidP="008E5982">
            <w:pPr>
              <w:jc w:val="center"/>
            </w:pPr>
            <w:r w:rsidRPr="005114E7">
              <w:t>0</w:t>
            </w:r>
          </w:p>
        </w:tc>
        <w:tc>
          <w:tcPr>
            <w:tcW w:w="656" w:type="pct"/>
            <w:tcBorders>
              <w:right w:val="single" w:sz="4" w:space="0" w:color="FFFFFF" w:themeColor="background1"/>
            </w:tcBorders>
            <w:shd w:val="clear" w:color="auto" w:fill="FAF9F8"/>
          </w:tcPr>
          <w:p w14:paraId="47F322F5" w14:textId="77777777" w:rsidR="000218B6" w:rsidRPr="005114E7" w:rsidRDefault="000218B6" w:rsidP="008E5982">
            <w:pPr>
              <w:jc w:val="center"/>
            </w:pPr>
            <w:r w:rsidRPr="005114E7">
              <w:t>68</w:t>
            </w:r>
          </w:p>
        </w:tc>
      </w:tr>
      <w:tr w:rsidR="000218B6" w:rsidRPr="005114E7" w14:paraId="78D0ADCE" w14:textId="77777777" w:rsidTr="000218B6">
        <w:tc>
          <w:tcPr>
            <w:tcW w:w="998" w:type="pct"/>
            <w:tcBorders>
              <w:left w:val="single" w:sz="4" w:space="0" w:color="FFFFFF" w:themeColor="background1"/>
            </w:tcBorders>
            <w:vAlign w:val="bottom"/>
          </w:tcPr>
          <w:p w14:paraId="31CDC651" w14:textId="05D7CC1E" w:rsidR="000218B6" w:rsidRPr="005114E7" w:rsidRDefault="000218B6" w:rsidP="008E5982">
            <w:r w:rsidRPr="005114E7">
              <w:rPr>
                <w:rFonts w:eastAsia="Times New Roman" w:cs="Calibri"/>
                <w:b/>
                <w:bCs/>
                <w:color w:val="000000"/>
                <w:lang w:val="mk" w:eastAsia="en-AU"/>
              </w:rPr>
              <w:t>Деца на предучилишна возраст</w:t>
            </w:r>
          </w:p>
        </w:tc>
        <w:tc>
          <w:tcPr>
            <w:tcW w:w="722" w:type="pct"/>
          </w:tcPr>
          <w:p w14:paraId="3E3DE186" w14:textId="149D7796" w:rsidR="000218B6" w:rsidRPr="005114E7" w:rsidRDefault="000218B6" w:rsidP="008E5982">
            <w:pPr>
              <w:jc w:val="center"/>
            </w:pPr>
            <w:r w:rsidRPr="005114E7">
              <w:t>22</w:t>
            </w:r>
          </w:p>
        </w:tc>
        <w:tc>
          <w:tcPr>
            <w:tcW w:w="656" w:type="pct"/>
          </w:tcPr>
          <w:p w14:paraId="6701B22F" w14:textId="3BA0D800" w:rsidR="000218B6" w:rsidRPr="005114E7" w:rsidRDefault="000218B6" w:rsidP="008E5982">
            <w:pPr>
              <w:jc w:val="center"/>
            </w:pPr>
            <w:r w:rsidRPr="005114E7">
              <w:t>43</w:t>
            </w:r>
          </w:p>
        </w:tc>
        <w:tc>
          <w:tcPr>
            <w:tcW w:w="660" w:type="pct"/>
          </w:tcPr>
          <w:p w14:paraId="471DB37A" w14:textId="248B54FD" w:rsidR="000218B6" w:rsidRPr="005114E7" w:rsidRDefault="000218B6" w:rsidP="008E5982">
            <w:pPr>
              <w:jc w:val="center"/>
            </w:pPr>
            <w:r w:rsidRPr="005114E7">
              <w:t>7</w:t>
            </w:r>
          </w:p>
        </w:tc>
        <w:tc>
          <w:tcPr>
            <w:tcW w:w="651" w:type="pct"/>
          </w:tcPr>
          <w:p w14:paraId="597B3991" w14:textId="77777777" w:rsidR="000218B6" w:rsidRPr="005114E7" w:rsidRDefault="000218B6" w:rsidP="008E5982">
            <w:pPr>
              <w:jc w:val="center"/>
            </w:pPr>
            <w:r w:rsidRPr="005114E7">
              <w:t>3</w:t>
            </w:r>
          </w:p>
        </w:tc>
        <w:tc>
          <w:tcPr>
            <w:tcW w:w="657" w:type="pct"/>
          </w:tcPr>
          <w:p w14:paraId="675C5F3E" w14:textId="77777777" w:rsidR="000218B6" w:rsidRPr="005114E7" w:rsidRDefault="000218B6" w:rsidP="008E5982">
            <w:pPr>
              <w:jc w:val="center"/>
            </w:pPr>
            <w:r w:rsidRPr="005114E7">
              <w:t>1</w:t>
            </w:r>
          </w:p>
        </w:tc>
        <w:tc>
          <w:tcPr>
            <w:tcW w:w="656" w:type="pct"/>
            <w:tcBorders>
              <w:right w:val="single" w:sz="4" w:space="0" w:color="FFFFFF" w:themeColor="background1"/>
            </w:tcBorders>
          </w:tcPr>
          <w:p w14:paraId="5DBEB91E" w14:textId="77777777" w:rsidR="000218B6" w:rsidRPr="005114E7" w:rsidRDefault="000218B6" w:rsidP="008E5982">
            <w:pPr>
              <w:jc w:val="center"/>
            </w:pPr>
            <w:r w:rsidRPr="005114E7">
              <w:t>76</w:t>
            </w:r>
          </w:p>
        </w:tc>
      </w:tr>
      <w:tr w:rsidR="000218B6" w:rsidRPr="005114E7" w14:paraId="678E0046" w14:textId="77777777" w:rsidTr="000218B6">
        <w:tc>
          <w:tcPr>
            <w:tcW w:w="998" w:type="pct"/>
            <w:tcBorders>
              <w:left w:val="single" w:sz="4" w:space="0" w:color="FFFFFF" w:themeColor="background1"/>
            </w:tcBorders>
            <w:shd w:val="clear" w:color="auto" w:fill="FAF9F8"/>
            <w:vAlign w:val="bottom"/>
          </w:tcPr>
          <w:p w14:paraId="78A8A5FA" w14:textId="18BAB718" w:rsidR="000218B6" w:rsidRPr="005114E7" w:rsidRDefault="000218B6" w:rsidP="008E5982">
            <w:r w:rsidRPr="005114E7">
              <w:rPr>
                <w:rFonts w:eastAsia="Times New Roman" w:cs="Calibri"/>
                <w:b/>
                <w:bCs/>
                <w:color w:val="000000"/>
                <w:lang w:val="mk" w:eastAsia="en-AU"/>
              </w:rPr>
              <w:t>Безбедност</w:t>
            </w:r>
          </w:p>
        </w:tc>
        <w:tc>
          <w:tcPr>
            <w:tcW w:w="722" w:type="pct"/>
            <w:shd w:val="clear" w:color="auto" w:fill="FAF9F8"/>
          </w:tcPr>
          <w:p w14:paraId="78F4689E" w14:textId="77777777" w:rsidR="000218B6" w:rsidRPr="005114E7" w:rsidRDefault="000218B6" w:rsidP="008E5982">
            <w:pPr>
              <w:jc w:val="center"/>
            </w:pPr>
            <w:r w:rsidRPr="005114E7">
              <w:t>49</w:t>
            </w:r>
          </w:p>
        </w:tc>
        <w:tc>
          <w:tcPr>
            <w:tcW w:w="656" w:type="pct"/>
            <w:shd w:val="clear" w:color="auto" w:fill="FAF9F8"/>
          </w:tcPr>
          <w:p w14:paraId="535E7EE4" w14:textId="77777777" w:rsidR="000218B6" w:rsidRPr="005114E7" w:rsidRDefault="000218B6" w:rsidP="008E5982">
            <w:pPr>
              <w:jc w:val="center"/>
            </w:pPr>
            <w:r w:rsidRPr="005114E7">
              <w:t>52</w:t>
            </w:r>
          </w:p>
        </w:tc>
        <w:tc>
          <w:tcPr>
            <w:tcW w:w="660" w:type="pct"/>
            <w:shd w:val="clear" w:color="auto" w:fill="FAF9F8"/>
          </w:tcPr>
          <w:p w14:paraId="6B36D6A7" w14:textId="77777777" w:rsidR="000218B6" w:rsidRPr="005114E7" w:rsidRDefault="000218B6" w:rsidP="008E5982">
            <w:pPr>
              <w:jc w:val="center"/>
            </w:pPr>
            <w:r w:rsidRPr="005114E7">
              <w:t>25</w:t>
            </w:r>
          </w:p>
        </w:tc>
        <w:tc>
          <w:tcPr>
            <w:tcW w:w="651" w:type="pct"/>
            <w:shd w:val="clear" w:color="auto" w:fill="FAF9F8"/>
          </w:tcPr>
          <w:p w14:paraId="31D5BF1A" w14:textId="77777777" w:rsidR="000218B6" w:rsidRPr="005114E7" w:rsidRDefault="000218B6" w:rsidP="008E5982">
            <w:pPr>
              <w:jc w:val="center"/>
            </w:pPr>
            <w:r w:rsidRPr="005114E7">
              <w:t>4</w:t>
            </w:r>
          </w:p>
        </w:tc>
        <w:tc>
          <w:tcPr>
            <w:tcW w:w="657" w:type="pct"/>
            <w:shd w:val="clear" w:color="auto" w:fill="FAF9F8"/>
          </w:tcPr>
          <w:p w14:paraId="70111ACA" w14:textId="77777777" w:rsidR="000218B6" w:rsidRPr="005114E7" w:rsidRDefault="000218B6" w:rsidP="008E5982">
            <w:pPr>
              <w:jc w:val="center"/>
            </w:pPr>
            <w:r w:rsidRPr="005114E7">
              <w:t>2</w:t>
            </w:r>
          </w:p>
        </w:tc>
        <w:tc>
          <w:tcPr>
            <w:tcW w:w="656" w:type="pct"/>
            <w:tcBorders>
              <w:right w:val="single" w:sz="4" w:space="0" w:color="FFFFFF" w:themeColor="background1"/>
            </w:tcBorders>
            <w:shd w:val="clear" w:color="auto" w:fill="FAF9F8"/>
          </w:tcPr>
          <w:p w14:paraId="5B3DA91F" w14:textId="77777777" w:rsidR="000218B6" w:rsidRPr="005114E7" w:rsidRDefault="000218B6" w:rsidP="008E5982">
            <w:pPr>
              <w:jc w:val="center"/>
            </w:pPr>
            <w:r w:rsidRPr="005114E7">
              <w:t>132</w:t>
            </w:r>
          </w:p>
        </w:tc>
      </w:tr>
      <w:tr w:rsidR="000218B6" w:rsidRPr="005114E7" w14:paraId="5EC5808A" w14:textId="77777777" w:rsidTr="000218B6">
        <w:tc>
          <w:tcPr>
            <w:tcW w:w="998" w:type="pct"/>
            <w:tcBorders>
              <w:left w:val="single" w:sz="4" w:space="0" w:color="FFFFFF" w:themeColor="background1"/>
            </w:tcBorders>
            <w:vAlign w:val="bottom"/>
          </w:tcPr>
          <w:p w14:paraId="4DAD5A7D" w14:textId="2A555FCF" w:rsidR="000218B6" w:rsidRPr="005114E7" w:rsidRDefault="000218B6" w:rsidP="008E5982">
            <w:r w:rsidRPr="005114E7">
              <w:rPr>
                <w:rFonts w:eastAsia="Times New Roman" w:cs="Calibri"/>
                <w:b/>
                <w:bCs/>
                <w:color w:val="000000"/>
                <w:lang w:val="mk" w:eastAsia="en-AU"/>
              </w:rPr>
              <w:t>Делување во вонредни ситуации</w:t>
            </w:r>
          </w:p>
        </w:tc>
        <w:tc>
          <w:tcPr>
            <w:tcW w:w="722" w:type="pct"/>
          </w:tcPr>
          <w:p w14:paraId="0E755E2E" w14:textId="77777777" w:rsidR="000218B6" w:rsidRPr="005114E7" w:rsidRDefault="000218B6" w:rsidP="008E5982">
            <w:pPr>
              <w:jc w:val="center"/>
            </w:pPr>
            <w:r w:rsidRPr="005114E7">
              <w:t>21</w:t>
            </w:r>
          </w:p>
        </w:tc>
        <w:tc>
          <w:tcPr>
            <w:tcW w:w="656" w:type="pct"/>
          </w:tcPr>
          <w:p w14:paraId="47AACC59" w14:textId="77777777" w:rsidR="000218B6" w:rsidRPr="005114E7" w:rsidRDefault="000218B6" w:rsidP="008E5982">
            <w:pPr>
              <w:jc w:val="center"/>
            </w:pPr>
            <w:r w:rsidRPr="005114E7">
              <w:t>34</w:t>
            </w:r>
          </w:p>
        </w:tc>
        <w:tc>
          <w:tcPr>
            <w:tcW w:w="660" w:type="pct"/>
          </w:tcPr>
          <w:p w14:paraId="7E6E50AA" w14:textId="77777777" w:rsidR="000218B6" w:rsidRPr="005114E7" w:rsidRDefault="000218B6" w:rsidP="008E5982">
            <w:pPr>
              <w:jc w:val="center"/>
            </w:pPr>
            <w:r w:rsidRPr="005114E7">
              <w:t>3</w:t>
            </w:r>
          </w:p>
        </w:tc>
        <w:tc>
          <w:tcPr>
            <w:tcW w:w="651" w:type="pct"/>
          </w:tcPr>
          <w:p w14:paraId="69197DE5" w14:textId="77777777" w:rsidR="000218B6" w:rsidRPr="005114E7" w:rsidRDefault="000218B6" w:rsidP="008E5982">
            <w:pPr>
              <w:jc w:val="center"/>
            </w:pPr>
            <w:r w:rsidRPr="005114E7">
              <w:t>0</w:t>
            </w:r>
          </w:p>
        </w:tc>
        <w:tc>
          <w:tcPr>
            <w:tcW w:w="657" w:type="pct"/>
          </w:tcPr>
          <w:p w14:paraId="11FFA903" w14:textId="77777777" w:rsidR="000218B6" w:rsidRPr="005114E7" w:rsidRDefault="000218B6" w:rsidP="008E5982">
            <w:pPr>
              <w:jc w:val="center"/>
            </w:pPr>
            <w:r w:rsidRPr="005114E7">
              <w:t>0</w:t>
            </w:r>
          </w:p>
        </w:tc>
        <w:tc>
          <w:tcPr>
            <w:tcW w:w="656" w:type="pct"/>
            <w:tcBorders>
              <w:right w:val="single" w:sz="4" w:space="0" w:color="FFFFFF" w:themeColor="background1"/>
            </w:tcBorders>
          </w:tcPr>
          <w:p w14:paraId="1803A45F" w14:textId="77777777" w:rsidR="000218B6" w:rsidRPr="005114E7" w:rsidRDefault="000218B6" w:rsidP="008E5982">
            <w:pPr>
              <w:jc w:val="center"/>
            </w:pPr>
            <w:r w:rsidRPr="005114E7">
              <w:t>58</w:t>
            </w:r>
          </w:p>
        </w:tc>
      </w:tr>
      <w:tr w:rsidR="000218B6" w:rsidRPr="005114E7" w14:paraId="54E3F3FD" w14:textId="77777777" w:rsidTr="000218B6">
        <w:tc>
          <w:tcPr>
            <w:tcW w:w="998" w:type="pct"/>
            <w:tcBorders>
              <w:left w:val="single" w:sz="4" w:space="0" w:color="FFFFFF" w:themeColor="background1"/>
            </w:tcBorders>
            <w:shd w:val="clear" w:color="auto" w:fill="E4E9F3"/>
            <w:vAlign w:val="bottom"/>
          </w:tcPr>
          <w:p w14:paraId="59E11888" w14:textId="1F99A9F5" w:rsidR="000218B6" w:rsidRPr="005114E7" w:rsidRDefault="000218B6" w:rsidP="008E5982">
            <w:pPr>
              <w:rPr>
                <w:b/>
              </w:rPr>
            </w:pPr>
            <w:r w:rsidRPr="005114E7">
              <w:rPr>
                <w:rFonts w:eastAsia="Times New Roman" w:cs="Calibri"/>
                <w:b/>
                <w:bCs/>
                <w:color w:val="000000"/>
                <w:lang w:val="mk" w:eastAsia="en-AU"/>
              </w:rPr>
              <w:t>Вкупно</w:t>
            </w:r>
          </w:p>
        </w:tc>
        <w:tc>
          <w:tcPr>
            <w:tcW w:w="722" w:type="pct"/>
            <w:shd w:val="clear" w:color="auto" w:fill="E4E9F3"/>
          </w:tcPr>
          <w:p w14:paraId="2B76F08D" w14:textId="5607FB40" w:rsidR="000218B6" w:rsidRPr="005114E7" w:rsidRDefault="000218B6" w:rsidP="008E5982">
            <w:pPr>
              <w:jc w:val="center"/>
              <w:rPr>
                <w:b/>
              </w:rPr>
            </w:pPr>
            <w:r w:rsidRPr="005114E7">
              <w:rPr>
                <w:b/>
              </w:rPr>
              <w:t>144</w:t>
            </w:r>
          </w:p>
        </w:tc>
        <w:tc>
          <w:tcPr>
            <w:tcW w:w="656" w:type="pct"/>
            <w:shd w:val="clear" w:color="auto" w:fill="E4E9F3"/>
          </w:tcPr>
          <w:p w14:paraId="0CF70E38" w14:textId="10483159" w:rsidR="000218B6" w:rsidRPr="005114E7" w:rsidRDefault="000218B6" w:rsidP="008E5982">
            <w:pPr>
              <w:jc w:val="center"/>
              <w:rPr>
                <w:b/>
              </w:rPr>
            </w:pPr>
            <w:r w:rsidRPr="005114E7">
              <w:rPr>
                <w:b/>
              </w:rPr>
              <w:t>209</w:t>
            </w:r>
          </w:p>
        </w:tc>
        <w:tc>
          <w:tcPr>
            <w:tcW w:w="660" w:type="pct"/>
            <w:shd w:val="clear" w:color="auto" w:fill="E4E9F3"/>
          </w:tcPr>
          <w:p w14:paraId="7CE92845" w14:textId="3C99E917" w:rsidR="000218B6" w:rsidRPr="005114E7" w:rsidRDefault="000218B6" w:rsidP="008E5982">
            <w:pPr>
              <w:jc w:val="center"/>
              <w:rPr>
                <w:b/>
              </w:rPr>
            </w:pPr>
            <w:r w:rsidRPr="005114E7">
              <w:rPr>
                <w:b/>
              </w:rPr>
              <w:t>54</w:t>
            </w:r>
          </w:p>
        </w:tc>
        <w:tc>
          <w:tcPr>
            <w:tcW w:w="651" w:type="pct"/>
            <w:shd w:val="clear" w:color="auto" w:fill="E4E9F3"/>
          </w:tcPr>
          <w:p w14:paraId="17BAEC89" w14:textId="77777777" w:rsidR="000218B6" w:rsidRPr="005114E7" w:rsidRDefault="000218B6" w:rsidP="008E5982">
            <w:pPr>
              <w:jc w:val="center"/>
              <w:rPr>
                <w:b/>
              </w:rPr>
            </w:pPr>
            <w:r w:rsidRPr="005114E7">
              <w:rPr>
                <w:b/>
              </w:rPr>
              <w:t>7</w:t>
            </w:r>
          </w:p>
        </w:tc>
        <w:tc>
          <w:tcPr>
            <w:tcW w:w="657" w:type="pct"/>
            <w:shd w:val="clear" w:color="auto" w:fill="E4E9F3"/>
          </w:tcPr>
          <w:p w14:paraId="7910F4D8" w14:textId="77777777" w:rsidR="000218B6" w:rsidRPr="005114E7" w:rsidRDefault="000218B6" w:rsidP="008E5982">
            <w:pPr>
              <w:jc w:val="center"/>
              <w:rPr>
                <w:b/>
              </w:rPr>
            </w:pPr>
            <w:r w:rsidRPr="005114E7">
              <w:rPr>
                <w:b/>
              </w:rPr>
              <w:t>3</w:t>
            </w:r>
          </w:p>
        </w:tc>
        <w:tc>
          <w:tcPr>
            <w:tcW w:w="656" w:type="pct"/>
            <w:tcBorders>
              <w:right w:val="single" w:sz="4" w:space="0" w:color="FFFFFF" w:themeColor="background1"/>
            </w:tcBorders>
            <w:shd w:val="clear" w:color="auto" w:fill="E4E9F3"/>
          </w:tcPr>
          <w:p w14:paraId="1A8E01B3" w14:textId="77777777" w:rsidR="000218B6" w:rsidRPr="005114E7" w:rsidRDefault="000218B6" w:rsidP="008E5982">
            <w:pPr>
              <w:jc w:val="center"/>
              <w:rPr>
                <w:b/>
              </w:rPr>
            </w:pPr>
            <w:r w:rsidRPr="005114E7">
              <w:rPr>
                <w:b/>
              </w:rPr>
              <w:t>417</w:t>
            </w:r>
          </w:p>
        </w:tc>
      </w:tr>
      <w:tr w:rsidR="000218B6" w:rsidRPr="005114E7" w14:paraId="434C7C47" w14:textId="77777777" w:rsidTr="000218B6">
        <w:tc>
          <w:tcPr>
            <w:tcW w:w="998" w:type="pct"/>
            <w:tcBorders>
              <w:left w:val="single" w:sz="4" w:space="0" w:color="FFFFFF" w:themeColor="background1"/>
              <w:bottom w:val="single" w:sz="4" w:space="0" w:color="FFFFFF" w:themeColor="background1"/>
            </w:tcBorders>
            <w:vAlign w:val="bottom"/>
          </w:tcPr>
          <w:p w14:paraId="48140115" w14:textId="2CCBB5BE" w:rsidR="000218B6" w:rsidRPr="005114E7" w:rsidRDefault="000218B6" w:rsidP="008E5982">
            <w:pPr>
              <w:rPr>
                <w:b/>
              </w:rPr>
            </w:pPr>
            <w:r w:rsidRPr="005114E7">
              <w:rPr>
                <w:rFonts w:eastAsia="Times New Roman" w:cs="Calibri"/>
                <w:b/>
                <w:bCs/>
                <w:color w:val="000000"/>
                <w:lang w:val="mk" w:eastAsia="en-AU"/>
              </w:rPr>
              <w:t>Проценти</w:t>
            </w:r>
          </w:p>
        </w:tc>
        <w:tc>
          <w:tcPr>
            <w:tcW w:w="722" w:type="pct"/>
            <w:tcBorders>
              <w:bottom w:val="single" w:sz="4" w:space="0" w:color="FFFFFF" w:themeColor="background1"/>
            </w:tcBorders>
          </w:tcPr>
          <w:p w14:paraId="427A6A1B" w14:textId="28ED0EE3" w:rsidR="000218B6" w:rsidRPr="005114E7" w:rsidRDefault="000218B6" w:rsidP="00C43D7A">
            <w:pPr>
              <w:jc w:val="center"/>
              <w:rPr>
                <w:b/>
              </w:rPr>
            </w:pPr>
            <w:r w:rsidRPr="005114E7">
              <w:rPr>
                <w:b/>
              </w:rPr>
              <w:t>35%</w:t>
            </w:r>
          </w:p>
        </w:tc>
        <w:tc>
          <w:tcPr>
            <w:tcW w:w="656" w:type="pct"/>
            <w:tcBorders>
              <w:bottom w:val="single" w:sz="4" w:space="0" w:color="FFFFFF" w:themeColor="background1"/>
            </w:tcBorders>
          </w:tcPr>
          <w:p w14:paraId="6D4561BA" w14:textId="77777777" w:rsidR="000218B6" w:rsidRPr="005114E7" w:rsidRDefault="000218B6" w:rsidP="008E5982">
            <w:pPr>
              <w:jc w:val="center"/>
              <w:rPr>
                <w:b/>
              </w:rPr>
            </w:pPr>
            <w:r w:rsidRPr="005114E7">
              <w:rPr>
                <w:b/>
              </w:rPr>
              <w:t>50%</w:t>
            </w:r>
          </w:p>
        </w:tc>
        <w:tc>
          <w:tcPr>
            <w:tcW w:w="660" w:type="pct"/>
            <w:tcBorders>
              <w:bottom w:val="single" w:sz="4" w:space="0" w:color="FFFFFF" w:themeColor="background1"/>
            </w:tcBorders>
          </w:tcPr>
          <w:p w14:paraId="19C30732" w14:textId="2960DEBA" w:rsidR="000218B6" w:rsidRPr="005114E7" w:rsidRDefault="000218B6" w:rsidP="00400E39">
            <w:pPr>
              <w:jc w:val="center"/>
              <w:rPr>
                <w:b/>
              </w:rPr>
            </w:pPr>
            <w:r w:rsidRPr="005114E7">
              <w:rPr>
                <w:b/>
              </w:rPr>
              <w:t>13%</w:t>
            </w:r>
          </w:p>
        </w:tc>
        <w:tc>
          <w:tcPr>
            <w:tcW w:w="651" w:type="pct"/>
            <w:tcBorders>
              <w:bottom w:val="single" w:sz="4" w:space="0" w:color="FFFFFF" w:themeColor="background1"/>
            </w:tcBorders>
          </w:tcPr>
          <w:p w14:paraId="69F7CEEC" w14:textId="77777777" w:rsidR="000218B6" w:rsidRPr="005114E7" w:rsidRDefault="000218B6" w:rsidP="008E5982">
            <w:pPr>
              <w:jc w:val="center"/>
              <w:rPr>
                <w:b/>
              </w:rPr>
            </w:pPr>
            <w:r w:rsidRPr="005114E7">
              <w:rPr>
                <w:b/>
              </w:rPr>
              <w:t>2%</w:t>
            </w:r>
          </w:p>
        </w:tc>
        <w:tc>
          <w:tcPr>
            <w:tcW w:w="657" w:type="pct"/>
            <w:tcBorders>
              <w:bottom w:val="single" w:sz="4" w:space="0" w:color="FFFFFF" w:themeColor="background1"/>
            </w:tcBorders>
          </w:tcPr>
          <w:p w14:paraId="62CA11B1" w14:textId="77777777" w:rsidR="000218B6" w:rsidRPr="005114E7" w:rsidRDefault="000218B6" w:rsidP="008E5982">
            <w:pPr>
              <w:jc w:val="center"/>
              <w:rPr>
                <w:b/>
              </w:rPr>
            </w:pPr>
            <w:r w:rsidRPr="005114E7">
              <w:rPr>
                <w:b/>
              </w:rPr>
              <w:t>1%</w:t>
            </w:r>
          </w:p>
        </w:tc>
        <w:tc>
          <w:tcPr>
            <w:tcW w:w="656" w:type="pct"/>
            <w:tcBorders>
              <w:bottom w:val="single" w:sz="4" w:space="0" w:color="FFFFFF" w:themeColor="background1"/>
              <w:right w:val="single" w:sz="4" w:space="0" w:color="FFFFFF" w:themeColor="background1"/>
            </w:tcBorders>
          </w:tcPr>
          <w:p w14:paraId="7D15AAF5" w14:textId="77777777" w:rsidR="000218B6" w:rsidRPr="005114E7" w:rsidRDefault="000218B6" w:rsidP="008E5982">
            <w:pPr>
              <w:jc w:val="center"/>
              <w:rPr>
                <w:b/>
              </w:rPr>
            </w:pPr>
          </w:p>
        </w:tc>
      </w:tr>
    </w:tbl>
    <w:p w14:paraId="6848929F" w14:textId="2FA1D69E" w:rsidR="00B875C3" w:rsidRPr="004B6F53" w:rsidRDefault="000218B6" w:rsidP="002E47A1">
      <w:pPr>
        <w:spacing w:before="240" w:after="240"/>
        <w:rPr>
          <w:sz w:val="20"/>
          <w:szCs w:val="20"/>
        </w:rPr>
      </w:pPr>
      <w:r w:rsidRPr="00D36EB6">
        <w:rPr>
          <w:rFonts w:cs="Arial"/>
          <w:sz w:val="20"/>
          <w:szCs w:val="20"/>
          <w:lang w:val="mk-MK"/>
        </w:rPr>
        <w:t>Напомена: Вкупниот збир на процентите можеби не изнесува 100 поради заокружувањето на децималите.</w:t>
      </w:r>
    </w:p>
    <w:sectPr w:rsidR="00B875C3" w:rsidRPr="004B6F53" w:rsidSect="00BE6FD4">
      <w:footerReference w:type="default" r:id="rId24"/>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E330" w14:textId="77777777" w:rsidR="00714DC7" w:rsidRDefault="00714DC7" w:rsidP="00B04ED8">
      <w:pPr>
        <w:spacing w:after="0" w:line="240" w:lineRule="auto"/>
      </w:pPr>
      <w:r>
        <w:separator/>
      </w:r>
    </w:p>
  </w:endnote>
  <w:endnote w:type="continuationSeparator" w:id="0">
    <w:p w14:paraId="42740353" w14:textId="77777777" w:rsidR="00714DC7" w:rsidRDefault="00714DC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714DC7" w:rsidRPr="008D68E6" w:rsidRDefault="00714DC7" w:rsidP="000842DE">
        <w:pPr>
          <w:pStyle w:val="Footer"/>
          <w:pBdr>
            <w:top w:val="single" w:sz="24" w:space="1" w:color="E5E8F2"/>
          </w:pBdr>
          <w:jc w:val="right"/>
          <w:rPr>
            <w:rFonts w:ascii="Calibri" w:hAnsi="Calibri" w:cs="Calibri"/>
            <w:color w:val="939698"/>
            <w:sz w:val="20"/>
            <w:szCs w:val="20"/>
          </w:rPr>
        </w:pPr>
      </w:p>
      <w:p w14:paraId="58322F3C" w14:textId="075B8432" w:rsidR="00714DC7" w:rsidRPr="008D68E6" w:rsidRDefault="00714DC7" w:rsidP="000842DE">
        <w:pPr>
          <w:pStyle w:val="Footer"/>
          <w:pBdr>
            <w:top w:val="single" w:sz="24" w:space="1" w:color="E5E8F2"/>
          </w:pBdr>
          <w:jc w:val="right"/>
          <w:rPr>
            <w:rFonts w:ascii="Calibri" w:hAnsi="Calibri" w:cs="Calibri"/>
            <w:sz w:val="20"/>
            <w:szCs w:val="20"/>
          </w:rPr>
        </w:pPr>
        <w:proofErr w:type="spellStart"/>
        <w:r w:rsidRPr="00F16EBD">
          <w:rPr>
            <w:rFonts w:ascii="Calibri" w:hAnsi="Calibri" w:cs="Calibri"/>
            <w:color w:val="000000" w:themeColor="text1"/>
            <w:sz w:val="20"/>
            <w:szCs w:val="20"/>
          </w:rPr>
          <w:t>Извештај</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за</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Плановите</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за</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насочена</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акција</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од</w:t>
        </w:r>
        <w:proofErr w:type="spellEnd"/>
        <w:r w:rsidRPr="00F16EBD">
          <w:rPr>
            <w:rFonts w:ascii="Calibri" w:hAnsi="Calibri" w:cs="Calibri"/>
            <w:color w:val="000000" w:themeColor="text1"/>
            <w:sz w:val="20"/>
            <w:szCs w:val="20"/>
          </w:rPr>
          <w:t xml:space="preserve"> 1 </w:t>
        </w:r>
        <w:proofErr w:type="spellStart"/>
        <w:r w:rsidRPr="00F16EBD">
          <w:rPr>
            <w:rFonts w:ascii="Calibri" w:hAnsi="Calibri" w:cs="Calibri"/>
            <w:color w:val="000000" w:themeColor="text1"/>
            <w:sz w:val="20"/>
            <w:szCs w:val="20"/>
          </w:rPr>
          <w:t>јули</w:t>
        </w:r>
        <w:proofErr w:type="spellEnd"/>
        <w:r w:rsidRPr="00F16EBD">
          <w:rPr>
            <w:rFonts w:ascii="Calibri" w:hAnsi="Calibri" w:cs="Calibri"/>
            <w:color w:val="000000" w:themeColor="text1"/>
            <w:sz w:val="20"/>
            <w:szCs w:val="20"/>
          </w:rPr>
          <w:t xml:space="preserve"> 2022 г. </w:t>
        </w:r>
        <w:proofErr w:type="spellStart"/>
        <w:r w:rsidRPr="00F16EBD">
          <w:rPr>
            <w:rFonts w:ascii="Calibri" w:hAnsi="Calibri" w:cs="Calibri"/>
            <w:color w:val="000000" w:themeColor="text1"/>
            <w:sz w:val="20"/>
            <w:szCs w:val="20"/>
          </w:rPr>
          <w:t>до</w:t>
        </w:r>
        <w:proofErr w:type="spellEnd"/>
        <w:r w:rsidRPr="00F16EBD">
          <w:rPr>
            <w:rFonts w:ascii="Calibri" w:hAnsi="Calibri" w:cs="Calibri"/>
            <w:color w:val="000000" w:themeColor="text1"/>
            <w:sz w:val="20"/>
            <w:szCs w:val="20"/>
          </w:rPr>
          <w:t xml:space="preserve"> 30 </w:t>
        </w:r>
        <w:proofErr w:type="spellStart"/>
        <w:r w:rsidRPr="00F16EBD">
          <w:rPr>
            <w:rFonts w:ascii="Calibri" w:hAnsi="Calibri" w:cs="Calibri"/>
            <w:color w:val="000000" w:themeColor="text1"/>
            <w:sz w:val="20"/>
            <w:szCs w:val="20"/>
          </w:rPr>
          <w:t>јуни</w:t>
        </w:r>
        <w:proofErr w:type="spellEnd"/>
        <w:r w:rsidRPr="00F16EBD">
          <w:rPr>
            <w:rFonts w:ascii="Calibri" w:hAnsi="Calibri" w:cs="Calibri"/>
            <w:color w:val="000000" w:themeColor="text1"/>
            <w:sz w:val="20"/>
            <w:szCs w:val="20"/>
          </w:rPr>
          <w:t xml:space="preserve"> 2023 г.</w:t>
        </w:r>
        <w:r>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F83AB6">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714DC7" w:rsidRPr="008D68E6" w:rsidRDefault="00714DC7" w:rsidP="000842DE">
        <w:pPr>
          <w:pStyle w:val="Footer"/>
          <w:pBdr>
            <w:top w:val="single" w:sz="24" w:space="1" w:color="E5E8F2"/>
          </w:pBdr>
          <w:jc w:val="right"/>
          <w:rPr>
            <w:rFonts w:ascii="Calibri" w:hAnsi="Calibri" w:cs="Calibri"/>
            <w:color w:val="939698"/>
            <w:sz w:val="20"/>
            <w:szCs w:val="20"/>
          </w:rPr>
        </w:pPr>
      </w:p>
      <w:p w14:paraId="1814014A" w14:textId="674FD3D6" w:rsidR="00714DC7" w:rsidRPr="008D68E6" w:rsidRDefault="00714DC7" w:rsidP="000842DE">
        <w:pPr>
          <w:pStyle w:val="Footer"/>
          <w:pBdr>
            <w:top w:val="single" w:sz="24" w:space="1" w:color="E5E8F2"/>
          </w:pBdr>
          <w:jc w:val="right"/>
          <w:rPr>
            <w:rFonts w:ascii="Calibri" w:hAnsi="Calibri" w:cs="Calibri"/>
            <w:sz w:val="20"/>
            <w:szCs w:val="20"/>
          </w:rPr>
        </w:pPr>
        <w:proofErr w:type="spellStart"/>
        <w:r w:rsidRPr="00F16EBD">
          <w:rPr>
            <w:rFonts w:ascii="Calibri" w:hAnsi="Calibri" w:cs="Calibri"/>
            <w:color w:val="000000" w:themeColor="text1"/>
            <w:sz w:val="20"/>
            <w:szCs w:val="20"/>
          </w:rPr>
          <w:t>Извештај</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за</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Плановите</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за</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насочена</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акција</w:t>
        </w:r>
        <w:proofErr w:type="spellEnd"/>
        <w:r w:rsidRPr="00F16EBD">
          <w:rPr>
            <w:rFonts w:ascii="Calibri" w:hAnsi="Calibri" w:cs="Calibri"/>
            <w:color w:val="000000" w:themeColor="text1"/>
            <w:sz w:val="20"/>
            <w:szCs w:val="20"/>
          </w:rPr>
          <w:t xml:space="preserve">, </w:t>
        </w:r>
        <w:proofErr w:type="spellStart"/>
        <w:r w:rsidRPr="00F16EBD">
          <w:rPr>
            <w:rFonts w:ascii="Calibri" w:hAnsi="Calibri" w:cs="Calibri"/>
            <w:color w:val="000000" w:themeColor="text1"/>
            <w:sz w:val="20"/>
            <w:szCs w:val="20"/>
          </w:rPr>
          <w:t>од</w:t>
        </w:r>
        <w:proofErr w:type="spellEnd"/>
        <w:r w:rsidRPr="00F16EBD">
          <w:rPr>
            <w:rFonts w:ascii="Calibri" w:hAnsi="Calibri" w:cs="Calibri"/>
            <w:color w:val="000000" w:themeColor="text1"/>
            <w:sz w:val="20"/>
            <w:szCs w:val="20"/>
          </w:rPr>
          <w:t xml:space="preserve"> 1 </w:t>
        </w:r>
        <w:proofErr w:type="spellStart"/>
        <w:r w:rsidRPr="00F16EBD">
          <w:rPr>
            <w:rFonts w:ascii="Calibri" w:hAnsi="Calibri" w:cs="Calibri"/>
            <w:color w:val="000000" w:themeColor="text1"/>
            <w:sz w:val="20"/>
            <w:szCs w:val="20"/>
          </w:rPr>
          <w:t>јули</w:t>
        </w:r>
        <w:proofErr w:type="spellEnd"/>
        <w:r w:rsidRPr="00F16EBD">
          <w:rPr>
            <w:rFonts w:ascii="Calibri" w:hAnsi="Calibri" w:cs="Calibri"/>
            <w:color w:val="000000" w:themeColor="text1"/>
            <w:sz w:val="20"/>
            <w:szCs w:val="20"/>
          </w:rPr>
          <w:t xml:space="preserve"> 2022 г. </w:t>
        </w:r>
        <w:proofErr w:type="spellStart"/>
        <w:r w:rsidRPr="00F16EBD">
          <w:rPr>
            <w:rFonts w:ascii="Calibri" w:hAnsi="Calibri" w:cs="Calibri"/>
            <w:color w:val="000000" w:themeColor="text1"/>
            <w:sz w:val="20"/>
            <w:szCs w:val="20"/>
          </w:rPr>
          <w:t>до</w:t>
        </w:r>
        <w:proofErr w:type="spellEnd"/>
        <w:r w:rsidRPr="00F16EBD">
          <w:rPr>
            <w:rFonts w:ascii="Calibri" w:hAnsi="Calibri" w:cs="Calibri"/>
            <w:color w:val="000000" w:themeColor="text1"/>
            <w:sz w:val="20"/>
            <w:szCs w:val="20"/>
          </w:rPr>
          <w:t xml:space="preserve"> 30 </w:t>
        </w:r>
        <w:proofErr w:type="spellStart"/>
        <w:r w:rsidRPr="00F16EBD">
          <w:rPr>
            <w:rFonts w:ascii="Calibri" w:hAnsi="Calibri" w:cs="Calibri"/>
            <w:color w:val="000000" w:themeColor="text1"/>
            <w:sz w:val="20"/>
            <w:szCs w:val="20"/>
          </w:rPr>
          <w:t>јуни</w:t>
        </w:r>
        <w:proofErr w:type="spellEnd"/>
        <w:r w:rsidRPr="00F16EBD">
          <w:rPr>
            <w:rFonts w:ascii="Calibri" w:hAnsi="Calibri" w:cs="Calibri"/>
            <w:color w:val="000000" w:themeColor="text1"/>
            <w:sz w:val="20"/>
            <w:szCs w:val="20"/>
          </w:rPr>
          <w:t xml:space="preserve"> 2023 г.</w:t>
        </w:r>
        <w:r>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F83AB6">
          <w:rPr>
            <w:rFonts w:ascii="Calibri" w:hAnsi="Calibri" w:cs="Calibri"/>
            <w:noProof/>
            <w:sz w:val="20"/>
            <w:szCs w:val="20"/>
          </w:rPr>
          <w:t>6</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50E7" w14:textId="77777777" w:rsidR="00714DC7" w:rsidRDefault="00714DC7" w:rsidP="00B04ED8">
      <w:pPr>
        <w:spacing w:after="0" w:line="240" w:lineRule="auto"/>
      </w:pPr>
      <w:r>
        <w:separator/>
      </w:r>
    </w:p>
  </w:footnote>
  <w:footnote w:type="continuationSeparator" w:id="0">
    <w:p w14:paraId="6D32BA53" w14:textId="77777777" w:rsidR="00714DC7" w:rsidRDefault="00714DC7"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1CB03FD"/>
    <w:multiLevelType w:val="hybridMultilevel"/>
    <w:tmpl w:val="F4F899F2"/>
    <w:lvl w:ilvl="0" w:tplc="22BAAD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B1F563F"/>
    <w:multiLevelType w:val="hybridMultilevel"/>
    <w:tmpl w:val="01DC9ED4"/>
    <w:lvl w:ilvl="0" w:tplc="65189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C37BF5"/>
    <w:multiLevelType w:val="hybridMultilevel"/>
    <w:tmpl w:val="4D647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F35B3"/>
    <w:multiLevelType w:val="hybridMultilevel"/>
    <w:tmpl w:val="C9B0D9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7058BC"/>
    <w:multiLevelType w:val="hybridMultilevel"/>
    <w:tmpl w:val="BE902CA0"/>
    <w:lvl w:ilvl="0" w:tplc="BB10E9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D24AD3"/>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4D5FBA"/>
    <w:multiLevelType w:val="hybridMultilevel"/>
    <w:tmpl w:val="8E6668B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A6325A"/>
    <w:multiLevelType w:val="hybridMultilevel"/>
    <w:tmpl w:val="D122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18">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F791D06"/>
    <w:multiLevelType w:val="hybridMultilevel"/>
    <w:tmpl w:val="1014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24">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6C96DDA"/>
    <w:multiLevelType w:val="hybridMultilevel"/>
    <w:tmpl w:val="1BD669A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29">
    <w:nsid w:val="77CC251D"/>
    <w:multiLevelType w:val="hybridMultilevel"/>
    <w:tmpl w:val="157A265C"/>
    <w:lvl w:ilvl="0" w:tplc="2A9059F4">
      <w:start w:val="1"/>
      <w:numFmt w:val="decimal"/>
      <w:lvlText w:val="%1."/>
      <w:lvlJc w:val="left"/>
      <w:pPr>
        <w:ind w:left="1512" w:hanging="4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F787072"/>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6"/>
  </w:num>
  <w:num w:numId="3">
    <w:abstractNumId w:val="24"/>
  </w:num>
  <w:num w:numId="4">
    <w:abstractNumId w:val="1"/>
  </w:num>
  <w:num w:numId="5">
    <w:abstractNumId w:val="30"/>
  </w:num>
  <w:num w:numId="6">
    <w:abstractNumId w:val="6"/>
  </w:num>
  <w:num w:numId="7">
    <w:abstractNumId w:val="10"/>
  </w:num>
  <w:num w:numId="8">
    <w:abstractNumId w:val="0"/>
  </w:num>
  <w:num w:numId="9">
    <w:abstractNumId w:val="18"/>
  </w:num>
  <w:num w:numId="10">
    <w:abstractNumId w:val="21"/>
  </w:num>
  <w:num w:numId="11">
    <w:abstractNumId w:val="12"/>
  </w:num>
  <w:num w:numId="12">
    <w:abstractNumId w:val="25"/>
  </w:num>
  <w:num w:numId="13">
    <w:abstractNumId w:val="3"/>
  </w:num>
  <w:num w:numId="14">
    <w:abstractNumId w:val="23"/>
  </w:num>
  <w:num w:numId="15">
    <w:abstractNumId w:val="17"/>
  </w:num>
  <w:num w:numId="16">
    <w:abstractNumId w:val="28"/>
  </w:num>
  <w:num w:numId="17">
    <w:abstractNumId w:val="19"/>
  </w:num>
  <w:num w:numId="18">
    <w:abstractNumId w:val="26"/>
  </w:num>
  <w:num w:numId="19">
    <w:abstractNumId w:val="27"/>
  </w:num>
  <w:num w:numId="20">
    <w:abstractNumId w:val="14"/>
  </w:num>
  <w:num w:numId="21">
    <w:abstractNumId w:val="9"/>
  </w:num>
  <w:num w:numId="22">
    <w:abstractNumId w:val="22"/>
  </w:num>
  <w:num w:numId="23">
    <w:abstractNumId w:val="7"/>
  </w:num>
  <w:num w:numId="24">
    <w:abstractNumId w:val="11"/>
  </w:num>
  <w:num w:numId="25">
    <w:abstractNumId w:val="31"/>
  </w:num>
  <w:num w:numId="26">
    <w:abstractNumId w:val="2"/>
  </w:num>
  <w:num w:numId="27">
    <w:abstractNumId w:val="13"/>
  </w:num>
  <w:num w:numId="28">
    <w:abstractNumId w:val="15"/>
  </w:num>
  <w:num w:numId="29">
    <w:abstractNumId w:val="29"/>
  </w:num>
  <w:num w:numId="30">
    <w:abstractNumId w:val="4"/>
  </w:num>
  <w:num w:numId="31">
    <w:abstractNumId w:val="8"/>
  </w:num>
  <w:num w:numId="3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5633"/>
    <w:rsid w:val="00007A06"/>
    <w:rsid w:val="000218B6"/>
    <w:rsid w:val="0002461F"/>
    <w:rsid w:val="00027964"/>
    <w:rsid w:val="00032380"/>
    <w:rsid w:val="00054AF7"/>
    <w:rsid w:val="00062609"/>
    <w:rsid w:val="00064185"/>
    <w:rsid w:val="00065963"/>
    <w:rsid w:val="00072BB5"/>
    <w:rsid w:val="000744B1"/>
    <w:rsid w:val="0008159F"/>
    <w:rsid w:val="000842DE"/>
    <w:rsid w:val="0008481A"/>
    <w:rsid w:val="0008481B"/>
    <w:rsid w:val="00087F54"/>
    <w:rsid w:val="000913CE"/>
    <w:rsid w:val="00094375"/>
    <w:rsid w:val="000A4D76"/>
    <w:rsid w:val="000B1E9C"/>
    <w:rsid w:val="000B4C34"/>
    <w:rsid w:val="000B7567"/>
    <w:rsid w:val="000C06E7"/>
    <w:rsid w:val="000C25D7"/>
    <w:rsid w:val="000C44A7"/>
    <w:rsid w:val="000D121A"/>
    <w:rsid w:val="000E74AC"/>
    <w:rsid w:val="000F5749"/>
    <w:rsid w:val="000F751D"/>
    <w:rsid w:val="00107A64"/>
    <w:rsid w:val="001227BC"/>
    <w:rsid w:val="00130F7F"/>
    <w:rsid w:val="001314C7"/>
    <w:rsid w:val="00135FDA"/>
    <w:rsid w:val="00136C9D"/>
    <w:rsid w:val="00143AAE"/>
    <w:rsid w:val="00145C35"/>
    <w:rsid w:val="001625BD"/>
    <w:rsid w:val="00162A80"/>
    <w:rsid w:val="00196D08"/>
    <w:rsid w:val="001A27A6"/>
    <w:rsid w:val="001B075A"/>
    <w:rsid w:val="001B3C6F"/>
    <w:rsid w:val="001B5646"/>
    <w:rsid w:val="001B6060"/>
    <w:rsid w:val="001B610F"/>
    <w:rsid w:val="001D17A1"/>
    <w:rsid w:val="001D3579"/>
    <w:rsid w:val="001E4795"/>
    <w:rsid w:val="001E4818"/>
    <w:rsid w:val="001E630D"/>
    <w:rsid w:val="001E66A6"/>
    <w:rsid w:val="001E7183"/>
    <w:rsid w:val="001E74CA"/>
    <w:rsid w:val="001F5099"/>
    <w:rsid w:val="001F78E6"/>
    <w:rsid w:val="001F7ED0"/>
    <w:rsid w:val="00201F28"/>
    <w:rsid w:val="002032F9"/>
    <w:rsid w:val="0020422A"/>
    <w:rsid w:val="00212F83"/>
    <w:rsid w:val="0022371C"/>
    <w:rsid w:val="00227B7A"/>
    <w:rsid w:val="0025126E"/>
    <w:rsid w:val="00254EB9"/>
    <w:rsid w:val="00266F93"/>
    <w:rsid w:val="0027296F"/>
    <w:rsid w:val="00284DC9"/>
    <w:rsid w:val="00287BA9"/>
    <w:rsid w:val="00290077"/>
    <w:rsid w:val="002966CC"/>
    <w:rsid w:val="002A08E0"/>
    <w:rsid w:val="002A249B"/>
    <w:rsid w:val="002B5535"/>
    <w:rsid w:val="002B643D"/>
    <w:rsid w:val="002C06AC"/>
    <w:rsid w:val="002C7281"/>
    <w:rsid w:val="002D06EB"/>
    <w:rsid w:val="002D737D"/>
    <w:rsid w:val="002E006C"/>
    <w:rsid w:val="002E425E"/>
    <w:rsid w:val="002E47A1"/>
    <w:rsid w:val="002F1F4A"/>
    <w:rsid w:val="002F2B66"/>
    <w:rsid w:val="002F6749"/>
    <w:rsid w:val="00301B44"/>
    <w:rsid w:val="003021F3"/>
    <w:rsid w:val="003107A5"/>
    <w:rsid w:val="00312236"/>
    <w:rsid w:val="003248A6"/>
    <w:rsid w:val="0033276D"/>
    <w:rsid w:val="003352AB"/>
    <w:rsid w:val="0034364B"/>
    <w:rsid w:val="0034572C"/>
    <w:rsid w:val="00352D81"/>
    <w:rsid w:val="00377CBF"/>
    <w:rsid w:val="0038135C"/>
    <w:rsid w:val="00383F5E"/>
    <w:rsid w:val="00386718"/>
    <w:rsid w:val="0039316A"/>
    <w:rsid w:val="00396DD5"/>
    <w:rsid w:val="003A0737"/>
    <w:rsid w:val="003A3B48"/>
    <w:rsid w:val="003B2BB8"/>
    <w:rsid w:val="003B39B7"/>
    <w:rsid w:val="003B5130"/>
    <w:rsid w:val="003D1E44"/>
    <w:rsid w:val="003D34FF"/>
    <w:rsid w:val="003F468C"/>
    <w:rsid w:val="003F709D"/>
    <w:rsid w:val="003F7BC7"/>
    <w:rsid w:val="00400E39"/>
    <w:rsid w:val="004026D3"/>
    <w:rsid w:val="0040482C"/>
    <w:rsid w:val="004072D9"/>
    <w:rsid w:val="00410B2F"/>
    <w:rsid w:val="004322DB"/>
    <w:rsid w:val="0043653D"/>
    <w:rsid w:val="0045248C"/>
    <w:rsid w:val="004549C9"/>
    <w:rsid w:val="004612B7"/>
    <w:rsid w:val="004633FC"/>
    <w:rsid w:val="00464AAF"/>
    <w:rsid w:val="004651A6"/>
    <w:rsid w:val="00482017"/>
    <w:rsid w:val="00484296"/>
    <w:rsid w:val="00484946"/>
    <w:rsid w:val="00487563"/>
    <w:rsid w:val="00493BEE"/>
    <w:rsid w:val="00495E6E"/>
    <w:rsid w:val="004A309F"/>
    <w:rsid w:val="004A3B33"/>
    <w:rsid w:val="004B0FB6"/>
    <w:rsid w:val="004B2693"/>
    <w:rsid w:val="004B2C9F"/>
    <w:rsid w:val="004B54CA"/>
    <w:rsid w:val="004B6F53"/>
    <w:rsid w:val="004C46C4"/>
    <w:rsid w:val="004C5FEB"/>
    <w:rsid w:val="004D4EE6"/>
    <w:rsid w:val="004E1AE7"/>
    <w:rsid w:val="004E1FBE"/>
    <w:rsid w:val="004E5CBF"/>
    <w:rsid w:val="0050007E"/>
    <w:rsid w:val="005114E7"/>
    <w:rsid w:val="005143E5"/>
    <w:rsid w:val="00515A1C"/>
    <w:rsid w:val="00516AFA"/>
    <w:rsid w:val="0052131B"/>
    <w:rsid w:val="00521BBA"/>
    <w:rsid w:val="00522599"/>
    <w:rsid w:val="0052512A"/>
    <w:rsid w:val="00532A9C"/>
    <w:rsid w:val="005519F1"/>
    <w:rsid w:val="00553F2D"/>
    <w:rsid w:val="00555D0D"/>
    <w:rsid w:val="00562A42"/>
    <w:rsid w:val="0056574F"/>
    <w:rsid w:val="00590FBF"/>
    <w:rsid w:val="00592559"/>
    <w:rsid w:val="00597A09"/>
    <w:rsid w:val="00597BB3"/>
    <w:rsid w:val="005A3CD0"/>
    <w:rsid w:val="005A5EF0"/>
    <w:rsid w:val="005B0633"/>
    <w:rsid w:val="005B0673"/>
    <w:rsid w:val="005C27A7"/>
    <w:rsid w:val="005C3AA9"/>
    <w:rsid w:val="005D4273"/>
    <w:rsid w:val="005D68BD"/>
    <w:rsid w:val="005E02B3"/>
    <w:rsid w:val="005E3263"/>
    <w:rsid w:val="005E747A"/>
    <w:rsid w:val="006018B0"/>
    <w:rsid w:val="00607E39"/>
    <w:rsid w:val="00614918"/>
    <w:rsid w:val="00620C2B"/>
    <w:rsid w:val="00621A03"/>
    <w:rsid w:val="00621FC5"/>
    <w:rsid w:val="0062390E"/>
    <w:rsid w:val="00625B5F"/>
    <w:rsid w:val="00630348"/>
    <w:rsid w:val="00633BB5"/>
    <w:rsid w:val="00637B02"/>
    <w:rsid w:val="0065053A"/>
    <w:rsid w:val="00650C36"/>
    <w:rsid w:val="0065293D"/>
    <w:rsid w:val="0066071F"/>
    <w:rsid w:val="00660DE2"/>
    <w:rsid w:val="00663326"/>
    <w:rsid w:val="00663DE1"/>
    <w:rsid w:val="00666008"/>
    <w:rsid w:val="00675944"/>
    <w:rsid w:val="00675AC5"/>
    <w:rsid w:val="00676F55"/>
    <w:rsid w:val="00683A84"/>
    <w:rsid w:val="006877D0"/>
    <w:rsid w:val="00697A46"/>
    <w:rsid w:val="006A2FF7"/>
    <w:rsid w:val="006A4CE7"/>
    <w:rsid w:val="006A571F"/>
    <w:rsid w:val="006B3368"/>
    <w:rsid w:val="006B5759"/>
    <w:rsid w:val="006C235A"/>
    <w:rsid w:val="006C5387"/>
    <w:rsid w:val="006C6BD6"/>
    <w:rsid w:val="006F78DE"/>
    <w:rsid w:val="00700443"/>
    <w:rsid w:val="00700533"/>
    <w:rsid w:val="00701D36"/>
    <w:rsid w:val="00704C2A"/>
    <w:rsid w:val="0070518D"/>
    <w:rsid w:val="00707333"/>
    <w:rsid w:val="00714DC7"/>
    <w:rsid w:val="007266CF"/>
    <w:rsid w:val="00742FDD"/>
    <w:rsid w:val="00746D97"/>
    <w:rsid w:val="00752358"/>
    <w:rsid w:val="00760043"/>
    <w:rsid w:val="00760AE8"/>
    <w:rsid w:val="00771D4B"/>
    <w:rsid w:val="00775A9C"/>
    <w:rsid w:val="00782F12"/>
    <w:rsid w:val="00785261"/>
    <w:rsid w:val="00785761"/>
    <w:rsid w:val="00790F7E"/>
    <w:rsid w:val="00796D5F"/>
    <w:rsid w:val="007B0256"/>
    <w:rsid w:val="007B48CB"/>
    <w:rsid w:val="007C1530"/>
    <w:rsid w:val="007C1D91"/>
    <w:rsid w:val="007C317B"/>
    <w:rsid w:val="007C3B10"/>
    <w:rsid w:val="007C7A07"/>
    <w:rsid w:val="007D4E28"/>
    <w:rsid w:val="007D62C7"/>
    <w:rsid w:val="007E28AB"/>
    <w:rsid w:val="007E700B"/>
    <w:rsid w:val="007F1217"/>
    <w:rsid w:val="007F55CC"/>
    <w:rsid w:val="00811A04"/>
    <w:rsid w:val="008217EE"/>
    <w:rsid w:val="00822121"/>
    <w:rsid w:val="00822AA8"/>
    <w:rsid w:val="0083177B"/>
    <w:rsid w:val="0083240B"/>
    <w:rsid w:val="00834A05"/>
    <w:rsid w:val="008363E4"/>
    <w:rsid w:val="00844C34"/>
    <w:rsid w:val="00860871"/>
    <w:rsid w:val="008719CE"/>
    <w:rsid w:val="00876B1E"/>
    <w:rsid w:val="00876DB3"/>
    <w:rsid w:val="008807F6"/>
    <w:rsid w:val="00880C9C"/>
    <w:rsid w:val="00881AEF"/>
    <w:rsid w:val="00883D2F"/>
    <w:rsid w:val="00891577"/>
    <w:rsid w:val="00894899"/>
    <w:rsid w:val="008A4CD4"/>
    <w:rsid w:val="008B10A4"/>
    <w:rsid w:val="008B1FC9"/>
    <w:rsid w:val="008B2382"/>
    <w:rsid w:val="008B3570"/>
    <w:rsid w:val="008B4038"/>
    <w:rsid w:val="008B4370"/>
    <w:rsid w:val="008B50BE"/>
    <w:rsid w:val="008C13A0"/>
    <w:rsid w:val="008D2F4D"/>
    <w:rsid w:val="008D3A5A"/>
    <w:rsid w:val="008D667D"/>
    <w:rsid w:val="008E35C9"/>
    <w:rsid w:val="008E5649"/>
    <w:rsid w:val="008E5982"/>
    <w:rsid w:val="008E5C12"/>
    <w:rsid w:val="008F0D96"/>
    <w:rsid w:val="008F4643"/>
    <w:rsid w:val="008F68C2"/>
    <w:rsid w:val="008F6B08"/>
    <w:rsid w:val="008F6E78"/>
    <w:rsid w:val="00910D74"/>
    <w:rsid w:val="00911917"/>
    <w:rsid w:val="0091697C"/>
    <w:rsid w:val="009225F0"/>
    <w:rsid w:val="00927B49"/>
    <w:rsid w:val="0093462C"/>
    <w:rsid w:val="0094489E"/>
    <w:rsid w:val="0094729C"/>
    <w:rsid w:val="009520D1"/>
    <w:rsid w:val="00953795"/>
    <w:rsid w:val="009538AF"/>
    <w:rsid w:val="00955BEE"/>
    <w:rsid w:val="00956724"/>
    <w:rsid w:val="00957224"/>
    <w:rsid w:val="00957332"/>
    <w:rsid w:val="009655C2"/>
    <w:rsid w:val="00965650"/>
    <w:rsid w:val="00965A28"/>
    <w:rsid w:val="00972C6C"/>
    <w:rsid w:val="00973FD8"/>
    <w:rsid w:val="00974189"/>
    <w:rsid w:val="00975396"/>
    <w:rsid w:val="00975E94"/>
    <w:rsid w:val="00981BB6"/>
    <w:rsid w:val="00987DFB"/>
    <w:rsid w:val="009906C7"/>
    <w:rsid w:val="00992001"/>
    <w:rsid w:val="009A0DF2"/>
    <w:rsid w:val="009A1B43"/>
    <w:rsid w:val="009A28E1"/>
    <w:rsid w:val="009A7B66"/>
    <w:rsid w:val="009B3614"/>
    <w:rsid w:val="009B4CF4"/>
    <w:rsid w:val="009B5AB0"/>
    <w:rsid w:val="009B6D9E"/>
    <w:rsid w:val="009C002F"/>
    <w:rsid w:val="009C2313"/>
    <w:rsid w:val="009C41C7"/>
    <w:rsid w:val="009C718A"/>
    <w:rsid w:val="009D6C94"/>
    <w:rsid w:val="009F07CE"/>
    <w:rsid w:val="009F397E"/>
    <w:rsid w:val="00A0186B"/>
    <w:rsid w:val="00A028A9"/>
    <w:rsid w:val="00A037CD"/>
    <w:rsid w:val="00A23B5B"/>
    <w:rsid w:val="00A34148"/>
    <w:rsid w:val="00A448FC"/>
    <w:rsid w:val="00A4570B"/>
    <w:rsid w:val="00A505E0"/>
    <w:rsid w:val="00A5142F"/>
    <w:rsid w:val="00A54DB9"/>
    <w:rsid w:val="00A55F73"/>
    <w:rsid w:val="00A606B0"/>
    <w:rsid w:val="00A63F5A"/>
    <w:rsid w:val="00A64017"/>
    <w:rsid w:val="00A64246"/>
    <w:rsid w:val="00A668A0"/>
    <w:rsid w:val="00A732EA"/>
    <w:rsid w:val="00A80F5E"/>
    <w:rsid w:val="00A831D6"/>
    <w:rsid w:val="00A85829"/>
    <w:rsid w:val="00A87E38"/>
    <w:rsid w:val="00A9499A"/>
    <w:rsid w:val="00A951EA"/>
    <w:rsid w:val="00AB6088"/>
    <w:rsid w:val="00AC121B"/>
    <w:rsid w:val="00AE6A1C"/>
    <w:rsid w:val="00AF5412"/>
    <w:rsid w:val="00AF62FC"/>
    <w:rsid w:val="00AF69E3"/>
    <w:rsid w:val="00AF7156"/>
    <w:rsid w:val="00AF7CD8"/>
    <w:rsid w:val="00B01B09"/>
    <w:rsid w:val="00B02929"/>
    <w:rsid w:val="00B04ED8"/>
    <w:rsid w:val="00B055C8"/>
    <w:rsid w:val="00B12B54"/>
    <w:rsid w:val="00B1361C"/>
    <w:rsid w:val="00B20A23"/>
    <w:rsid w:val="00B2491E"/>
    <w:rsid w:val="00B30536"/>
    <w:rsid w:val="00B3627B"/>
    <w:rsid w:val="00B40549"/>
    <w:rsid w:val="00B55359"/>
    <w:rsid w:val="00B6490B"/>
    <w:rsid w:val="00B71893"/>
    <w:rsid w:val="00B71B33"/>
    <w:rsid w:val="00B7313E"/>
    <w:rsid w:val="00B80D9A"/>
    <w:rsid w:val="00B82AB0"/>
    <w:rsid w:val="00B86A62"/>
    <w:rsid w:val="00B875C3"/>
    <w:rsid w:val="00B91E3E"/>
    <w:rsid w:val="00BA22A2"/>
    <w:rsid w:val="00BA2DB9"/>
    <w:rsid w:val="00BA533A"/>
    <w:rsid w:val="00BB264E"/>
    <w:rsid w:val="00BC0387"/>
    <w:rsid w:val="00BC18E2"/>
    <w:rsid w:val="00BC3170"/>
    <w:rsid w:val="00BD0381"/>
    <w:rsid w:val="00BD605B"/>
    <w:rsid w:val="00BE3F25"/>
    <w:rsid w:val="00BE6FD4"/>
    <w:rsid w:val="00BE7148"/>
    <w:rsid w:val="00BF0891"/>
    <w:rsid w:val="00BF4CBA"/>
    <w:rsid w:val="00BF7157"/>
    <w:rsid w:val="00C050E7"/>
    <w:rsid w:val="00C127C7"/>
    <w:rsid w:val="00C13499"/>
    <w:rsid w:val="00C15FC4"/>
    <w:rsid w:val="00C20450"/>
    <w:rsid w:val="00C21A30"/>
    <w:rsid w:val="00C27677"/>
    <w:rsid w:val="00C3543C"/>
    <w:rsid w:val="00C36938"/>
    <w:rsid w:val="00C37A73"/>
    <w:rsid w:val="00C410EF"/>
    <w:rsid w:val="00C41CE0"/>
    <w:rsid w:val="00C43A94"/>
    <w:rsid w:val="00C43D7A"/>
    <w:rsid w:val="00C50630"/>
    <w:rsid w:val="00C53AF2"/>
    <w:rsid w:val="00C54F98"/>
    <w:rsid w:val="00C62233"/>
    <w:rsid w:val="00C755B9"/>
    <w:rsid w:val="00C84DD7"/>
    <w:rsid w:val="00C92349"/>
    <w:rsid w:val="00CA612E"/>
    <w:rsid w:val="00CA6879"/>
    <w:rsid w:val="00CB5863"/>
    <w:rsid w:val="00CC1683"/>
    <w:rsid w:val="00CC6483"/>
    <w:rsid w:val="00CD3466"/>
    <w:rsid w:val="00CE0F4D"/>
    <w:rsid w:val="00D0495A"/>
    <w:rsid w:val="00D056CA"/>
    <w:rsid w:val="00D1030A"/>
    <w:rsid w:val="00D20CA8"/>
    <w:rsid w:val="00D22FFF"/>
    <w:rsid w:val="00D26C98"/>
    <w:rsid w:val="00D317D2"/>
    <w:rsid w:val="00D336DF"/>
    <w:rsid w:val="00D343E0"/>
    <w:rsid w:val="00D35C0C"/>
    <w:rsid w:val="00D37546"/>
    <w:rsid w:val="00D418B5"/>
    <w:rsid w:val="00D43FE0"/>
    <w:rsid w:val="00D53805"/>
    <w:rsid w:val="00D54A7F"/>
    <w:rsid w:val="00D57903"/>
    <w:rsid w:val="00D63B67"/>
    <w:rsid w:val="00D77A09"/>
    <w:rsid w:val="00D846DB"/>
    <w:rsid w:val="00D93F63"/>
    <w:rsid w:val="00DA0468"/>
    <w:rsid w:val="00DA227A"/>
    <w:rsid w:val="00DA243A"/>
    <w:rsid w:val="00DB54A0"/>
    <w:rsid w:val="00DB6668"/>
    <w:rsid w:val="00DC4167"/>
    <w:rsid w:val="00DC647A"/>
    <w:rsid w:val="00DD0A03"/>
    <w:rsid w:val="00DD6039"/>
    <w:rsid w:val="00E004AD"/>
    <w:rsid w:val="00E066EF"/>
    <w:rsid w:val="00E104B3"/>
    <w:rsid w:val="00E1068A"/>
    <w:rsid w:val="00E14B0C"/>
    <w:rsid w:val="00E17CC9"/>
    <w:rsid w:val="00E273E4"/>
    <w:rsid w:val="00E27DF0"/>
    <w:rsid w:val="00E37F9D"/>
    <w:rsid w:val="00E65712"/>
    <w:rsid w:val="00E732EA"/>
    <w:rsid w:val="00E8258F"/>
    <w:rsid w:val="00E85A36"/>
    <w:rsid w:val="00E904ED"/>
    <w:rsid w:val="00E97622"/>
    <w:rsid w:val="00EA6EC0"/>
    <w:rsid w:val="00EA74FB"/>
    <w:rsid w:val="00EB2A7A"/>
    <w:rsid w:val="00EB5AA3"/>
    <w:rsid w:val="00EB62BE"/>
    <w:rsid w:val="00EB7D1D"/>
    <w:rsid w:val="00EC0B54"/>
    <w:rsid w:val="00EC476F"/>
    <w:rsid w:val="00EC58DD"/>
    <w:rsid w:val="00EE4694"/>
    <w:rsid w:val="00EE67C1"/>
    <w:rsid w:val="00EF1DB7"/>
    <w:rsid w:val="00EF2C6E"/>
    <w:rsid w:val="00EF7D0A"/>
    <w:rsid w:val="00F00134"/>
    <w:rsid w:val="00F045B2"/>
    <w:rsid w:val="00F16EBD"/>
    <w:rsid w:val="00F232EB"/>
    <w:rsid w:val="00F30AFE"/>
    <w:rsid w:val="00F34CDB"/>
    <w:rsid w:val="00F35B3F"/>
    <w:rsid w:val="00F36AAD"/>
    <w:rsid w:val="00F37591"/>
    <w:rsid w:val="00F43B91"/>
    <w:rsid w:val="00F441F3"/>
    <w:rsid w:val="00F459C7"/>
    <w:rsid w:val="00F47CC6"/>
    <w:rsid w:val="00F52039"/>
    <w:rsid w:val="00F530FF"/>
    <w:rsid w:val="00F60B29"/>
    <w:rsid w:val="00F660C4"/>
    <w:rsid w:val="00F714D1"/>
    <w:rsid w:val="00F80404"/>
    <w:rsid w:val="00F8158A"/>
    <w:rsid w:val="00F82F3F"/>
    <w:rsid w:val="00F83AB6"/>
    <w:rsid w:val="00F84EB8"/>
    <w:rsid w:val="00FA1E2D"/>
    <w:rsid w:val="00FA6EE1"/>
    <w:rsid w:val="00FA7E9F"/>
    <w:rsid w:val="00FB6BBE"/>
    <w:rsid w:val="00FB6BEB"/>
    <w:rsid w:val="00FC59E6"/>
    <w:rsid w:val="00FC6D39"/>
    <w:rsid w:val="00FD1F0F"/>
    <w:rsid w:val="00FD75A9"/>
    <w:rsid w:val="00FD7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abilitygateway.gov.au/document/3141" TargetMode="External"/><Relationship Id="rId18" Type="http://schemas.openxmlformats.org/officeDocument/2006/relationships/hyperlink" Target="http://www.qld.gov.au/qld-disability-pl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discommission.gov.au/evidencematters" TargetMode="External"/><Relationship Id="rId7" Type="http://schemas.openxmlformats.org/officeDocument/2006/relationships/footnotes" Target="foot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hyperlink" Target="https://www.ndiscommission.gov.au/participants/incidents-and-behaviour-support/understanding-behaviour-support-and-restrictive-pract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disabilitygateway.gov.au/document/3176" TargetMode="External"/><Relationship Id="rId23" Type="http://schemas.openxmlformats.org/officeDocument/2006/relationships/hyperlink" Target="https://www.ndiscommission.gov.au/workerresources" TargetMode="External"/><Relationship Id="rId10" Type="http://schemas.openxmlformats.org/officeDocument/2006/relationships/hyperlink" Target="mailto:communication@dss.gov.au" TargetMode="External"/><Relationship Id="rId19" Type="http://schemas.openxmlformats.org/officeDocument/2006/relationships/hyperlink" Target="https://www.disabilitygateway.gov.au/ads-queensland-forum"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6" TargetMode="External"/><Relationship Id="rId22" Type="http://schemas.openxmlformats.org/officeDocument/2006/relationships/hyperlink" Target="https://www.ndiscommission.gov.au/medicinesfo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6A10-CB2B-4D8F-B253-F8BB284D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8450</Words>
  <Characters>48165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56502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2023-12-14T05:49:00Z</dcterms:created>
  <dcterms:modified xsi:type="dcterms:W3CDTF">2024-01-24T04:24:00Z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