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D76F6" w14:textId="2AA18591" w:rsidR="00881AEF" w:rsidRPr="003E3C14" w:rsidRDefault="0003011A" w:rsidP="004E1AE7">
      <w:pPr>
        <w:pStyle w:val="Title"/>
      </w:pPr>
      <w:r w:rsidRPr="003E3C14">
        <w:t>Informe sobre los Planes de Acción Específica</w:t>
      </w:r>
    </w:p>
    <w:p w14:paraId="3E597896" w14:textId="695749A7" w:rsidR="00881AEF" w:rsidRPr="003E3C14" w:rsidRDefault="0003011A" w:rsidP="00883D2F">
      <w:pPr>
        <w:spacing w:before="240" w:after="240"/>
        <w:rPr>
          <w:sz w:val="56"/>
          <w:szCs w:val="56"/>
        </w:rPr>
      </w:pPr>
      <w:r w:rsidRPr="003E3C14">
        <w:rPr>
          <w:sz w:val="56"/>
          <w:szCs w:val="56"/>
        </w:rPr>
        <w:t xml:space="preserve">Del 1̊ de </w:t>
      </w:r>
      <w:proofErr w:type="gramStart"/>
      <w:r w:rsidRPr="003E3C14">
        <w:rPr>
          <w:sz w:val="56"/>
          <w:szCs w:val="56"/>
        </w:rPr>
        <w:t>julio</w:t>
      </w:r>
      <w:proofErr w:type="gramEnd"/>
      <w:r w:rsidRPr="003E3C14">
        <w:rPr>
          <w:sz w:val="56"/>
          <w:szCs w:val="56"/>
        </w:rPr>
        <w:t xml:space="preserve"> de 2022 al 30 de junio de 2023</w:t>
      </w:r>
    </w:p>
    <w:p w14:paraId="3BCBD241" w14:textId="03C318CC" w:rsidR="00881AEF" w:rsidRPr="003E3C14" w:rsidRDefault="0003011A" w:rsidP="0003011A">
      <w:pPr>
        <w:spacing w:before="240" w:after="240"/>
        <w:rPr>
          <w:sz w:val="34"/>
          <w:szCs w:val="34"/>
        </w:rPr>
      </w:pPr>
      <w:r w:rsidRPr="003E3C14">
        <w:rPr>
          <w:sz w:val="34"/>
          <w:szCs w:val="34"/>
        </w:rPr>
        <w:t>Estrategia para la Discapacidad de Australia (Australia's Disability Strategy) 2021-2031</w:t>
      </w:r>
    </w:p>
    <w:p w14:paraId="45937412" w14:textId="77777777" w:rsidR="000842DE" w:rsidRPr="003E3C14" w:rsidRDefault="000842DE" w:rsidP="008807F6"/>
    <w:p w14:paraId="10843787" w14:textId="77777777" w:rsidR="0065053A" w:rsidRPr="003E3C14" w:rsidRDefault="0065053A" w:rsidP="008807F6">
      <w:pPr>
        <w:sectPr w:rsidR="0065053A" w:rsidRPr="003E3C14" w:rsidSect="009538AF">
          <w:pgSz w:w="11906" w:h="16838" w:code="9"/>
          <w:pgMar w:top="1440" w:right="1440" w:bottom="1440" w:left="1440" w:header="706" w:footer="706" w:gutter="0"/>
          <w:cols w:space="708"/>
          <w:docGrid w:linePitch="360"/>
        </w:sectPr>
      </w:pPr>
    </w:p>
    <w:p w14:paraId="040D21BD" w14:textId="7CDD3034" w:rsidR="00FB6BEB" w:rsidRPr="003E3C14" w:rsidRDefault="007279CA" w:rsidP="00FB6BEB">
      <w:pPr>
        <w:spacing w:after="0" w:line="240" w:lineRule="auto"/>
        <w:rPr>
          <w:rFonts w:asciiTheme="minorHAnsi" w:hAnsiTheme="minorHAnsi" w:cstheme="minorHAnsi"/>
        </w:rPr>
      </w:pPr>
      <w:r w:rsidRPr="003E3C14">
        <w:rPr>
          <w:rFonts w:cs="Arial"/>
          <w:lang w:val="es-ES"/>
        </w:rPr>
        <w:lastRenderedPageBreak/>
        <w:t>Este documento,</w:t>
      </w:r>
      <w:r w:rsidRPr="003E3C14">
        <w:rPr>
          <w:lang w:val="es-ES"/>
        </w:rPr>
        <w:t xml:space="preserve"> </w:t>
      </w:r>
      <w:r w:rsidRPr="003E3C14">
        <w:rPr>
          <w:rFonts w:cs="Arial"/>
          <w:lang w:val="es-ES"/>
        </w:rPr>
        <w:t>Informe sobre los Planes de Acción Específica, del 1̊ de julio de 2022 al 30 de junio de 2023, Estrategia para la Discapacidad de Australia 2021-2031, se facilita bajo la Licencia internacional de Creative Commons Attribution 4.0 (Creative Commons Attribution 4.0 International Licence), con la excepción de:</w:t>
      </w:r>
    </w:p>
    <w:p w14:paraId="10A2AF35" w14:textId="6D3FFCB3" w:rsidR="00FB6BEB" w:rsidRPr="003E3C14" w:rsidRDefault="007279CA" w:rsidP="00B709F1">
      <w:pPr>
        <w:pStyle w:val="ListParagraph"/>
        <w:numPr>
          <w:ilvl w:val="0"/>
          <w:numId w:val="15"/>
        </w:numPr>
        <w:spacing w:before="240" w:after="120" w:line="240" w:lineRule="auto"/>
        <w:contextualSpacing w:val="0"/>
        <w:rPr>
          <w:rFonts w:asciiTheme="minorHAnsi" w:hAnsiTheme="minorHAnsi" w:cstheme="minorHAnsi"/>
        </w:rPr>
      </w:pPr>
      <w:r w:rsidRPr="003E3C14">
        <w:rPr>
          <w:rFonts w:cs="Arial"/>
          <w:lang w:val="es-ES"/>
        </w:rPr>
        <w:t>El Logotipo y la marca de la Estrategia para la Discapacidad de Australia 2021-2031</w:t>
      </w:r>
    </w:p>
    <w:p w14:paraId="4C2833E8" w14:textId="6B6E6AD4" w:rsidR="00FB6BEB" w:rsidRPr="003E3C14" w:rsidRDefault="007279CA" w:rsidP="00B709F1">
      <w:pPr>
        <w:pStyle w:val="ListParagraph"/>
        <w:numPr>
          <w:ilvl w:val="0"/>
          <w:numId w:val="15"/>
        </w:numPr>
        <w:spacing w:before="120" w:after="120" w:line="240" w:lineRule="auto"/>
        <w:contextualSpacing w:val="0"/>
        <w:rPr>
          <w:rFonts w:asciiTheme="minorHAnsi" w:hAnsiTheme="minorHAnsi" w:cstheme="minorHAnsi"/>
        </w:rPr>
      </w:pPr>
      <w:r w:rsidRPr="003E3C14">
        <w:rPr>
          <w:rFonts w:cs="Arial"/>
          <w:lang w:val="es-ES"/>
        </w:rPr>
        <w:t>Cualquier material de terceros</w:t>
      </w:r>
    </w:p>
    <w:p w14:paraId="3D5C3934" w14:textId="35C5E551" w:rsidR="00FB6BEB" w:rsidRPr="003E3C14" w:rsidRDefault="007279CA" w:rsidP="00B709F1">
      <w:pPr>
        <w:pStyle w:val="ListParagraph"/>
        <w:numPr>
          <w:ilvl w:val="0"/>
          <w:numId w:val="15"/>
        </w:numPr>
        <w:spacing w:before="120" w:after="120" w:line="240" w:lineRule="auto"/>
        <w:contextualSpacing w:val="0"/>
        <w:rPr>
          <w:rFonts w:asciiTheme="minorHAnsi" w:hAnsiTheme="minorHAnsi" w:cstheme="minorHAnsi"/>
        </w:rPr>
      </w:pPr>
      <w:r w:rsidRPr="003E3C14">
        <w:rPr>
          <w:rFonts w:cs="Arial"/>
          <w:lang w:val="es-ES"/>
        </w:rPr>
        <w:t>Todas las imágenes y/o fotografías.</w:t>
      </w:r>
    </w:p>
    <w:p w14:paraId="496D6FE9" w14:textId="458D2012" w:rsidR="00FB6BEB" w:rsidRPr="003E3C14" w:rsidRDefault="007279CA" w:rsidP="000842DE">
      <w:pPr>
        <w:spacing w:before="240" w:after="0" w:line="240" w:lineRule="auto"/>
        <w:rPr>
          <w:rFonts w:asciiTheme="minorHAnsi" w:hAnsiTheme="minorHAnsi" w:cstheme="minorHAnsi"/>
        </w:rPr>
      </w:pPr>
      <w:r w:rsidRPr="003E3C14">
        <w:rPr>
          <w:rFonts w:cs="Arial"/>
          <w:lang w:val="es-ES"/>
        </w:rPr>
        <w:t>Encontrará más información de esta licencia CC By en el sitio web de Creative Commons:</w:t>
      </w:r>
      <w:r w:rsidR="00FB6BEB" w:rsidRPr="003E3C14">
        <w:rPr>
          <w:rFonts w:asciiTheme="minorHAnsi" w:hAnsiTheme="minorHAnsi" w:cstheme="minorHAnsi"/>
        </w:rPr>
        <w:t xml:space="preserve"> </w:t>
      </w:r>
    </w:p>
    <w:p w14:paraId="066B238D" w14:textId="50BED261" w:rsidR="00FB6BEB" w:rsidRPr="003E3C14" w:rsidRDefault="007354AB" w:rsidP="00FB6BEB">
      <w:pPr>
        <w:spacing w:after="0" w:line="240" w:lineRule="auto"/>
        <w:rPr>
          <w:rFonts w:asciiTheme="minorHAnsi" w:hAnsiTheme="minorHAnsi" w:cstheme="minorHAnsi"/>
        </w:rPr>
      </w:pPr>
      <w:hyperlink r:id="rId9" w:history="1">
        <w:r w:rsidR="008E5C12" w:rsidRPr="003E3C14">
          <w:rPr>
            <w:rStyle w:val="Hyperlink"/>
            <w:rFonts w:asciiTheme="minorHAnsi" w:hAnsiTheme="minorHAnsi" w:cstheme="minorHAnsi"/>
          </w:rPr>
          <w:t>https://creativecommons.org/licenses/by/4.0/legalcode</w:t>
        </w:r>
      </w:hyperlink>
    </w:p>
    <w:p w14:paraId="6CDCD157" w14:textId="72202322" w:rsidR="00FB6BEB" w:rsidRPr="003E3C14" w:rsidRDefault="007279CA" w:rsidP="000842DE">
      <w:pPr>
        <w:spacing w:before="240" w:after="0" w:line="240" w:lineRule="auto"/>
        <w:rPr>
          <w:rFonts w:asciiTheme="minorHAnsi" w:hAnsiTheme="minorHAnsi" w:cstheme="minorHAnsi"/>
        </w:rPr>
      </w:pPr>
      <w:r w:rsidRPr="003E3C14">
        <w:rPr>
          <w:rFonts w:cs="Arial"/>
          <w:lang w:val="es-ES"/>
        </w:rPr>
        <w:t>Atribución</w:t>
      </w:r>
      <w:r w:rsidR="00FB6BEB" w:rsidRPr="003E3C14">
        <w:rPr>
          <w:rFonts w:asciiTheme="minorHAnsi" w:hAnsiTheme="minorHAnsi" w:cstheme="minorHAnsi"/>
        </w:rPr>
        <w:t xml:space="preserve"> </w:t>
      </w:r>
    </w:p>
    <w:p w14:paraId="3AD5EC4C" w14:textId="06779DD8" w:rsidR="00FB6BEB" w:rsidRPr="003E3C14" w:rsidRDefault="007279CA" w:rsidP="000842DE">
      <w:pPr>
        <w:spacing w:before="240" w:after="0" w:line="240" w:lineRule="auto"/>
        <w:rPr>
          <w:rFonts w:asciiTheme="minorHAnsi" w:hAnsiTheme="minorHAnsi" w:cstheme="minorHAnsi"/>
        </w:rPr>
      </w:pPr>
      <w:r w:rsidRPr="003E3C14">
        <w:rPr>
          <w:rFonts w:cs="Arial"/>
          <w:lang w:val="es-ES"/>
        </w:rPr>
        <w:t xml:space="preserve">El uso de todo o parte de este documento debe incluir la siguiente atribución: </w:t>
      </w:r>
      <w:r w:rsidR="00FB6BEB" w:rsidRPr="003E3C14">
        <w:rPr>
          <w:rFonts w:asciiTheme="minorHAnsi" w:hAnsiTheme="minorHAnsi" w:cstheme="minorHAnsi"/>
        </w:rPr>
        <w:t xml:space="preserve">© Commonwealth of Australia (Department of Social Services) 2023 </w:t>
      </w:r>
    </w:p>
    <w:p w14:paraId="13448D78" w14:textId="4A4CA352" w:rsidR="008C13A0" w:rsidRPr="003E3C14" w:rsidRDefault="007279CA" w:rsidP="000842DE">
      <w:pPr>
        <w:spacing w:before="240" w:after="0" w:line="240" w:lineRule="auto"/>
        <w:rPr>
          <w:rFonts w:asciiTheme="minorHAnsi" w:hAnsiTheme="minorHAnsi" w:cstheme="minorHAnsi"/>
        </w:rPr>
      </w:pPr>
      <w:r w:rsidRPr="003E3C14">
        <w:rPr>
          <w:rFonts w:cs="Arial"/>
          <w:lang w:val="es-ES"/>
        </w:rPr>
        <w:t>Las consultas acerca de disposiciones de derechos de autor y cualquier uso de esta información se pueden enviar al Departamento de Servicios Sociales (Department of Social Services):</w:t>
      </w:r>
    </w:p>
    <w:p w14:paraId="6CB2C241" w14:textId="396E7995" w:rsidR="00FB6BEB" w:rsidRPr="003E3C14" w:rsidRDefault="007279CA" w:rsidP="000842DE">
      <w:pPr>
        <w:spacing w:before="240" w:after="0" w:line="240" w:lineRule="auto"/>
        <w:rPr>
          <w:rFonts w:asciiTheme="minorHAnsi" w:hAnsiTheme="minorHAnsi" w:cstheme="minorHAnsi"/>
        </w:rPr>
      </w:pPr>
      <w:r w:rsidRPr="003E3C14">
        <w:rPr>
          <w:rFonts w:cs="Arial"/>
          <w:lang w:val="es-ES"/>
        </w:rPr>
        <w:t>Por correo electrónico:</w:t>
      </w:r>
      <w:r w:rsidR="00FB6BEB" w:rsidRPr="003E3C14">
        <w:rPr>
          <w:rFonts w:asciiTheme="minorHAnsi" w:hAnsiTheme="minorHAnsi" w:cstheme="minorHAnsi"/>
        </w:rPr>
        <w:t xml:space="preserve"> </w:t>
      </w:r>
      <w:hyperlink r:id="rId10" w:history="1">
        <w:r w:rsidR="008C13A0" w:rsidRPr="003E3C14">
          <w:rPr>
            <w:rStyle w:val="Hyperlink"/>
            <w:rFonts w:asciiTheme="minorHAnsi" w:hAnsiTheme="minorHAnsi" w:cstheme="minorHAnsi"/>
          </w:rPr>
          <w:t>communication@dss.gov.au</w:t>
        </w:r>
      </w:hyperlink>
    </w:p>
    <w:p w14:paraId="05644BE3" w14:textId="59324B9B" w:rsidR="00881AEF" w:rsidRPr="003E3C14" w:rsidRDefault="007279CA" w:rsidP="008C13A0">
      <w:pPr>
        <w:spacing w:before="240" w:after="0" w:line="240" w:lineRule="auto"/>
        <w:rPr>
          <w:rFonts w:asciiTheme="minorHAnsi" w:hAnsiTheme="minorHAnsi" w:cstheme="minorHAnsi"/>
        </w:rPr>
      </w:pPr>
      <w:r w:rsidRPr="003E3C14">
        <w:rPr>
          <w:rFonts w:cs="Arial"/>
          <w:lang w:val="es-ES"/>
        </w:rPr>
        <w:t xml:space="preserve">Por correo postal: </w:t>
      </w:r>
      <w:r w:rsidR="00FB6BEB" w:rsidRPr="003E3C14">
        <w:rPr>
          <w:rFonts w:asciiTheme="minorHAnsi" w:hAnsiTheme="minorHAnsi" w:cstheme="minorHAnsi"/>
        </w:rPr>
        <w:t>Corporate Communication and Media Relations Branch Department of Social Services, GPO Box 9820, Canberra ACT 2601</w:t>
      </w:r>
    </w:p>
    <w:p w14:paraId="271427AA" w14:textId="77777777" w:rsidR="00BE6FD4" w:rsidRPr="003E3C14" w:rsidRDefault="00BE6FD4">
      <w:pPr>
        <w:sectPr w:rsidR="00BE6FD4" w:rsidRPr="003E3C14" w:rsidSect="00BE6FD4">
          <w:footerReference w:type="default" r:id="rId11"/>
          <w:pgSz w:w="11906" w:h="16838" w:code="9"/>
          <w:pgMar w:top="1440" w:right="1440" w:bottom="1440" w:left="1440" w:header="706" w:footer="706" w:gutter="0"/>
          <w:pgNumType w:fmt="upperRoman" w:start="2"/>
          <w:cols w:space="708"/>
          <w:docGrid w:linePitch="360"/>
        </w:sectPr>
      </w:pPr>
    </w:p>
    <w:p w14:paraId="1C3930AC" w14:textId="0B835C86" w:rsidR="008C13A0" w:rsidRPr="003E3C14" w:rsidRDefault="007279CA" w:rsidP="008C13A0">
      <w:pPr>
        <w:pStyle w:val="Heading1"/>
      </w:pPr>
      <w:bookmarkStart w:id="0" w:name="_Toc153314026"/>
      <w:r w:rsidRPr="003E3C14">
        <w:lastRenderedPageBreak/>
        <w:t>Índice</w:t>
      </w:r>
      <w:bookmarkEnd w:id="0"/>
    </w:p>
    <w:sdt>
      <w:sdtPr>
        <w:rPr>
          <w:b/>
          <w:bCs/>
        </w:rPr>
        <w:id w:val="-202179485"/>
        <w:docPartObj>
          <w:docPartGallery w:val="Table of Contents"/>
          <w:docPartUnique/>
        </w:docPartObj>
      </w:sdtPr>
      <w:sdtEndPr>
        <w:rPr>
          <w:b w:val="0"/>
          <w:bCs w:val="0"/>
          <w:noProof/>
        </w:rPr>
      </w:sdtEndPr>
      <w:sdtContent>
        <w:p w14:paraId="7F00773C" w14:textId="0FFB3717" w:rsidR="00033E53" w:rsidRDefault="008E5C12" w:rsidP="00033E53">
          <w:pPr>
            <w:rPr>
              <w:rFonts w:asciiTheme="minorHAnsi" w:eastAsiaTheme="minorEastAsia" w:hAnsiTheme="minorHAnsi"/>
              <w:noProof/>
              <w:lang w:val="en-US"/>
            </w:rPr>
          </w:pPr>
          <w:r w:rsidRPr="003E3C14">
            <w:fldChar w:fldCharType="begin"/>
          </w:r>
          <w:r w:rsidRPr="003E3C14">
            <w:instrText xml:space="preserve"> TOC \o "1-3" \h \z \u </w:instrText>
          </w:r>
          <w:r w:rsidRPr="003E3C14">
            <w:fldChar w:fldCharType="separate"/>
          </w:r>
        </w:p>
        <w:p w14:paraId="4FEB2B10" w14:textId="77777777" w:rsidR="00033E53" w:rsidRDefault="007354AB">
          <w:pPr>
            <w:pStyle w:val="TOC1"/>
            <w:tabs>
              <w:tab w:val="right" w:leader="dot" w:pos="9016"/>
            </w:tabs>
            <w:rPr>
              <w:rFonts w:asciiTheme="minorHAnsi" w:eastAsiaTheme="minorEastAsia" w:hAnsiTheme="minorHAnsi"/>
              <w:noProof/>
              <w:lang w:val="en-US"/>
            </w:rPr>
          </w:pPr>
          <w:hyperlink w:anchor="_Toc153314027" w:history="1">
            <w:r w:rsidR="00033E53" w:rsidRPr="00530481">
              <w:rPr>
                <w:rStyle w:val="Hyperlink"/>
                <w:rFonts w:cs="Arial"/>
                <w:noProof/>
                <w:lang w:val="es-ES"/>
              </w:rPr>
              <w:t>Introducción</w:t>
            </w:r>
            <w:r w:rsidR="00033E53">
              <w:rPr>
                <w:noProof/>
                <w:webHidden/>
              </w:rPr>
              <w:tab/>
            </w:r>
            <w:r w:rsidR="00033E53">
              <w:rPr>
                <w:noProof/>
                <w:webHidden/>
              </w:rPr>
              <w:fldChar w:fldCharType="begin"/>
            </w:r>
            <w:r w:rsidR="00033E53">
              <w:rPr>
                <w:noProof/>
                <w:webHidden/>
              </w:rPr>
              <w:instrText xml:space="preserve"> PAGEREF _Toc153314027 \h </w:instrText>
            </w:r>
            <w:r w:rsidR="00033E53">
              <w:rPr>
                <w:noProof/>
                <w:webHidden/>
              </w:rPr>
            </w:r>
            <w:r w:rsidR="00033E53">
              <w:rPr>
                <w:noProof/>
                <w:webHidden/>
              </w:rPr>
              <w:fldChar w:fldCharType="separate"/>
            </w:r>
            <w:r w:rsidR="00033E53">
              <w:rPr>
                <w:noProof/>
                <w:webHidden/>
              </w:rPr>
              <w:t>2</w:t>
            </w:r>
            <w:r w:rsidR="00033E53">
              <w:rPr>
                <w:noProof/>
                <w:webHidden/>
              </w:rPr>
              <w:fldChar w:fldCharType="end"/>
            </w:r>
          </w:hyperlink>
        </w:p>
        <w:p w14:paraId="0BDFDECE" w14:textId="77777777" w:rsidR="00033E53" w:rsidRDefault="007354AB">
          <w:pPr>
            <w:pStyle w:val="TOC1"/>
            <w:tabs>
              <w:tab w:val="right" w:leader="dot" w:pos="9016"/>
            </w:tabs>
            <w:rPr>
              <w:rFonts w:asciiTheme="minorHAnsi" w:eastAsiaTheme="minorEastAsia" w:hAnsiTheme="minorHAnsi"/>
              <w:noProof/>
              <w:lang w:val="en-US"/>
            </w:rPr>
          </w:pPr>
          <w:hyperlink w:anchor="_Toc153314028" w:history="1">
            <w:r w:rsidR="00033E53" w:rsidRPr="00530481">
              <w:rPr>
                <w:rStyle w:val="Hyperlink"/>
                <w:rFonts w:cs="Arial"/>
                <w:noProof/>
                <w:lang w:val="es-ES"/>
              </w:rPr>
              <w:t>Progreso Nacional</w:t>
            </w:r>
            <w:r w:rsidR="00033E53">
              <w:rPr>
                <w:noProof/>
                <w:webHidden/>
              </w:rPr>
              <w:tab/>
            </w:r>
            <w:r w:rsidR="00033E53">
              <w:rPr>
                <w:noProof/>
                <w:webHidden/>
              </w:rPr>
              <w:fldChar w:fldCharType="begin"/>
            </w:r>
            <w:r w:rsidR="00033E53">
              <w:rPr>
                <w:noProof/>
                <w:webHidden/>
              </w:rPr>
              <w:instrText xml:space="preserve"> PAGEREF _Toc153314028 \h </w:instrText>
            </w:r>
            <w:r w:rsidR="00033E53">
              <w:rPr>
                <w:noProof/>
                <w:webHidden/>
              </w:rPr>
            </w:r>
            <w:r w:rsidR="00033E53">
              <w:rPr>
                <w:noProof/>
                <w:webHidden/>
              </w:rPr>
              <w:fldChar w:fldCharType="separate"/>
            </w:r>
            <w:r w:rsidR="00033E53">
              <w:rPr>
                <w:noProof/>
                <w:webHidden/>
              </w:rPr>
              <w:t>5</w:t>
            </w:r>
            <w:r w:rsidR="00033E53">
              <w:rPr>
                <w:noProof/>
                <w:webHidden/>
              </w:rPr>
              <w:fldChar w:fldCharType="end"/>
            </w:r>
          </w:hyperlink>
        </w:p>
        <w:p w14:paraId="26733E15" w14:textId="77777777" w:rsidR="00033E53" w:rsidRDefault="007354AB">
          <w:pPr>
            <w:pStyle w:val="TOC1"/>
            <w:tabs>
              <w:tab w:val="right" w:leader="dot" w:pos="9016"/>
            </w:tabs>
            <w:rPr>
              <w:rFonts w:asciiTheme="minorHAnsi" w:eastAsiaTheme="minorEastAsia" w:hAnsiTheme="minorHAnsi"/>
              <w:noProof/>
              <w:lang w:val="en-US"/>
            </w:rPr>
          </w:pPr>
          <w:hyperlink w:anchor="_Toc153314029" w:history="1">
            <w:r w:rsidR="00033E53" w:rsidRPr="00530481">
              <w:rPr>
                <w:rStyle w:val="Hyperlink"/>
                <w:rFonts w:cs="Arial"/>
                <w:noProof/>
                <w:lang w:val="es-ES"/>
              </w:rPr>
              <w:t>Plan de Acción Específica de Empleo</w:t>
            </w:r>
            <w:r w:rsidR="00033E53">
              <w:rPr>
                <w:noProof/>
                <w:webHidden/>
              </w:rPr>
              <w:tab/>
            </w:r>
            <w:r w:rsidR="00033E53">
              <w:rPr>
                <w:noProof/>
                <w:webHidden/>
              </w:rPr>
              <w:fldChar w:fldCharType="begin"/>
            </w:r>
            <w:r w:rsidR="00033E53">
              <w:rPr>
                <w:noProof/>
                <w:webHidden/>
              </w:rPr>
              <w:instrText xml:space="preserve"> PAGEREF _Toc153314029 \h </w:instrText>
            </w:r>
            <w:r w:rsidR="00033E53">
              <w:rPr>
                <w:noProof/>
                <w:webHidden/>
              </w:rPr>
            </w:r>
            <w:r w:rsidR="00033E53">
              <w:rPr>
                <w:noProof/>
                <w:webHidden/>
              </w:rPr>
              <w:fldChar w:fldCharType="separate"/>
            </w:r>
            <w:r w:rsidR="00033E53">
              <w:rPr>
                <w:noProof/>
                <w:webHidden/>
              </w:rPr>
              <w:t>8</w:t>
            </w:r>
            <w:r w:rsidR="00033E53">
              <w:rPr>
                <w:noProof/>
                <w:webHidden/>
              </w:rPr>
              <w:fldChar w:fldCharType="end"/>
            </w:r>
          </w:hyperlink>
        </w:p>
        <w:p w14:paraId="424FF4C7" w14:textId="77777777" w:rsidR="00033E53" w:rsidRDefault="007354AB">
          <w:pPr>
            <w:pStyle w:val="TOC1"/>
            <w:tabs>
              <w:tab w:val="right" w:leader="dot" w:pos="9016"/>
            </w:tabs>
            <w:rPr>
              <w:rFonts w:asciiTheme="minorHAnsi" w:eastAsiaTheme="minorEastAsia" w:hAnsiTheme="minorHAnsi"/>
              <w:noProof/>
              <w:lang w:val="en-US"/>
            </w:rPr>
          </w:pPr>
          <w:hyperlink w:anchor="_Toc153314032" w:history="1">
            <w:r w:rsidR="00033E53" w:rsidRPr="00530481">
              <w:rPr>
                <w:rStyle w:val="Hyperlink"/>
                <w:rFonts w:cs="Arial"/>
                <w:noProof/>
                <w:lang w:val="es-ES"/>
              </w:rPr>
              <w:t>Plan de Acción Específica de Actitudes en la Comunidad</w:t>
            </w:r>
            <w:r w:rsidR="00033E53">
              <w:rPr>
                <w:noProof/>
                <w:webHidden/>
              </w:rPr>
              <w:tab/>
            </w:r>
            <w:r w:rsidR="00033E53">
              <w:rPr>
                <w:noProof/>
                <w:webHidden/>
              </w:rPr>
              <w:fldChar w:fldCharType="begin"/>
            </w:r>
            <w:r w:rsidR="00033E53">
              <w:rPr>
                <w:noProof/>
                <w:webHidden/>
              </w:rPr>
              <w:instrText xml:space="preserve"> PAGEREF _Toc153314032 \h </w:instrText>
            </w:r>
            <w:r w:rsidR="00033E53">
              <w:rPr>
                <w:noProof/>
                <w:webHidden/>
              </w:rPr>
            </w:r>
            <w:r w:rsidR="00033E53">
              <w:rPr>
                <w:noProof/>
                <w:webHidden/>
              </w:rPr>
              <w:fldChar w:fldCharType="separate"/>
            </w:r>
            <w:r w:rsidR="00033E53">
              <w:rPr>
                <w:noProof/>
                <w:webHidden/>
              </w:rPr>
              <w:t>10</w:t>
            </w:r>
            <w:r w:rsidR="00033E53">
              <w:rPr>
                <w:noProof/>
                <w:webHidden/>
              </w:rPr>
              <w:fldChar w:fldCharType="end"/>
            </w:r>
          </w:hyperlink>
        </w:p>
        <w:p w14:paraId="11A253F4" w14:textId="77777777" w:rsidR="00033E53" w:rsidRDefault="007354AB">
          <w:pPr>
            <w:pStyle w:val="TOC1"/>
            <w:tabs>
              <w:tab w:val="right" w:leader="dot" w:pos="9016"/>
            </w:tabs>
            <w:rPr>
              <w:rFonts w:asciiTheme="minorHAnsi" w:eastAsiaTheme="minorEastAsia" w:hAnsiTheme="minorHAnsi"/>
              <w:noProof/>
              <w:lang w:val="en-US"/>
            </w:rPr>
          </w:pPr>
          <w:hyperlink w:anchor="_Toc153314035" w:history="1">
            <w:r w:rsidR="00033E53" w:rsidRPr="00530481">
              <w:rPr>
                <w:rStyle w:val="Hyperlink"/>
                <w:rFonts w:cs="Arial"/>
                <w:noProof/>
                <w:lang w:val="es-ES"/>
              </w:rPr>
              <w:t>Plan de Acción Específica de la Primera Infancia</w:t>
            </w:r>
            <w:r w:rsidR="00033E53">
              <w:rPr>
                <w:noProof/>
                <w:webHidden/>
              </w:rPr>
              <w:tab/>
            </w:r>
            <w:r w:rsidR="00033E53">
              <w:rPr>
                <w:noProof/>
                <w:webHidden/>
              </w:rPr>
              <w:fldChar w:fldCharType="begin"/>
            </w:r>
            <w:r w:rsidR="00033E53">
              <w:rPr>
                <w:noProof/>
                <w:webHidden/>
              </w:rPr>
              <w:instrText xml:space="preserve"> PAGEREF _Toc153314035 \h </w:instrText>
            </w:r>
            <w:r w:rsidR="00033E53">
              <w:rPr>
                <w:noProof/>
                <w:webHidden/>
              </w:rPr>
            </w:r>
            <w:r w:rsidR="00033E53">
              <w:rPr>
                <w:noProof/>
                <w:webHidden/>
              </w:rPr>
              <w:fldChar w:fldCharType="separate"/>
            </w:r>
            <w:r w:rsidR="00033E53">
              <w:rPr>
                <w:noProof/>
                <w:webHidden/>
              </w:rPr>
              <w:t>12</w:t>
            </w:r>
            <w:r w:rsidR="00033E53">
              <w:rPr>
                <w:noProof/>
                <w:webHidden/>
              </w:rPr>
              <w:fldChar w:fldCharType="end"/>
            </w:r>
          </w:hyperlink>
        </w:p>
        <w:p w14:paraId="1E5CD459" w14:textId="77777777" w:rsidR="00033E53" w:rsidRDefault="007354AB">
          <w:pPr>
            <w:pStyle w:val="TOC1"/>
            <w:tabs>
              <w:tab w:val="right" w:leader="dot" w:pos="9016"/>
            </w:tabs>
            <w:rPr>
              <w:rFonts w:asciiTheme="minorHAnsi" w:eastAsiaTheme="minorEastAsia" w:hAnsiTheme="minorHAnsi"/>
              <w:noProof/>
              <w:lang w:val="en-US"/>
            </w:rPr>
          </w:pPr>
          <w:hyperlink w:anchor="_Toc153314038" w:history="1">
            <w:r w:rsidR="00033E53" w:rsidRPr="00530481">
              <w:rPr>
                <w:rStyle w:val="Hyperlink"/>
                <w:rFonts w:cs="Arial"/>
                <w:noProof/>
                <w:lang w:val="es-ES"/>
              </w:rPr>
              <w:t>Plan de Acción Específica de Seguridad</w:t>
            </w:r>
            <w:r w:rsidR="00033E53">
              <w:rPr>
                <w:noProof/>
                <w:webHidden/>
              </w:rPr>
              <w:tab/>
            </w:r>
            <w:r w:rsidR="00033E53">
              <w:rPr>
                <w:noProof/>
                <w:webHidden/>
              </w:rPr>
              <w:fldChar w:fldCharType="begin"/>
            </w:r>
            <w:r w:rsidR="00033E53">
              <w:rPr>
                <w:noProof/>
                <w:webHidden/>
              </w:rPr>
              <w:instrText xml:space="preserve"> PAGEREF _Toc153314038 \h </w:instrText>
            </w:r>
            <w:r w:rsidR="00033E53">
              <w:rPr>
                <w:noProof/>
                <w:webHidden/>
              </w:rPr>
            </w:r>
            <w:r w:rsidR="00033E53">
              <w:rPr>
                <w:noProof/>
                <w:webHidden/>
              </w:rPr>
              <w:fldChar w:fldCharType="separate"/>
            </w:r>
            <w:r w:rsidR="00033E53">
              <w:rPr>
                <w:noProof/>
                <w:webHidden/>
              </w:rPr>
              <w:t>14</w:t>
            </w:r>
            <w:r w:rsidR="00033E53">
              <w:rPr>
                <w:noProof/>
                <w:webHidden/>
              </w:rPr>
              <w:fldChar w:fldCharType="end"/>
            </w:r>
          </w:hyperlink>
        </w:p>
        <w:p w14:paraId="063416C9" w14:textId="77777777" w:rsidR="00033E53" w:rsidRDefault="007354AB">
          <w:pPr>
            <w:pStyle w:val="TOC1"/>
            <w:tabs>
              <w:tab w:val="right" w:leader="dot" w:pos="9016"/>
            </w:tabs>
            <w:rPr>
              <w:rFonts w:asciiTheme="minorHAnsi" w:eastAsiaTheme="minorEastAsia" w:hAnsiTheme="minorHAnsi"/>
              <w:noProof/>
              <w:lang w:val="en-US"/>
            </w:rPr>
          </w:pPr>
          <w:hyperlink w:anchor="_Toc153314041" w:history="1">
            <w:r w:rsidR="00033E53" w:rsidRPr="00530481">
              <w:rPr>
                <w:rStyle w:val="Hyperlink"/>
                <w:rFonts w:cs="Arial"/>
                <w:noProof/>
                <w:lang w:val="es-ES"/>
              </w:rPr>
              <w:t>Plan de Acción Específica de Gestión de Emergencias</w:t>
            </w:r>
            <w:r w:rsidR="00033E53">
              <w:rPr>
                <w:noProof/>
                <w:webHidden/>
              </w:rPr>
              <w:tab/>
            </w:r>
            <w:r w:rsidR="00033E53">
              <w:rPr>
                <w:noProof/>
                <w:webHidden/>
              </w:rPr>
              <w:fldChar w:fldCharType="begin"/>
            </w:r>
            <w:r w:rsidR="00033E53">
              <w:rPr>
                <w:noProof/>
                <w:webHidden/>
              </w:rPr>
              <w:instrText xml:space="preserve"> PAGEREF _Toc153314041 \h </w:instrText>
            </w:r>
            <w:r w:rsidR="00033E53">
              <w:rPr>
                <w:noProof/>
                <w:webHidden/>
              </w:rPr>
            </w:r>
            <w:r w:rsidR="00033E53">
              <w:rPr>
                <w:noProof/>
                <w:webHidden/>
              </w:rPr>
              <w:fldChar w:fldCharType="separate"/>
            </w:r>
            <w:r w:rsidR="00033E53">
              <w:rPr>
                <w:noProof/>
                <w:webHidden/>
              </w:rPr>
              <w:t>16</w:t>
            </w:r>
            <w:r w:rsidR="00033E53">
              <w:rPr>
                <w:noProof/>
                <w:webHidden/>
              </w:rPr>
              <w:fldChar w:fldCharType="end"/>
            </w:r>
          </w:hyperlink>
        </w:p>
        <w:p w14:paraId="51657B6B" w14:textId="77777777" w:rsidR="00033E53" w:rsidRDefault="007354AB">
          <w:pPr>
            <w:pStyle w:val="TOC1"/>
            <w:tabs>
              <w:tab w:val="right" w:leader="dot" w:pos="9016"/>
            </w:tabs>
            <w:rPr>
              <w:rFonts w:asciiTheme="minorHAnsi" w:eastAsiaTheme="minorEastAsia" w:hAnsiTheme="minorHAnsi"/>
              <w:noProof/>
              <w:lang w:val="en-US"/>
            </w:rPr>
          </w:pPr>
          <w:hyperlink w:anchor="_Toc153314044" w:history="1">
            <w:r w:rsidR="00033E53" w:rsidRPr="00530481">
              <w:rPr>
                <w:rStyle w:val="Hyperlink"/>
                <w:rFonts w:cs="Arial"/>
                <w:noProof/>
                <w:lang w:val="es-ES"/>
              </w:rPr>
              <w:t>Acciones en la práctica</w:t>
            </w:r>
            <w:r w:rsidR="00033E53">
              <w:rPr>
                <w:noProof/>
                <w:webHidden/>
              </w:rPr>
              <w:tab/>
            </w:r>
            <w:r w:rsidR="00033E53">
              <w:rPr>
                <w:noProof/>
                <w:webHidden/>
              </w:rPr>
              <w:fldChar w:fldCharType="begin"/>
            </w:r>
            <w:r w:rsidR="00033E53">
              <w:rPr>
                <w:noProof/>
                <w:webHidden/>
              </w:rPr>
              <w:instrText xml:space="preserve"> PAGEREF _Toc153314044 \h </w:instrText>
            </w:r>
            <w:r w:rsidR="00033E53">
              <w:rPr>
                <w:noProof/>
                <w:webHidden/>
              </w:rPr>
            </w:r>
            <w:r w:rsidR="00033E53">
              <w:rPr>
                <w:noProof/>
                <w:webHidden/>
              </w:rPr>
              <w:fldChar w:fldCharType="separate"/>
            </w:r>
            <w:r w:rsidR="00033E53">
              <w:rPr>
                <w:noProof/>
                <w:webHidden/>
              </w:rPr>
              <w:t>18</w:t>
            </w:r>
            <w:r w:rsidR="00033E53">
              <w:rPr>
                <w:noProof/>
                <w:webHidden/>
              </w:rPr>
              <w:fldChar w:fldCharType="end"/>
            </w:r>
          </w:hyperlink>
        </w:p>
        <w:p w14:paraId="3D3CA8F0" w14:textId="77777777" w:rsidR="00033E53" w:rsidRDefault="007354AB">
          <w:pPr>
            <w:pStyle w:val="TOC2"/>
            <w:tabs>
              <w:tab w:val="right" w:leader="dot" w:pos="9016"/>
            </w:tabs>
            <w:rPr>
              <w:rFonts w:cstheme="minorBidi"/>
              <w:noProof/>
            </w:rPr>
          </w:pPr>
          <w:hyperlink w:anchor="_Toc153314045" w:history="1">
            <w:r w:rsidR="00033E53" w:rsidRPr="00530481">
              <w:rPr>
                <w:rStyle w:val="Hyperlink"/>
                <w:rFonts w:cs="Arial"/>
                <w:noProof/>
                <w:lang w:val="es-ES"/>
              </w:rPr>
              <w:t>Empleados con discapacidad en el sector público de Queensland</w:t>
            </w:r>
            <w:r w:rsidR="00033E53">
              <w:rPr>
                <w:noProof/>
                <w:webHidden/>
              </w:rPr>
              <w:tab/>
            </w:r>
            <w:r w:rsidR="00033E53">
              <w:rPr>
                <w:noProof/>
                <w:webHidden/>
              </w:rPr>
              <w:fldChar w:fldCharType="begin"/>
            </w:r>
            <w:r w:rsidR="00033E53">
              <w:rPr>
                <w:noProof/>
                <w:webHidden/>
              </w:rPr>
              <w:instrText xml:space="preserve"> PAGEREF _Toc153314045 \h </w:instrText>
            </w:r>
            <w:r w:rsidR="00033E53">
              <w:rPr>
                <w:noProof/>
                <w:webHidden/>
              </w:rPr>
            </w:r>
            <w:r w:rsidR="00033E53">
              <w:rPr>
                <w:noProof/>
                <w:webHidden/>
              </w:rPr>
              <w:fldChar w:fldCharType="separate"/>
            </w:r>
            <w:r w:rsidR="00033E53">
              <w:rPr>
                <w:noProof/>
                <w:webHidden/>
              </w:rPr>
              <w:t>19</w:t>
            </w:r>
            <w:r w:rsidR="00033E53">
              <w:rPr>
                <w:noProof/>
                <w:webHidden/>
              </w:rPr>
              <w:fldChar w:fldCharType="end"/>
            </w:r>
          </w:hyperlink>
        </w:p>
        <w:p w14:paraId="5B29DCB2" w14:textId="77777777" w:rsidR="00033E53" w:rsidRDefault="007354AB">
          <w:pPr>
            <w:pStyle w:val="TOC2"/>
            <w:tabs>
              <w:tab w:val="right" w:leader="dot" w:pos="9016"/>
            </w:tabs>
            <w:rPr>
              <w:rFonts w:cstheme="minorBidi"/>
              <w:noProof/>
            </w:rPr>
          </w:pPr>
          <w:hyperlink w:anchor="_Toc153314046" w:history="1">
            <w:r w:rsidR="00033E53" w:rsidRPr="00530481">
              <w:rPr>
                <w:rStyle w:val="Hyperlink"/>
                <w:rFonts w:cs="Arial"/>
                <w:noProof/>
                <w:lang w:val="es-ES" w:eastAsia="en-AU"/>
              </w:rPr>
              <w:t>Pilotos de Empleo</w:t>
            </w:r>
            <w:r w:rsidR="00033E53">
              <w:rPr>
                <w:noProof/>
                <w:webHidden/>
              </w:rPr>
              <w:tab/>
            </w:r>
            <w:r w:rsidR="00033E53">
              <w:rPr>
                <w:noProof/>
                <w:webHidden/>
              </w:rPr>
              <w:fldChar w:fldCharType="begin"/>
            </w:r>
            <w:r w:rsidR="00033E53">
              <w:rPr>
                <w:noProof/>
                <w:webHidden/>
              </w:rPr>
              <w:instrText xml:space="preserve"> PAGEREF _Toc153314046 \h </w:instrText>
            </w:r>
            <w:r w:rsidR="00033E53">
              <w:rPr>
                <w:noProof/>
                <w:webHidden/>
              </w:rPr>
            </w:r>
            <w:r w:rsidR="00033E53">
              <w:rPr>
                <w:noProof/>
                <w:webHidden/>
              </w:rPr>
              <w:fldChar w:fldCharType="separate"/>
            </w:r>
            <w:r w:rsidR="00033E53">
              <w:rPr>
                <w:noProof/>
                <w:webHidden/>
              </w:rPr>
              <w:t>21</w:t>
            </w:r>
            <w:r w:rsidR="00033E53">
              <w:rPr>
                <w:noProof/>
                <w:webHidden/>
              </w:rPr>
              <w:fldChar w:fldCharType="end"/>
            </w:r>
          </w:hyperlink>
        </w:p>
        <w:p w14:paraId="70048CE0" w14:textId="77777777" w:rsidR="00033E53" w:rsidRDefault="007354AB">
          <w:pPr>
            <w:pStyle w:val="TOC2"/>
            <w:tabs>
              <w:tab w:val="right" w:leader="dot" w:pos="9016"/>
            </w:tabs>
            <w:rPr>
              <w:rFonts w:cstheme="minorBidi"/>
              <w:noProof/>
            </w:rPr>
          </w:pPr>
          <w:hyperlink w:anchor="_Toc153314047" w:history="1">
            <w:r w:rsidR="00033E53" w:rsidRPr="00530481">
              <w:rPr>
                <w:rStyle w:val="Hyperlink"/>
                <w:rFonts w:cs="Arial"/>
                <w:noProof/>
                <w:lang w:val="es-ES"/>
              </w:rPr>
              <w:t>Comisionado para la Discapacidad de Tasmania</w:t>
            </w:r>
            <w:r w:rsidR="00033E53">
              <w:rPr>
                <w:noProof/>
                <w:webHidden/>
              </w:rPr>
              <w:tab/>
            </w:r>
            <w:r w:rsidR="00033E53">
              <w:rPr>
                <w:noProof/>
                <w:webHidden/>
              </w:rPr>
              <w:fldChar w:fldCharType="begin"/>
            </w:r>
            <w:r w:rsidR="00033E53">
              <w:rPr>
                <w:noProof/>
                <w:webHidden/>
              </w:rPr>
              <w:instrText xml:space="preserve"> PAGEREF _Toc153314047 \h </w:instrText>
            </w:r>
            <w:r w:rsidR="00033E53">
              <w:rPr>
                <w:noProof/>
                <w:webHidden/>
              </w:rPr>
            </w:r>
            <w:r w:rsidR="00033E53">
              <w:rPr>
                <w:noProof/>
                <w:webHidden/>
              </w:rPr>
              <w:fldChar w:fldCharType="separate"/>
            </w:r>
            <w:r w:rsidR="00033E53">
              <w:rPr>
                <w:noProof/>
                <w:webHidden/>
              </w:rPr>
              <w:t>22</w:t>
            </w:r>
            <w:r w:rsidR="00033E53">
              <w:rPr>
                <w:noProof/>
                <w:webHidden/>
              </w:rPr>
              <w:fldChar w:fldCharType="end"/>
            </w:r>
          </w:hyperlink>
        </w:p>
        <w:p w14:paraId="799D6302" w14:textId="77777777" w:rsidR="00033E53" w:rsidRDefault="007354AB">
          <w:pPr>
            <w:pStyle w:val="TOC2"/>
            <w:tabs>
              <w:tab w:val="right" w:leader="dot" w:pos="9016"/>
            </w:tabs>
            <w:rPr>
              <w:rFonts w:cstheme="minorBidi"/>
              <w:noProof/>
            </w:rPr>
          </w:pPr>
          <w:hyperlink w:anchor="_Toc153314048" w:history="1">
            <w:r w:rsidR="00033E53" w:rsidRPr="00530481">
              <w:rPr>
                <w:rStyle w:val="Hyperlink"/>
                <w:rFonts w:cs="Arial"/>
                <w:noProof/>
                <w:lang w:val="es-ES"/>
              </w:rPr>
              <w:t>Taller de crianza para el desarrollo diferente</w:t>
            </w:r>
            <w:r w:rsidR="00033E53">
              <w:rPr>
                <w:noProof/>
                <w:webHidden/>
              </w:rPr>
              <w:tab/>
            </w:r>
            <w:r w:rsidR="00033E53">
              <w:rPr>
                <w:noProof/>
                <w:webHidden/>
              </w:rPr>
              <w:fldChar w:fldCharType="begin"/>
            </w:r>
            <w:r w:rsidR="00033E53">
              <w:rPr>
                <w:noProof/>
                <w:webHidden/>
              </w:rPr>
              <w:instrText xml:space="preserve"> PAGEREF _Toc153314048 \h </w:instrText>
            </w:r>
            <w:r w:rsidR="00033E53">
              <w:rPr>
                <w:noProof/>
                <w:webHidden/>
              </w:rPr>
            </w:r>
            <w:r w:rsidR="00033E53">
              <w:rPr>
                <w:noProof/>
                <w:webHidden/>
              </w:rPr>
              <w:fldChar w:fldCharType="separate"/>
            </w:r>
            <w:r w:rsidR="00033E53">
              <w:rPr>
                <w:noProof/>
                <w:webHidden/>
              </w:rPr>
              <w:t>24</w:t>
            </w:r>
            <w:r w:rsidR="00033E53">
              <w:rPr>
                <w:noProof/>
                <w:webHidden/>
              </w:rPr>
              <w:fldChar w:fldCharType="end"/>
            </w:r>
          </w:hyperlink>
        </w:p>
        <w:p w14:paraId="25EC4AAD" w14:textId="77777777" w:rsidR="00033E53" w:rsidRDefault="007354AB">
          <w:pPr>
            <w:pStyle w:val="TOC2"/>
            <w:tabs>
              <w:tab w:val="right" w:leader="dot" w:pos="9016"/>
            </w:tabs>
            <w:rPr>
              <w:rFonts w:cstheme="minorBidi"/>
              <w:noProof/>
            </w:rPr>
          </w:pPr>
          <w:hyperlink w:anchor="_Toc153314049" w:history="1">
            <w:r w:rsidR="00033E53" w:rsidRPr="00530481">
              <w:rPr>
                <w:rStyle w:val="Hyperlink"/>
                <w:rFonts w:cs="Arial"/>
                <w:noProof/>
                <w:lang w:val="es-ES"/>
              </w:rPr>
              <w:t>Programa de Centros para Niños y Familias Aborígenes (Aboriginal Child and Family Centre) (ACFC)</w:t>
            </w:r>
            <w:r w:rsidR="00033E53">
              <w:rPr>
                <w:noProof/>
                <w:webHidden/>
              </w:rPr>
              <w:tab/>
            </w:r>
            <w:r w:rsidR="00033E53">
              <w:rPr>
                <w:noProof/>
                <w:webHidden/>
              </w:rPr>
              <w:fldChar w:fldCharType="begin"/>
            </w:r>
            <w:r w:rsidR="00033E53">
              <w:rPr>
                <w:noProof/>
                <w:webHidden/>
              </w:rPr>
              <w:instrText xml:space="preserve"> PAGEREF _Toc153314049 \h </w:instrText>
            </w:r>
            <w:r w:rsidR="00033E53">
              <w:rPr>
                <w:noProof/>
                <w:webHidden/>
              </w:rPr>
            </w:r>
            <w:r w:rsidR="00033E53">
              <w:rPr>
                <w:noProof/>
                <w:webHidden/>
              </w:rPr>
              <w:fldChar w:fldCharType="separate"/>
            </w:r>
            <w:r w:rsidR="00033E53">
              <w:rPr>
                <w:noProof/>
                <w:webHidden/>
              </w:rPr>
              <w:t>25</w:t>
            </w:r>
            <w:r w:rsidR="00033E53">
              <w:rPr>
                <w:noProof/>
                <w:webHidden/>
              </w:rPr>
              <w:fldChar w:fldCharType="end"/>
            </w:r>
          </w:hyperlink>
        </w:p>
        <w:p w14:paraId="74F98791" w14:textId="77777777" w:rsidR="00033E53" w:rsidRDefault="007354AB">
          <w:pPr>
            <w:pStyle w:val="TOC2"/>
            <w:tabs>
              <w:tab w:val="right" w:leader="dot" w:pos="9016"/>
            </w:tabs>
            <w:rPr>
              <w:rFonts w:cstheme="minorBidi"/>
              <w:noProof/>
            </w:rPr>
          </w:pPr>
          <w:hyperlink w:anchor="_Toc153314050" w:history="1">
            <w:r w:rsidR="00033E53" w:rsidRPr="00530481">
              <w:rPr>
                <w:rStyle w:val="Hyperlink"/>
                <w:rFonts w:cs="Arial"/>
                <w:noProof/>
                <w:lang w:val="es-ES"/>
              </w:rPr>
              <w:t>Apoyo al comportamiento y reducción y eliminación de prácticas restrictivas</w:t>
            </w:r>
            <w:r w:rsidR="00033E53">
              <w:rPr>
                <w:noProof/>
                <w:webHidden/>
              </w:rPr>
              <w:tab/>
            </w:r>
            <w:r w:rsidR="00033E53">
              <w:rPr>
                <w:noProof/>
                <w:webHidden/>
              </w:rPr>
              <w:fldChar w:fldCharType="begin"/>
            </w:r>
            <w:r w:rsidR="00033E53">
              <w:rPr>
                <w:noProof/>
                <w:webHidden/>
              </w:rPr>
              <w:instrText xml:space="preserve"> PAGEREF _Toc153314050 \h </w:instrText>
            </w:r>
            <w:r w:rsidR="00033E53">
              <w:rPr>
                <w:noProof/>
                <w:webHidden/>
              </w:rPr>
            </w:r>
            <w:r w:rsidR="00033E53">
              <w:rPr>
                <w:noProof/>
                <w:webHidden/>
              </w:rPr>
              <w:fldChar w:fldCharType="separate"/>
            </w:r>
            <w:r w:rsidR="00033E53">
              <w:rPr>
                <w:noProof/>
                <w:webHidden/>
              </w:rPr>
              <w:t>27</w:t>
            </w:r>
            <w:r w:rsidR="00033E53">
              <w:rPr>
                <w:noProof/>
                <w:webHidden/>
              </w:rPr>
              <w:fldChar w:fldCharType="end"/>
            </w:r>
          </w:hyperlink>
        </w:p>
        <w:p w14:paraId="23D2B2C6" w14:textId="77777777" w:rsidR="00033E53" w:rsidRDefault="007354AB">
          <w:pPr>
            <w:pStyle w:val="TOC2"/>
            <w:tabs>
              <w:tab w:val="right" w:leader="dot" w:pos="9016"/>
            </w:tabs>
            <w:rPr>
              <w:rFonts w:cstheme="minorBidi"/>
              <w:noProof/>
            </w:rPr>
          </w:pPr>
          <w:hyperlink w:anchor="_Toc153314051" w:history="1">
            <w:r w:rsidR="00033E53" w:rsidRPr="00530481">
              <w:rPr>
                <w:rStyle w:val="Hyperlink"/>
                <w:rFonts w:cs="Arial"/>
                <w:noProof/>
                <w:lang w:val="es-ES"/>
              </w:rPr>
              <w:t>Las reuniones de Gestión de Emergencias deben incluir a los proveedores de servicios para personas con discapacidad</w:t>
            </w:r>
            <w:r w:rsidR="00033E53">
              <w:rPr>
                <w:noProof/>
                <w:webHidden/>
              </w:rPr>
              <w:tab/>
            </w:r>
            <w:r w:rsidR="00033E53">
              <w:rPr>
                <w:noProof/>
                <w:webHidden/>
              </w:rPr>
              <w:fldChar w:fldCharType="begin"/>
            </w:r>
            <w:r w:rsidR="00033E53">
              <w:rPr>
                <w:noProof/>
                <w:webHidden/>
              </w:rPr>
              <w:instrText xml:space="preserve"> PAGEREF _Toc153314051 \h </w:instrText>
            </w:r>
            <w:r w:rsidR="00033E53">
              <w:rPr>
                <w:noProof/>
                <w:webHidden/>
              </w:rPr>
            </w:r>
            <w:r w:rsidR="00033E53">
              <w:rPr>
                <w:noProof/>
                <w:webHidden/>
              </w:rPr>
              <w:fldChar w:fldCharType="separate"/>
            </w:r>
            <w:r w:rsidR="00033E53">
              <w:rPr>
                <w:noProof/>
                <w:webHidden/>
              </w:rPr>
              <w:t>29</w:t>
            </w:r>
            <w:r w:rsidR="00033E53">
              <w:rPr>
                <w:noProof/>
                <w:webHidden/>
              </w:rPr>
              <w:fldChar w:fldCharType="end"/>
            </w:r>
          </w:hyperlink>
        </w:p>
        <w:p w14:paraId="65211B63" w14:textId="77777777" w:rsidR="00033E53" w:rsidRDefault="007354AB">
          <w:pPr>
            <w:pStyle w:val="TOC2"/>
            <w:tabs>
              <w:tab w:val="right" w:leader="dot" w:pos="9016"/>
            </w:tabs>
            <w:rPr>
              <w:rFonts w:cstheme="minorBidi"/>
              <w:noProof/>
            </w:rPr>
          </w:pPr>
          <w:hyperlink w:anchor="_Toc153314052" w:history="1">
            <w:r w:rsidR="00033E53" w:rsidRPr="00530481">
              <w:rPr>
                <w:rStyle w:val="Hyperlink"/>
                <w:rFonts w:cs="Arial"/>
                <w:noProof/>
                <w:lang w:val="es-ES"/>
              </w:rPr>
              <w:t>Iniciativa de Respuesta a Crisis de Violencia Familiar en Personas con Discapacidad</w:t>
            </w:r>
            <w:r w:rsidR="00033E53">
              <w:rPr>
                <w:noProof/>
                <w:webHidden/>
              </w:rPr>
              <w:tab/>
            </w:r>
            <w:r w:rsidR="00033E53">
              <w:rPr>
                <w:noProof/>
                <w:webHidden/>
              </w:rPr>
              <w:fldChar w:fldCharType="begin"/>
            </w:r>
            <w:r w:rsidR="00033E53">
              <w:rPr>
                <w:noProof/>
                <w:webHidden/>
              </w:rPr>
              <w:instrText xml:space="preserve"> PAGEREF _Toc153314052 \h </w:instrText>
            </w:r>
            <w:r w:rsidR="00033E53">
              <w:rPr>
                <w:noProof/>
                <w:webHidden/>
              </w:rPr>
            </w:r>
            <w:r w:rsidR="00033E53">
              <w:rPr>
                <w:noProof/>
                <w:webHidden/>
              </w:rPr>
              <w:fldChar w:fldCharType="separate"/>
            </w:r>
            <w:r w:rsidR="00033E53">
              <w:rPr>
                <w:noProof/>
                <w:webHidden/>
              </w:rPr>
              <w:t>31</w:t>
            </w:r>
            <w:r w:rsidR="00033E53">
              <w:rPr>
                <w:noProof/>
                <w:webHidden/>
              </w:rPr>
              <w:fldChar w:fldCharType="end"/>
            </w:r>
          </w:hyperlink>
        </w:p>
        <w:p w14:paraId="42248D6A" w14:textId="77777777" w:rsidR="00033E53" w:rsidRDefault="007354AB">
          <w:pPr>
            <w:pStyle w:val="TOC2"/>
            <w:tabs>
              <w:tab w:val="right" w:leader="dot" w:pos="9016"/>
            </w:tabs>
            <w:rPr>
              <w:rFonts w:cstheme="minorBidi"/>
              <w:noProof/>
            </w:rPr>
          </w:pPr>
          <w:hyperlink w:anchor="_Toc153314053" w:history="1">
            <w:r w:rsidR="00033E53" w:rsidRPr="00530481">
              <w:rPr>
                <w:rStyle w:val="Hyperlink"/>
                <w:rFonts w:cs="Arial"/>
                <w:noProof/>
                <w:lang w:val="es-ES"/>
              </w:rPr>
              <w:t>Alojamiento en y apoyo para refugios accesibles</w:t>
            </w:r>
            <w:r w:rsidR="00033E53">
              <w:rPr>
                <w:noProof/>
                <w:webHidden/>
              </w:rPr>
              <w:tab/>
            </w:r>
            <w:r w:rsidR="00033E53">
              <w:rPr>
                <w:noProof/>
                <w:webHidden/>
              </w:rPr>
              <w:fldChar w:fldCharType="begin"/>
            </w:r>
            <w:r w:rsidR="00033E53">
              <w:rPr>
                <w:noProof/>
                <w:webHidden/>
              </w:rPr>
              <w:instrText xml:space="preserve"> PAGEREF _Toc153314053 \h </w:instrText>
            </w:r>
            <w:r w:rsidR="00033E53">
              <w:rPr>
                <w:noProof/>
                <w:webHidden/>
              </w:rPr>
            </w:r>
            <w:r w:rsidR="00033E53">
              <w:rPr>
                <w:noProof/>
                <w:webHidden/>
              </w:rPr>
              <w:fldChar w:fldCharType="separate"/>
            </w:r>
            <w:r w:rsidR="00033E53">
              <w:rPr>
                <w:noProof/>
                <w:webHidden/>
              </w:rPr>
              <w:t>32</w:t>
            </w:r>
            <w:r w:rsidR="00033E53">
              <w:rPr>
                <w:noProof/>
                <w:webHidden/>
              </w:rPr>
              <w:fldChar w:fldCharType="end"/>
            </w:r>
          </w:hyperlink>
        </w:p>
        <w:p w14:paraId="0F51FD4B" w14:textId="77777777" w:rsidR="00033E53" w:rsidRDefault="007354AB">
          <w:pPr>
            <w:pStyle w:val="TOC2"/>
            <w:tabs>
              <w:tab w:val="right" w:leader="dot" w:pos="9016"/>
            </w:tabs>
            <w:rPr>
              <w:rFonts w:cstheme="minorBidi"/>
              <w:noProof/>
            </w:rPr>
          </w:pPr>
          <w:hyperlink w:anchor="_Toc153314054" w:history="1">
            <w:r w:rsidR="00033E53" w:rsidRPr="00530481">
              <w:rPr>
                <w:rStyle w:val="Hyperlink"/>
                <w:rFonts w:cs="Arial"/>
                <w:noProof/>
                <w:lang w:val="es-ES"/>
              </w:rPr>
              <w:t>Programa de intermediarios del ACT</w:t>
            </w:r>
            <w:r w:rsidR="00033E53">
              <w:rPr>
                <w:noProof/>
                <w:webHidden/>
              </w:rPr>
              <w:tab/>
            </w:r>
            <w:r w:rsidR="00033E53">
              <w:rPr>
                <w:noProof/>
                <w:webHidden/>
              </w:rPr>
              <w:fldChar w:fldCharType="begin"/>
            </w:r>
            <w:r w:rsidR="00033E53">
              <w:rPr>
                <w:noProof/>
                <w:webHidden/>
              </w:rPr>
              <w:instrText xml:space="preserve"> PAGEREF _Toc153314054 \h </w:instrText>
            </w:r>
            <w:r w:rsidR="00033E53">
              <w:rPr>
                <w:noProof/>
                <w:webHidden/>
              </w:rPr>
            </w:r>
            <w:r w:rsidR="00033E53">
              <w:rPr>
                <w:noProof/>
                <w:webHidden/>
              </w:rPr>
              <w:fldChar w:fldCharType="separate"/>
            </w:r>
            <w:r w:rsidR="00033E53">
              <w:rPr>
                <w:noProof/>
                <w:webHidden/>
              </w:rPr>
              <w:t>33</w:t>
            </w:r>
            <w:r w:rsidR="00033E53">
              <w:rPr>
                <w:noProof/>
                <w:webHidden/>
              </w:rPr>
              <w:fldChar w:fldCharType="end"/>
            </w:r>
          </w:hyperlink>
        </w:p>
        <w:p w14:paraId="576EDB4B" w14:textId="77777777" w:rsidR="00033E53" w:rsidRDefault="007354AB">
          <w:pPr>
            <w:pStyle w:val="TOC2"/>
            <w:tabs>
              <w:tab w:val="right" w:leader="dot" w:pos="9016"/>
            </w:tabs>
            <w:rPr>
              <w:rFonts w:cstheme="minorBidi"/>
              <w:noProof/>
            </w:rPr>
          </w:pPr>
          <w:hyperlink w:anchor="_Toc153314055" w:history="1">
            <w:r w:rsidR="00033E53" w:rsidRPr="00530481">
              <w:rPr>
                <w:rStyle w:val="Hyperlink"/>
                <w:rFonts w:cs="Arial"/>
                <w:noProof/>
                <w:lang w:val="es-ES"/>
              </w:rPr>
              <w:t>Programa de Reducción del Riesgo de Desastres inclusivo para Personas con Discapacidad</w:t>
            </w:r>
            <w:r w:rsidR="00033E53">
              <w:rPr>
                <w:noProof/>
                <w:webHidden/>
              </w:rPr>
              <w:tab/>
            </w:r>
            <w:r w:rsidR="00033E53">
              <w:rPr>
                <w:noProof/>
                <w:webHidden/>
              </w:rPr>
              <w:fldChar w:fldCharType="begin"/>
            </w:r>
            <w:r w:rsidR="00033E53">
              <w:rPr>
                <w:noProof/>
                <w:webHidden/>
              </w:rPr>
              <w:instrText xml:space="preserve"> PAGEREF _Toc153314055 \h </w:instrText>
            </w:r>
            <w:r w:rsidR="00033E53">
              <w:rPr>
                <w:noProof/>
                <w:webHidden/>
              </w:rPr>
            </w:r>
            <w:r w:rsidR="00033E53">
              <w:rPr>
                <w:noProof/>
                <w:webHidden/>
              </w:rPr>
              <w:fldChar w:fldCharType="separate"/>
            </w:r>
            <w:r w:rsidR="00033E53">
              <w:rPr>
                <w:noProof/>
                <w:webHidden/>
              </w:rPr>
              <w:t>34</w:t>
            </w:r>
            <w:r w:rsidR="00033E53">
              <w:rPr>
                <w:noProof/>
                <w:webHidden/>
              </w:rPr>
              <w:fldChar w:fldCharType="end"/>
            </w:r>
          </w:hyperlink>
        </w:p>
        <w:p w14:paraId="52DFBD2A" w14:textId="77777777" w:rsidR="00033E53" w:rsidRDefault="007354AB" w:rsidP="00033E53">
          <w:pPr>
            <w:pStyle w:val="TOC2"/>
            <w:tabs>
              <w:tab w:val="right" w:leader="dot" w:pos="9016"/>
            </w:tabs>
            <w:ind w:left="0"/>
            <w:rPr>
              <w:rFonts w:cstheme="minorBidi"/>
              <w:noProof/>
            </w:rPr>
          </w:pPr>
          <w:hyperlink w:anchor="_Toc153314056" w:history="1">
            <w:r w:rsidR="00033E53" w:rsidRPr="00530481">
              <w:rPr>
                <w:rStyle w:val="Hyperlink"/>
                <w:rFonts w:cs="Arial"/>
                <w:noProof/>
                <w:lang w:val="es-ES"/>
              </w:rPr>
              <w:t>Reseña del progreso desde el 3 de diciembre de 2021</w:t>
            </w:r>
            <w:r w:rsidR="00033E53">
              <w:rPr>
                <w:noProof/>
                <w:webHidden/>
              </w:rPr>
              <w:tab/>
            </w:r>
            <w:r w:rsidR="00033E53">
              <w:rPr>
                <w:noProof/>
                <w:webHidden/>
              </w:rPr>
              <w:fldChar w:fldCharType="begin"/>
            </w:r>
            <w:r w:rsidR="00033E53">
              <w:rPr>
                <w:noProof/>
                <w:webHidden/>
              </w:rPr>
              <w:instrText xml:space="preserve"> PAGEREF _Toc153314056 \h </w:instrText>
            </w:r>
            <w:r w:rsidR="00033E53">
              <w:rPr>
                <w:noProof/>
                <w:webHidden/>
              </w:rPr>
            </w:r>
            <w:r w:rsidR="00033E53">
              <w:rPr>
                <w:noProof/>
                <w:webHidden/>
              </w:rPr>
              <w:fldChar w:fldCharType="separate"/>
            </w:r>
            <w:r w:rsidR="00033E53">
              <w:rPr>
                <w:noProof/>
                <w:webHidden/>
              </w:rPr>
              <w:t>36</w:t>
            </w:r>
            <w:r w:rsidR="00033E53">
              <w:rPr>
                <w:noProof/>
                <w:webHidden/>
              </w:rPr>
              <w:fldChar w:fldCharType="end"/>
            </w:r>
          </w:hyperlink>
        </w:p>
        <w:p w14:paraId="19B538F8" w14:textId="5EE02AD1" w:rsidR="008E5C12" w:rsidRPr="003E3C14" w:rsidRDefault="008E5C12">
          <w:r w:rsidRPr="003E3C14">
            <w:rPr>
              <w:b/>
              <w:bCs/>
              <w:noProof/>
            </w:rPr>
            <w:fldChar w:fldCharType="end"/>
          </w:r>
        </w:p>
      </w:sdtContent>
    </w:sdt>
    <w:p w14:paraId="384D5BE4" w14:textId="77777777" w:rsidR="00881AEF" w:rsidRPr="003E3C14" w:rsidRDefault="00881AEF">
      <w:r w:rsidRPr="003E3C14">
        <w:br w:type="page"/>
      </w:r>
    </w:p>
    <w:p w14:paraId="0ACB0E80" w14:textId="08190217" w:rsidR="00881AEF" w:rsidRPr="003E3C14" w:rsidRDefault="007279CA" w:rsidP="008C13A0">
      <w:pPr>
        <w:pStyle w:val="Heading1"/>
      </w:pPr>
      <w:bookmarkStart w:id="1" w:name="_Toc153314027"/>
      <w:r w:rsidRPr="003E3C14">
        <w:rPr>
          <w:rFonts w:cs="Arial"/>
          <w:lang w:val="es-ES"/>
        </w:rPr>
        <w:lastRenderedPageBreak/>
        <w:t>Introducción</w:t>
      </w:r>
      <w:bookmarkEnd w:id="1"/>
    </w:p>
    <w:p w14:paraId="4DCB7FFE" w14:textId="77777777" w:rsidR="007279CA" w:rsidRPr="003E3C14" w:rsidRDefault="007279CA" w:rsidP="007279CA">
      <w:pPr>
        <w:spacing w:before="240" w:after="240" w:line="240" w:lineRule="auto"/>
        <w:rPr>
          <w:rFonts w:cs="Arial"/>
          <w:i/>
          <w:color w:val="6C1740"/>
          <w:sz w:val="36"/>
          <w:szCs w:val="36"/>
          <w:lang w:val="es-ES"/>
        </w:rPr>
      </w:pPr>
      <w:r w:rsidRPr="003E3C14">
        <w:rPr>
          <w:rFonts w:cs="Arial"/>
          <w:iCs/>
          <w:color w:val="6C1740"/>
          <w:sz w:val="36"/>
          <w:szCs w:val="36"/>
          <w:lang w:val="es-ES"/>
        </w:rPr>
        <w:t>La</w:t>
      </w:r>
      <w:r w:rsidRPr="003E3C14">
        <w:rPr>
          <w:rFonts w:cs="Arial"/>
          <w:i/>
          <w:color w:val="6C1740"/>
          <w:sz w:val="36"/>
          <w:szCs w:val="36"/>
          <w:lang w:val="es-ES"/>
        </w:rPr>
        <w:t xml:space="preserve"> Australia’s Disability Strategy 2021-2031 </w:t>
      </w:r>
      <w:r w:rsidRPr="003E3C14">
        <w:rPr>
          <w:rFonts w:cs="Arial"/>
          <w:iCs/>
          <w:color w:val="6C1740"/>
          <w:sz w:val="36"/>
          <w:szCs w:val="36"/>
          <w:lang w:val="es-ES"/>
        </w:rPr>
        <w:t>(Estrategia para la Discapacidad de Australia 2021-2031) (ADS) propone un plan para cambiar la vida de las personas con discapacidad en el transcurso de 10 años.</w:t>
      </w:r>
    </w:p>
    <w:p w14:paraId="12FA20BF" w14:textId="77777777" w:rsidR="007279CA" w:rsidRPr="003E3C14" w:rsidRDefault="007279CA" w:rsidP="007279CA">
      <w:pPr>
        <w:spacing w:before="240" w:after="240" w:line="240" w:lineRule="auto"/>
        <w:rPr>
          <w:rFonts w:cs="Arial"/>
          <w:color w:val="6C1740"/>
          <w:sz w:val="36"/>
          <w:szCs w:val="36"/>
          <w:lang w:val="es-ES"/>
        </w:rPr>
      </w:pPr>
      <w:r w:rsidRPr="003E3C14">
        <w:rPr>
          <w:rFonts w:cs="Arial"/>
          <w:color w:val="6C1740"/>
          <w:sz w:val="36"/>
          <w:szCs w:val="36"/>
          <w:lang w:val="es-ES"/>
        </w:rPr>
        <w:t>Según la ADS, los Planes de Acción Específica (Targeted Action Plans, TAP) tienen un enfoque intensivo de uno a tres años para conseguir efectos específicos que mejoren los resultados para las personas con discapacidad.</w:t>
      </w:r>
    </w:p>
    <w:p w14:paraId="20C70153" w14:textId="77777777" w:rsidR="007279CA" w:rsidRPr="003E3C14" w:rsidRDefault="007279CA" w:rsidP="007279CA">
      <w:pPr>
        <w:spacing w:before="240" w:after="240" w:line="240" w:lineRule="auto"/>
        <w:rPr>
          <w:rFonts w:cs="Arial"/>
          <w:color w:val="6C1740"/>
          <w:sz w:val="36"/>
          <w:szCs w:val="36"/>
          <w:lang w:val="es-ES"/>
        </w:rPr>
      </w:pPr>
      <w:r w:rsidRPr="003E3C14">
        <w:rPr>
          <w:rFonts w:cs="Arial"/>
          <w:color w:val="6C1740"/>
          <w:sz w:val="36"/>
          <w:szCs w:val="36"/>
          <w:lang w:val="es-ES"/>
        </w:rPr>
        <w:t xml:space="preserve">Todos los ministros para la discapacidad de Australia encargan y apoyan los TAP, que incluyen una serie de acciones específicas y coordinadas de los gobiernos. </w:t>
      </w:r>
    </w:p>
    <w:p w14:paraId="0D8AA100" w14:textId="77777777" w:rsidR="007279CA" w:rsidRPr="003E3C14" w:rsidRDefault="007279CA" w:rsidP="007279CA">
      <w:pPr>
        <w:spacing w:before="240" w:after="240" w:line="240" w:lineRule="auto"/>
        <w:rPr>
          <w:rFonts w:cs="Arial"/>
          <w:color w:val="6C1740"/>
          <w:sz w:val="36"/>
          <w:szCs w:val="36"/>
          <w:lang w:val="es-ES"/>
        </w:rPr>
      </w:pPr>
      <w:r w:rsidRPr="003E3C14">
        <w:rPr>
          <w:rFonts w:cs="Arial"/>
          <w:color w:val="6C1740"/>
          <w:sz w:val="36"/>
          <w:szCs w:val="36"/>
          <w:lang w:val="es-ES"/>
        </w:rPr>
        <w:t>Este es el segundo informe anual de los TAP. Se basa en el progreso informado en el primer año de la ADS y cubre el período comprendido entre el 1̊ de julio de 2022 y el 30 de junio de 2023.</w:t>
      </w:r>
    </w:p>
    <w:p w14:paraId="1A4F3A4B" w14:textId="77777777" w:rsidR="007279CA" w:rsidRPr="003E3C14" w:rsidRDefault="007279CA" w:rsidP="007279CA">
      <w:pPr>
        <w:spacing w:before="240" w:after="240" w:line="240" w:lineRule="auto"/>
        <w:rPr>
          <w:rFonts w:cs="Arial"/>
          <w:color w:val="6C1740"/>
          <w:sz w:val="36"/>
          <w:szCs w:val="36"/>
          <w:lang w:val="es-ES"/>
        </w:rPr>
      </w:pPr>
      <w:r w:rsidRPr="003E3C14">
        <w:rPr>
          <w:rFonts w:cs="Arial"/>
          <w:color w:val="6C1740"/>
          <w:sz w:val="36"/>
          <w:szCs w:val="36"/>
          <w:lang w:val="es-ES"/>
        </w:rPr>
        <w:t>Si bien este grupo de TAP logró una serie de resultados positivos, en varias acciones se informan algunas demoras.</w:t>
      </w:r>
    </w:p>
    <w:p w14:paraId="48F3D8A8" w14:textId="6C7C190C" w:rsidR="007279CA" w:rsidRPr="003E3C14" w:rsidRDefault="007279CA" w:rsidP="007279CA">
      <w:pPr>
        <w:spacing w:before="240" w:after="240" w:line="240" w:lineRule="auto"/>
        <w:rPr>
          <w:color w:val="6C1740"/>
          <w:sz w:val="36"/>
          <w:szCs w:val="36"/>
        </w:rPr>
      </w:pPr>
      <w:r w:rsidRPr="003E3C14">
        <w:rPr>
          <w:rFonts w:cs="Arial"/>
          <w:color w:val="6C1740"/>
          <w:sz w:val="36"/>
          <w:szCs w:val="36"/>
          <w:lang w:val="es-ES"/>
        </w:rPr>
        <w:t>El próximo informe sobre los TAP será el informe final de este grupo de TAP. El gobierno australiano, en colaboración con los gobiernos de los estados y territorios, comenzó a trabajar para considerar el próximo grupo de TAP.</w:t>
      </w:r>
    </w:p>
    <w:p w14:paraId="084F5A5F" w14:textId="54A38A3A" w:rsidR="00881AEF" w:rsidRPr="003E3C14" w:rsidRDefault="009F397E">
      <w:r w:rsidRPr="003E3C14">
        <w:br w:type="page"/>
      </w:r>
    </w:p>
    <w:p w14:paraId="674AAF8C" w14:textId="3AB2BACC" w:rsidR="00881AEF" w:rsidRPr="003E3C14" w:rsidRDefault="00B00668" w:rsidP="007E700B">
      <w:r w:rsidRPr="003E3C14">
        <w:rPr>
          <w:rFonts w:cs="Arial"/>
          <w:lang w:val="es-ES"/>
        </w:rPr>
        <w:lastRenderedPageBreak/>
        <w:t>Los 5 Planes de Acción Específica (TAP) lanzados con la ADS, el 3 de diciembre de 2021 son:</w:t>
      </w:r>
    </w:p>
    <w:p w14:paraId="373D812D" w14:textId="7FE34A82" w:rsidR="00881AEF" w:rsidRPr="003E3C14" w:rsidRDefault="007354AB" w:rsidP="00B709F1">
      <w:pPr>
        <w:pStyle w:val="ListParagraph"/>
        <w:numPr>
          <w:ilvl w:val="0"/>
          <w:numId w:val="15"/>
        </w:numPr>
        <w:spacing w:before="120" w:after="120" w:line="240" w:lineRule="auto"/>
        <w:contextualSpacing w:val="0"/>
      </w:pPr>
      <w:hyperlink r:id="rId12" w:history="1">
        <w:r w:rsidR="00B00668" w:rsidRPr="003E3C14">
          <w:rPr>
            <w:rStyle w:val="Hyperlink"/>
            <w:rFonts w:cs="Arial"/>
            <w:lang w:val="es-ES"/>
          </w:rPr>
          <w:t>Empleo</w:t>
        </w:r>
      </w:hyperlink>
    </w:p>
    <w:p w14:paraId="4D9163BA" w14:textId="51D6BB42" w:rsidR="00881AEF" w:rsidRPr="003E3C14" w:rsidRDefault="007354AB" w:rsidP="00B709F1">
      <w:pPr>
        <w:pStyle w:val="ListParagraph"/>
        <w:numPr>
          <w:ilvl w:val="0"/>
          <w:numId w:val="15"/>
        </w:numPr>
        <w:spacing w:before="120" w:after="120" w:line="240" w:lineRule="auto"/>
        <w:contextualSpacing w:val="0"/>
      </w:pPr>
      <w:hyperlink r:id="rId13" w:history="1">
        <w:r w:rsidR="00B00668" w:rsidRPr="003E3C14">
          <w:rPr>
            <w:rStyle w:val="Hyperlink"/>
            <w:rFonts w:cs="Arial"/>
            <w:lang w:val="es-ES"/>
          </w:rPr>
          <w:t>Actitudes en la comunidad</w:t>
        </w:r>
      </w:hyperlink>
    </w:p>
    <w:p w14:paraId="5DABC23E" w14:textId="016944DE" w:rsidR="00881AEF" w:rsidRPr="003E3C14" w:rsidRDefault="007354AB" w:rsidP="00B709F1">
      <w:pPr>
        <w:pStyle w:val="ListParagraph"/>
        <w:numPr>
          <w:ilvl w:val="0"/>
          <w:numId w:val="15"/>
        </w:numPr>
        <w:spacing w:before="120" w:after="120" w:line="240" w:lineRule="auto"/>
        <w:contextualSpacing w:val="0"/>
      </w:pPr>
      <w:hyperlink r:id="rId14" w:history="1">
        <w:r w:rsidR="00B00668" w:rsidRPr="003E3C14">
          <w:rPr>
            <w:rStyle w:val="Hyperlink"/>
            <w:rFonts w:cs="Arial"/>
            <w:lang w:val="es-ES"/>
          </w:rPr>
          <w:t>Primera infancia</w:t>
        </w:r>
      </w:hyperlink>
    </w:p>
    <w:p w14:paraId="21479F0A" w14:textId="121DF974" w:rsidR="00881AEF" w:rsidRPr="003E3C14" w:rsidRDefault="007354AB" w:rsidP="00B709F1">
      <w:pPr>
        <w:pStyle w:val="ListParagraph"/>
        <w:numPr>
          <w:ilvl w:val="0"/>
          <w:numId w:val="15"/>
        </w:numPr>
        <w:spacing w:before="120" w:after="120" w:line="240" w:lineRule="auto"/>
        <w:contextualSpacing w:val="0"/>
      </w:pPr>
      <w:hyperlink r:id="rId15" w:history="1">
        <w:r w:rsidR="00B00668" w:rsidRPr="003E3C14">
          <w:rPr>
            <w:rStyle w:val="Hyperlink"/>
            <w:rFonts w:cs="Arial"/>
            <w:lang w:val="es-ES"/>
          </w:rPr>
          <w:t>Seguridad</w:t>
        </w:r>
      </w:hyperlink>
    </w:p>
    <w:p w14:paraId="53AD064B" w14:textId="68FDF504" w:rsidR="00881AEF" w:rsidRPr="003E3C14" w:rsidRDefault="007354AB" w:rsidP="00B709F1">
      <w:pPr>
        <w:pStyle w:val="ListParagraph"/>
        <w:numPr>
          <w:ilvl w:val="0"/>
          <w:numId w:val="15"/>
        </w:numPr>
        <w:spacing w:before="120" w:after="120" w:line="240" w:lineRule="auto"/>
        <w:contextualSpacing w:val="0"/>
      </w:pPr>
      <w:hyperlink r:id="rId16" w:history="1">
        <w:r w:rsidR="00B00668" w:rsidRPr="003E3C14">
          <w:rPr>
            <w:rStyle w:val="Hyperlink"/>
            <w:rFonts w:cs="Arial"/>
            <w:lang w:val="es-ES"/>
          </w:rPr>
          <w:t>Gestión de emergencias</w:t>
        </w:r>
      </w:hyperlink>
    </w:p>
    <w:p w14:paraId="70A1CD3D" w14:textId="3DF46592" w:rsidR="00881AEF" w:rsidRPr="003E3C14" w:rsidRDefault="00B00668" w:rsidP="00F36AAD">
      <w:pPr>
        <w:spacing w:before="240" w:after="120" w:line="240" w:lineRule="auto"/>
        <w:rPr>
          <w:b/>
        </w:rPr>
      </w:pPr>
      <w:r w:rsidRPr="003E3C14">
        <w:rPr>
          <w:rFonts w:cs="Arial"/>
          <w:b/>
          <w:lang w:val="es-ES"/>
        </w:rPr>
        <w:t>Informar acerca de los TAP</w:t>
      </w:r>
    </w:p>
    <w:p w14:paraId="3A0443AA" w14:textId="77777777" w:rsidR="00B00668" w:rsidRPr="003E3C14" w:rsidRDefault="00B00668" w:rsidP="00B00668">
      <w:pPr>
        <w:spacing w:before="240" w:after="120" w:line="240" w:lineRule="auto"/>
        <w:rPr>
          <w:rFonts w:cs="Arial"/>
          <w:lang w:val="es-ES"/>
        </w:rPr>
      </w:pPr>
      <w:r w:rsidRPr="003E3C14">
        <w:rPr>
          <w:rFonts w:cs="Arial"/>
          <w:lang w:val="es-ES"/>
        </w:rPr>
        <w:t xml:space="preserve">Según la ADS, todos los gobiernos se comprometieron a proporcionar informes más completos y visibles para garantizar una mayor transparencia y responsabilidad en la mejora de las vidas de las personas con discapacidad. </w:t>
      </w:r>
    </w:p>
    <w:p w14:paraId="50A4A799" w14:textId="77777777" w:rsidR="00B00668" w:rsidRPr="003E3C14" w:rsidRDefault="00B00668" w:rsidP="00B00668">
      <w:pPr>
        <w:spacing w:before="240" w:after="120" w:line="240" w:lineRule="auto"/>
        <w:rPr>
          <w:rFonts w:cs="Arial"/>
          <w:lang w:val="es-ES"/>
        </w:rPr>
      </w:pPr>
      <w:r w:rsidRPr="003E3C14">
        <w:rPr>
          <w:rFonts w:cs="Arial"/>
          <w:lang w:val="es-ES"/>
        </w:rPr>
        <w:t>El informe anual de los TAP proporciona una actualización del progreso respecto a lo que los gobiernos están haciendo para implementar y avanzar las acciones de los TAP y los resultados exitosos. Los informes de los TAP se publican anualmente en función del año fiscal, de acuerdo con los requisitos de informes mejorados según la ADS.</w:t>
      </w:r>
    </w:p>
    <w:p w14:paraId="7BBA6D69" w14:textId="57BE866D" w:rsidR="00B00668" w:rsidRPr="003E3C14" w:rsidRDefault="00B00668" w:rsidP="00B00668">
      <w:pPr>
        <w:spacing w:before="240" w:after="120" w:line="240" w:lineRule="auto"/>
        <w:rPr>
          <w:b/>
        </w:rPr>
      </w:pPr>
      <w:r w:rsidRPr="003E3C14">
        <w:rPr>
          <w:rFonts w:cs="Arial"/>
          <w:lang w:val="es-ES"/>
        </w:rPr>
        <w:t>El primer informe anual sobre los TAP (Primer Informe de los TAP) se publicó el 25 de noviembre de 2022 y abarca el período desde el lanzamiento, el 3 de diciembre de 2021, al 30 de junio de 2022.</w:t>
      </w:r>
    </w:p>
    <w:p w14:paraId="764CE917" w14:textId="4C145ACC" w:rsidR="00396DD5" w:rsidRPr="003E3C14" w:rsidRDefault="00B00668" w:rsidP="00F36AAD">
      <w:pPr>
        <w:spacing w:before="240" w:after="120" w:line="240" w:lineRule="auto"/>
        <w:rPr>
          <w:b/>
        </w:rPr>
      </w:pPr>
      <w:r w:rsidRPr="003E3C14">
        <w:rPr>
          <w:rFonts w:cs="Arial"/>
          <w:b/>
          <w:lang w:val="es-ES"/>
        </w:rPr>
        <w:t>El Informe</w:t>
      </w:r>
    </w:p>
    <w:p w14:paraId="4588A798" w14:textId="77777777" w:rsidR="00DF1E6B" w:rsidRPr="003E3C14" w:rsidRDefault="00DF1E6B" w:rsidP="00DF1E6B">
      <w:pPr>
        <w:spacing w:before="240" w:after="120" w:line="240" w:lineRule="auto"/>
        <w:rPr>
          <w:rFonts w:cs="Arial"/>
          <w:lang w:val="es-ES"/>
        </w:rPr>
      </w:pPr>
      <w:r w:rsidRPr="003E3C14">
        <w:rPr>
          <w:rFonts w:cs="Arial"/>
          <w:lang w:val="es-ES"/>
        </w:rPr>
        <w:t>El segundo informe anual sobre los TAP (Segundo informe sobre los TAP) se basa en el progreso informado en el primer año de la ADS y abarca el período del 1̊ de julio de 2022 al 30 de junio de 2023. Se proporcionan actualizaciones de todos los gobiernos: australiano, estatales y territoriales, con partes destacadas incluidas para varias acciones.</w:t>
      </w:r>
    </w:p>
    <w:p w14:paraId="269253C7" w14:textId="77777777" w:rsidR="00DF1E6B" w:rsidRPr="003E3C14" w:rsidRDefault="00DF1E6B" w:rsidP="00DF1E6B">
      <w:pPr>
        <w:spacing w:before="240" w:after="120" w:line="240" w:lineRule="auto"/>
        <w:rPr>
          <w:rFonts w:cs="Arial"/>
          <w:lang w:val="es-ES"/>
        </w:rPr>
      </w:pPr>
      <w:r w:rsidRPr="003E3C14">
        <w:rPr>
          <w:rFonts w:cs="Arial"/>
          <w:lang w:val="es-ES"/>
        </w:rPr>
        <w:t>El Informe consiste en dos documentos: el Segundo informe sobre los TAP y un anexo.</w:t>
      </w:r>
    </w:p>
    <w:p w14:paraId="56A4BFCD" w14:textId="77777777" w:rsidR="00DF1E6B" w:rsidRPr="003E3C14" w:rsidRDefault="00DF1E6B" w:rsidP="00DF1E6B">
      <w:pPr>
        <w:autoSpaceDE w:val="0"/>
        <w:autoSpaceDN w:val="0"/>
        <w:adjustRightInd w:val="0"/>
        <w:spacing w:before="240" w:after="120" w:line="240" w:lineRule="auto"/>
        <w:rPr>
          <w:rFonts w:cs="Arial"/>
          <w:lang w:val="es-ES"/>
        </w:rPr>
      </w:pPr>
      <w:r w:rsidRPr="003E3C14">
        <w:rPr>
          <w:rFonts w:cs="Arial"/>
          <w:lang w:val="es-ES"/>
        </w:rPr>
        <w:t>El Segundo informe sobre los TAP proporciona un resumen, datos y gráficos. También incluye varios ejemplos que muestran cómo se implementan las acciones y su progreso. El informe también incluye un breve resumen sobre el progreso desde el lanzamiento de la ADS (período de diciembre de 2021 a junio de 2023).</w:t>
      </w:r>
    </w:p>
    <w:p w14:paraId="11780C9D" w14:textId="095EF265" w:rsidR="00DF1E6B" w:rsidRPr="003E3C14" w:rsidRDefault="00DF1E6B" w:rsidP="00DF1E6B">
      <w:pPr>
        <w:spacing w:before="240" w:after="120" w:line="240" w:lineRule="auto"/>
      </w:pPr>
      <w:r w:rsidRPr="003E3C14">
        <w:rPr>
          <w:rFonts w:cs="Arial"/>
          <w:lang w:val="es-ES"/>
        </w:rPr>
        <w:t>El Anexo presenta el progreso al 30 de junio de 2023 y una actualización de cada una de las 374 acciones restantes para indicar cómo está progresando la acción:</w:t>
      </w:r>
    </w:p>
    <w:p w14:paraId="3D4290A9" w14:textId="3C1448EC" w:rsidR="00396DD5" w:rsidRPr="003E3C14" w:rsidRDefault="00DF1E6B" w:rsidP="00F36AAD">
      <w:pPr>
        <w:tabs>
          <w:tab w:val="left" w:pos="1980"/>
          <w:tab w:val="left" w:pos="2160"/>
        </w:tabs>
        <w:spacing w:before="240" w:after="120" w:line="240" w:lineRule="auto"/>
      </w:pPr>
      <w:r w:rsidRPr="003E3C14">
        <w:rPr>
          <w:rFonts w:cs="Arial"/>
          <w:b/>
          <w:lang w:val="es-ES"/>
        </w:rPr>
        <w:t>Completada</w:t>
      </w:r>
      <w:r w:rsidR="00396DD5" w:rsidRPr="003E3C14">
        <w:tab/>
      </w:r>
      <w:r w:rsidR="00B56EA7" w:rsidRPr="003E3C14">
        <w:rPr>
          <w:rFonts w:cs="Arial"/>
          <w:lang w:val="es-ES"/>
        </w:rPr>
        <w:t>Esta acción se completó entre el 1̊ de julio de 2022 y el 30 de junio de 2023.</w:t>
      </w:r>
    </w:p>
    <w:p w14:paraId="3DB46794" w14:textId="594990BA" w:rsidR="00396DD5" w:rsidRPr="003E3C14" w:rsidRDefault="00DF1E6B" w:rsidP="00F36AAD">
      <w:pPr>
        <w:tabs>
          <w:tab w:val="left" w:pos="1980"/>
          <w:tab w:val="left" w:pos="2160"/>
        </w:tabs>
        <w:spacing w:before="240" w:after="120" w:line="240" w:lineRule="auto"/>
      </w:pPr>
      <w:r w:rsidRPr="003E3C14">
        <w:rPr>
          <w:rFonts w:cs="Arial"/>
          <w:b/>
          <w:bCs/>
          <w:lang w:val="es-ES"/>
        </w:rPr>
        <w:t>En curso</w:t>
      </w:r>
      <w:r w:rsidR="00396DD5" w:rsidRPr="003E3C14">
        <w:tab/>
      </w:r>
      <w:r w:rsidR="00B56EA7" w:rsidRPr="003E3C14">
        <w:rPr>
          <w:rFonts w:cs="Arial"/>
          <w:lang w:val="es-ES"/>
        </w:rPr>
        <w:t>Esta acción avanza según lo planificado.</w:t>
      </w:r>
    </w:p>
    <w:p w14:paraId="4CF67DD8" w14:textId="3C300FD0" w:rsidR="00396DD5" w:rsidRPr="003E3C14" w:rsidRDefault="00DF1E6B" w:rsidP="00F36AAD">
      <w:pPr>
        <w:tabs>
          <w:tab w:val="left" w:pos="1980"/>
          <w:tab w:val="left" w:pos="2160"/>
        </w:tabs>
        <w:spacing w:before="240" w:after="120" w:line="240" w:lineRule="auto"/>
      </w:pPr>
      <w:r w:rsidRPr="003E3C14">
        <w:rPr>
          <w:rFonts w:cs="Arial"/>
          <w:b/>
          <w:bCs/>
          <w:lang w:val="es-ES"/>
        </w:rPr>
        <w:t>Algunas demoras</w:t>
      </w:r>
      <w:r w:rsidR="00396DD5" w:rsidRPr="003E3C14">
        <w:tab/>
      </w:r>
      <w:r w:rsidR="00B56EA7" w:rsidRPr="003E3C14">
        <w:rPr>
          <w:rFonts w:cs="Arial"/>
          <w:lang w:val="es-ES"/>
        </w:rPr>
        <w:t xml:space="preserve">Si bien la acción se está desarrollando, </w:t>
      </w:r>
      <w:proofErr w:type="gramStart"/>
      <w:r w:rsidR="00B56EA7" w:rsidRPr="003E3C14">
        <w:rPr>
          <w:rFonts w:cs="Arial"/>
          <w:lang w:val="es-ES"/>
        </w:rPr>
        <w:t>está</w:t>
      </w:r>
      <w:proofErr w:type="gramEnd"/>
      <w:r w:rsidR="00B56EA7" w:rsidRPr="003E3C14">
        <w:rPr>
          <w:rFonts w:cs="Arial"/>
          <w:lang w:val="es-ES"/>
        </w:rPr>
        <w:t xml:space="preserve"> atrasada con respecto al cronograma inicial.</w:t>
      </w:r>
    </w:p>
    <w:p w14:paraId="2746A295" w14:textId="58E6E52B" w:rsidR="00396DD5" w:rsidRPr="003E3C14" w:rsidRDefault="00DF1E6B" w:rsidP="00F36AAD">
      <w:pPr>
        <w:tabs>
          <w:tab w:val="left" w:pos="1980"/>
          <w:tab w:val="left" w:pos="2160"/>
        </w:tabs>
        <w:spacing w:before="240" w:after="120" w:line="240" w:lineRule="auto"/>
        <w:ind w:left="1987" w:hanging="1987"/>
      </w:pPr>
      <w:r w:rsidRPr="003E3C14">
        <w:rPr>
          <w:rFonts w:cs="Arial"/>
          <w:b/>
          <w:bCs/>
          <w:lang w:val="es-ES"/>
        </w:rPr>
        <w:t>En pausa</w:t>
      </w:r>
      <w:r w:rsidR="00396DD5" w:rsidRPr="003E3C14">
        <w:tab/>
      </w:r>
      <w:r w:rsidR="00B56EA7" w:rsidRPr="003E3C14">
        <w:rPr>
          <w:rFonts w:cs="Arial"/>
          <w:lang w:val="es-ES"/>
        </w:rPr>
        <w:t>Esta acción comenzó o iba a comenzar, pero se puso en pausa.</w:t>
      </w:r>
    </w:p>
    <w:p w14:paraId="5BD8032C" w14:textId="30A74F74" w:rsidR="00396DD5" w:rsidRPr="003E3C14" w:rsidRDefault="00DF1E6B" w:rsidP="00F36AAD">
      <w:pPr>
        <w:tabs>
          <w:tab w:val="left" w:pos="1980"/>
          <w:tab w:val="left" w:pos="2160"/>
        </w:tabs>
        <w:spacing w:before="240" w:after="120" w:line="240" w:lineRule="auto"/>
      </w:pPr>
      <w:r w:rsidRPr="003E3C14">
        <w:rPr>
          <w:rFonts w:cs="Arial"/>
          <w:b/>
          <w:bCs/>
          <w:lang w:val="es-ES"/>
        </w:rPr>
        <w:t>Inicio futuro</w:t>
      </w:r>
      <w:r w:rsidR="00396DD5" w:rsidRPr="003E3C14">
        <w:tab/>
      </w:r>
      <w:r w:rsidR="00B56EA7" w:rsidRPr="003E3C14">
        <w:rPr>
          <w:rFonts w:cs="Arial"/>
          <w:lang w:val="es-ES"/>
        </w:rPr>
        <w:t>Esta acción estaba programada para comenzar después del 30 de junio de 2023.</w:t>
      </w:r>
    </w:p>
    <w:p w14:paraId="65DC99DA" w14:textId="113D7DB7" w:rsidR="0020422A" w:rsidRPr="003E3C14" w:rsidRDefault="00DF1E6B" w:rsidP="00F36AAD">
      <w:pPr>
        <w:tabs>
          <w:tab w:val="left" w:pos="1980"/>
          <w:tab w:val="left" w:pos="2160"/>
        </w:tabs>
        <w:spacing w:before="240" w:after="120" w:line="240" w:lineRule="auto"/>
      </w:pPr>
      <w:r w:rsidRPr="003E3C14">
        <w:rPr>
          <w:rFonts w:cs="Arial"/>
          <w:b/>
          <w:lang w:val="es-ES"/>
        </w:rPr>
        <w:lastRenderedPageBreak/>
        <w:t>No aplicable</w:t>
      </w:r>
      <w:r w:rsidR="0020422A" w:rsidRPr="003E3C14">
        <w:tab/>
      </w:r>
      <w:r w:rsidR="00B56EA7" w:rsidRPr="003E3C14">
        <w:rPr>
          <w:rFonts w:cs="Arial"/>
          <w:lang w:val="es-ES"/>
        </w:rPr>
        <w:t>Esta acción se completó al 30 de junio de 2022.</w:t>
      </w:r>
    </w:p>
    <w:p w14:paraId="24E37A3B" w14:textId="77777777" w:rsidR="00DF1E6B" w:rsidRPr="003E3C14" w:rsidRDefault="00DF1E6B" w:rsidP="00DF1E6B">
      <w:pPr>
        <w:spacing w:before="240" w:after="240" w:line="240" w:lineRule="auto"/>
        <w:rPr>
          <w:rFonts w:cs="Arial"/>
          <w:lang w:val="es-ES"/>
        </w:rPr>
      </w:pPr>
      <w:r w:rsidRPr="003E3C14">
        <w:rPr>
          <w:rFonts w:cs="Arial"/>
          <w:lang w:val="es-ES"/>
        </w:rPr>
        <w:t>El Anexo también incluye el estado de las acciones desde el Primer Informe de los TAP a modo de comparación. Todas las acciones se vincularon con la Prioridad de la política correspondiente de la ADS.</w:t>
      </w:r>
    </w:p>
    <w:p w14:paraId="28C26D98" w14:textId="45D502C0" w:rsidR="007F1217" w:rsidRPr="003E3C14" w:rsidRDefault="00DF1E6B" w:rsidP="00DF1E6B">
      <w:pPr>
        <w:spacing w:before="240" w:after="240" w:line="240" w:lineRule="auto"/>
        <w:rPr>
          <w:rStyle w:val="Hyperlink"/>
          <w:b w:val="0"/>
        </w:rPr>
      </w:pPr>
      <w:r w:rsidRPr="003E3C14">
        <w:rPr>
          <w:rFonts w:cs="Arial"/>
          <w:lang w:val="es-ES"/>
        </w:rPr>
        <w:t xml:space="preserve">Hay más información disponible acerca de la ADS, incluidos los TAP, en </w:t>
      </w:r>
      <w:hyperlink r:id="rId17" w:history="1">
        <w:r w:rsidR="00396DD5" w:rsidRPr="003E3C14">
          <w:rPr>
            <w:rStyle w:val="Hyperlink"/>
            <w:b w:val="0"/>
          </w:rPr>
          <w:t>www.disabilitygateway.gov.au/ads</w:t>
        </w:r>
      </w:hyperlink>
    </w:p>
    <w:p w14:paraId="717D5B5F" w14:textId="77777777" w:rsidR="007F1217" w:rsidRPr="003E3C14" w:rsidRDefault="007F1217" w:rsidP="007F1217">
      <w:pPr>
        <w:rPr>
          <w:rStyle w:val="Hyperlink"/>
          <w:b w:val="0"/>
        </w:rPr>
      </w:pPr>
      <w:r w:rsidRPr="003E3C14">
        <w:rPr>
          <w:rStyle w:val="Hyperlink"/>
          <w:b w:val="0"/>
        </w:rPr>
        <w:br w:type="page"/>
      </w:r>
    </w:p>
    <w:p w14:paraId="19B1C08E" w14:textId="64ED92BD" w:rsidR="00396DD5" w:rsidRPr="003E3C14" w:rsidRDefault="001850E8" w:rsidP="00F36AAD">
      <w:pPr>
        <w:pStyle w:val="Heading1"/>
      </w:pPr>
      <w:bookmarkStart w:id="2" w:name="_Toc153314028"/>
      <w:r w:rsidRPr="003E3C14">
        <w:rPr>
          <w:rFonts w:cs="Arial"/>
          <w:lang w:val="es-ES"/>
        </w:rPr>
        <w:lastRenderedPageBreak/>
        <w:t>Progreso Nacional</w:t>
      </w:r>
      <w:bookmarkEnd w:id="2"/>
    </w:p>
    <w:p w14:paraId="50CD1640" w14:textId="77777777" w:rsidR="003E3C14" w:rsidRPr="003E3C14" w:rsidRDefault="003E3C14" w:rsidP="003E3C14">
      <w:pPr>
        <w:spacing w:before="240" w:after="240" w:line="240" w:lineRule="auto"/>
        <w:rPr>
          <w:rFonts w:cs="Arial"/>
          <w:lang w:val="es-ES"/>
        </w:rPr>
      </w:pPr>
      <w:r w:rsidRPr="003E3C14">
        <w:rPr>
          <w:rFonts w:cs="Arial"/>
          <w:lang w:val="es-ES"/>
        </w:rPr>
        <w:t>El enfoque del informe, el período de informe 2022-2023, se centra en el progreso de las 374 acciones que quedaron pendientes (no completadas) del período de informe 2021-2022. Aunque en el progreso de las acciones para este período de informe se observa un aumento en las acciones completadas en comparación con el período de informe 2021-2022, hay un par de TAP con una cantidad de acciones que tuvieron algunas demoras o que se pusieron en pausa.</w:t>
      </w:r>
    </w:p>
    <w:p w14:paraId="58690AB8" w14:textId="66DB742F" w:rsidR="003E3C14" w:rsidRPr="003E3C14" w:rsidRDefault="003E3C14" w:rsidP="003E3C14">
      <w:pPr>
        <w:spacing w:before="240" w:after="240" w:line="240" w:lineRule="auto"/>
      </w:pPr>
      <w:r w:rsidRPr="003E3C14">
        <w:rPr>
          <w:rFonts w:cs="Arial"/>
          <w:lang w:val="es-ES"/>
        </w:rPr>
        <w:t>En resumen, el progreso nacional en los 5 TAP que comprenden 374 acciones pendientes en el período de informe 2022-2023 muestra:</w:t>
      </w:r>
    </w:p>
    <w:p w14:paraId="2D9F9455" w14:textId="7B7A0890" w:rsidR="00396DD5" w:rsidRPr="003E3C14" w:rsidRDefault="003E3C14" w:rsidP="00B709F1">
      <w:pPr>
        <w:pStyle w:val="ListParagraph"/>
        <w:numPr>
          <w:ilvl w:val="0"/>
          <w:numId w:val="16"/>
        </w:numPr>
        <w:spacing w:before="120" w:after="120" w:line="240" w:lineRule="auto"/>
        <w:ind w:left="360"/>
        <w:contextualSpacing w:val="0"/>
      </w:pPr>
      <w:r w:rsidRPr="003E3C14">
        <w:rPr>
          <w:rFonts w:cs="Arial"/>
          <w:b/>
          <w:lang w:val="es-ES"/>
        </w:rPr>
        <w:t>310 (83 %)</w:t>
      </w:r>
      <w:r w:rsidRPr="003E3C14">
        <w:rPr>
          <w:rFonts w:cs="Arial"/>
          <w:lang w:val="es-ES"/>
        </w:rPr>
        <w:t xml:space="preserve"> acciones informadas como completadas o en curso con</w:t>
      </w:r>
    </w:p>
    <w:p w14:paraId="451973E5" w14:textId="583CA97D" w:rsidR="00E37F9D" w:rsidRPr="003E3C14" w:rsidRDefault="003E3C14" w:rsidP="00B709F1">
      <w:pPr>
        <w:pStyle w:val="ListParagraph"/>
        <w:numPr>
          <w:ilvl w:val="1"/>
          <w:numId w:val="17"/>
        </w:numPr>
        <w:spacing w:before="120" w:after="120" w:line="240" w:lineRule="auto"/>
        <w:ind w:left="720"/>
        <w:contextualSpacing w:val="0"/>
      </w:pPr>
      <w:r w:rsidRPr="003E3C14">
        <w:rPr>
          <w:rFonts w:cs="Arial"/>
          <w:b/>
          <w:lang w:val="es-ES"/>
        </w:rPr>
        <w:t xml:space="preserve">101 (27 %) </w:t>
      </w:r>
      <w:r w:rsidRPr="003E3C14">
        <w:rPr>
          <w:rFonts w:cs="Arial"/>
          <w:lang w:val="es-ES"/>
        </w:rPr>
        <w:t>acciones completadas y</w:t>
      </w:r>
      <w:r w:rsidR="00D77A09" w:rsidRPr="003E3C14">
        <w:t xml:space="preserve"> </w:t>
      </w:r>
    </w:p>
    <w:p w14:paraId="7BFDD2C3" w14:textId="7C9A07B2" w:rsidR="00E37F9D" w:rsidRPr="003E3C14" w:rsidRDefault="003E3C14" w:rsidP="00B709F1">
      <w:pPr>
        <w:pStyle w:val="ListParagraph"/>
        <w:numPr>
          <w:ilvl w:val="1"/>
          <w:numId w:val="17"/>
        </w:numPr>
        <w:spacing w:before="120" w:after="120" w:line="240" w:lineRule="auto"/>
        <w:ind w:left="720"/>
        <w:contextualSpacing w:val="0"/>
      </w:pPr>
      <w:r w:rsidRPr="003E3C14">
        <w:rPr>
          <w:rFonts w:cs="Arial"/>
          <w:b/>
          <w:lang w:val="es-ES"/>
        </w:rPr>
        <w:t xml:space="preserve">209 (56 %) </w:t>
      </w:r>
      <w:r w:rsidRPr="003E3C14">
        <w:rPr>
          <w:rFonts w:cs="Arial"/>
          <w:lang w:val="es-ES"/>
        </w:rPr>
        <w:t>acciones en curso.</w:t>
      </w:r>
    </w:p>
    <w:p w14:paraId="26B11882" w14:textId="0415D9FF" w:rsidR="00CC6483" w:rsidRPr="003E3C14" w:rsidRDefault="00CE1D86" w:rsidP="00B709F1">
      <w:pPr>
        <w:pStyle w:val="ListParagraph"/>
        <w:numPr>
          <w:ilvl w:val="0"/>
          <w:numId w:val="16"/>
        </w:numPr>
        <w:spacing w:before="120" w:after="120" w:line="240" w:lineRule="auto"/>
        <w:ind w:left="360"/>
        <w:contextualSpacing w:val="0"/>
      </w:pPr>
      <w:r w:rsidRPr="00501ED4">
        <w:rPr>
          <w:rFonts w:cs="Arial"/>
          <w:b/>
          <w:lang w:val="es-ES"/>
        </w:rPr>
        <w:t>64 (17 %)</w:t>
      </w:r>
      <w:r w:rsidRPr="00501ED4">
        <w:rPr>
          <w:rFonts w:cs="Arial"/>
          <w:lang w:val="es-ES"/>
        </w:rPr>
        <w:t xml:space="preserve"> acciones informadas con algunas demoras, puestas en pausa, o con fecha de inicio futura.</w:t>
      </w:r>
    </w:p>
    <w:p w14:paraId="5616A0CA" w14:textId="06715CB3" w:rsidR="008363E4" w:rsidRPr="003E3C14" w:rsidRDefault="00CE1D86" w:rsidP="00F36AAD">
      <w:pPr>
        <w:spacing w:before="240" w:after="240" w:line="240" w:lineRule="auto"/>
      </w:pPr>
      <w:r w:rsidRPr="00501ED4">
        <w:rPr>
          <w:rFonts w:cs="Arial"/>
          <w:lang w:val="es-ES"/>
        </w:rPr>
        <w:t>Las siguientes jurisdicciones registraron los siguientes resultados:</w:t>
      </w:r>
    </w:p>
    <w:p w14:paraId="26AF84C0" w14:textId="77777777" w:rsidR="00CE1D86" w:rsidRPr="00501ED4" w:rsidRDefault="00CE1D86" w:rsidP="00B709F1">
      <w:pPr>
        <w:pStyle w:val="ListParagraph"/>
        <w:numPr>
          <w:ilvl w:val="0"/>
          <w:numId w:val="16"/>
        </w:numPr>
        <w:tabs>
          <w:tab w:val="left" w:pos="360"/>
        </w:tabs>
        <w:spacing w:before="120" w:after="120" w:line="240" w:lineRule="auto"/>
        <w:ind w:left="360"/>
        <w:contextualSpacing w:val="0"/>
        <w:rPr>
          <w:rFonts w:cs="Arial"/>
          <w:lang w:val="es-ES"/>
        </w:rPr>
      </w:pPr>
      <w:r w:rsidRPr="00501ED4">
        <w:rPr>
          <w:rFonts w:cs="Arial"/>
          <w:lang w:val="es-ES"/>
        </w:rPr>
        <w:t xml:space="preserve">El Territorio de la Capital Australiana tiene el mayor porcentaje de acciones completadas, con el </w:t>
      </w:r>
      <w:r w:rsidRPr="00501ED4">
        <w:rPr>
          <w:rFonts w:cs="Arial"/>
          <w:b/>
          <w:lang w:val="es-ES"/>
        </w:rPr>
        <w:t>58 %</w:t>
      </w:r>
    </w:p>
    <w:p w14:paraId="36848474" w14:textId="77777777" w:rsidR="00CE1D86" w:rsidRPr="00501ED4" w:rsidRDefault="00CE1D86" w:rsidP="00B709F1">
      <w:pPr>
        <w:pStyle w:val="ListParagraph"/>
        <w:numPr>
          <w:ilvl w:val="0"/>
          <w:numId w:val="16"/>
        </w:numPr>
        <w:tabs>
          <w:tab w:val="left" w:pos="360"/>
        </w:tabs>
        <w:spacing w:before="120" w:after="120" w:line="240" w:lineRule="auto"/>
        <w:ind w:left="360"/>
        <w:contextualSpacing w:val="0"/>
        <w:rPr>
          <w:rFonts w:cs="Arial"/>
          <w:lang w:val="es-ES"/>
        </w:rPr>
      </w:pPr>
      <w:r w:rsidRPr="00501ED4">
        <w:rPr>
          <w:rFonts w:cs="Arial"/>
          <w:lang w:val="es-ES"/>
        </w:rPr>
        <w:t xml:space="preserve">El Territorio del Norte tiene el mayor porcentaje de acciones en curso, con el </w:t>
      </w:r>
      <w:r w:rsidRPr="00501ED4">
        <w:rPr>
          <w:rFonts w:cs="Arial"/>
          <w:b/>
          <w:lang w:val="es-ES"/>
        </w:rPr>
        <w:t>79 %</w:t>
      </w:r>
    </w:p>
    <w:p w14:paraId="14DA33A7" w14:textId="77777777" w:rsidR="00CE1D86" w:rsidRPr="00501ED4" w:rsidRDefault="00CE1D86" w:rsidP="00B709F1">
      <w:pPr>
        <w:pStyle w:val="ListParagraph"/>
        <w:numPr>
          <w:ilvl w:val="0"/>
          <w:numId w:val="16"/>
        </w:numPr>
        <w:tabs>
          <w:tab w:val="left" w:pos="360"/>
        </w:tabs>
        <w:spacing w:before="120" w:after="120" w:line="240" w:lineRule="auto"/>
        <w:ind w:left="360"/>
        <w:contextualSpacing w:val="0"/>
        <w:rPr>
          <w:rFonts w:cs="Arial"/>
          <w:lang w:val="es-ES"/>
        </w:rPr>
      </w:pPr>
      <w:r w:rsidRPr="00501ED4">
        <w:rPr>
          <w:rFonts w:cs="Arial"/>
          <w:lang w:val="es-ES"/>
        </w:rPr>
        <w:t xml:space="preserve">Victoria y Australia Occidental registraron un porcentaje de acciones completadas y en curso del </w:t>
      </w:r>
      <w:r w:rsidRPr="00501ED4">
        <w:rPr>
          <w:rFonts w:cs="Arial"/>
          <w:b/>
          <w:lang w:val="es-ES"/>
        </w:rPr>
        <w:t>96 %</w:t>
      </w:r>
      <w:r w:rsidRPr="00501ED4">
        <w:rPr>
          <w:rFonts w:cs="Arial"/>
          <w:lang w:val="es-ES"/>
        </w:rPr>
        <w:t xml:space="preserve"> y </w:t>
      </w:r>
      <w:r w:rsidRPr="00501ED4">
        <w:rPr>
          <w:rFonts w:cs="Arial"/>
          <w:b/>
          <w:lang w:val="es-ES"/>
        </w:rPr>
        <w:t xml:space="preserve">97 % </w:t>
      </w:r>
      <w:r w:rsidRPr="00501ED4">
        <w:rPr>
          <w:rFonts w:cs="Arial"/>
          <w:lang w:val="es-ES"/>
        </w:rPr>
        <w:t>respectivamente</w:t>
      </w:r>
    </w:p>
    <w:p w14:paraId="0BC52F2D" w14:textId="20BDC85C" w:rsidR="00CE1D86" w:rsidRPr="003E3C14" w:rsidRDefault="00CE1D86" w:rsidP="00B709F1">
      <w:pPr>
        <w:pStyle w:val="ListParagraph"/>
        <w:numPr>
          <w:ilvl w:val="0"/>
          <w:numId w:val="16"/>
        </w:numPr>
        <w:tabs>
          <w:tab w:val="left" w:pos="360"/>
        </w:tabs>
        <w:spacing w:before="120" w:after="120" w:line="240" w:lineRule="auto"/>
        <w:ind w:left="360"/>
        <w:contextualSpacing w:val="0"/>
      </w:pPr>
      <w:r w:rsidRPr="00501ED4">
        <w:rPr>
          <w:rFonts w:cs="Arial"/>
          <w:lang w:val="es-ES"/>
        </w:rPr>
        <w:t xml:space="preserve">El gobierno australiano y Nueva Gales del Sur tienen el porcentaje más alto de acciones con algunas demoras y puestas en pausa, con el </w:t>
      </w:r>
      <w:r w:rsidRPr="00501ED4">
        <w:rPr>
          <w:rFonts w:cs="Arial"/>
          <w:b/>
          <w:lang w:val="es-ES"/>
        </w:rPr>
        <w:t>3</w:t>
      </w:r>
      <w:r w:rsidR="007354AB">
        <w:rPr>
          <w:rFonts w:cs="Arial"/>
          <w:b/>
          <w:lang w:val="es-ES"/>
        </w:rPr>
        <w:t>1</w:t>
      </w:r>
      <w:bookmarkStart w:id="3" w:name="_GoBack"/>
      <w:bookmarkEnd w:id="3"/>
      <w:r w:rsidRPr="00501ED4">
        <w:rPr>
          <w:rFonts w:cs="Arial"/>
          <w:b/>
          <w:lang w:val="es-ES"/>
        </w:rPr>
        <w:t xml:space="preserve"> %</w:t>
      </w:r>
      <w:r w:rsidRPr="00501ED4">
        <w:rPr>
          <w:rFonts w:cs="Arial"/>
          <w:lang w:val="es-ES"/>
        </w:rPr>
        <w:t xml:space="preserve"> y </w:t>
      </w:r>
      <w:r w:rsidRPr="00501ED4">
        <w:rPr>
          <w:rFonts w:cs="Arial"/>
          <w:b/>
          <w:lang w:val="es-ES"/>
        </w:rPr>
        <w:t>35 %</w:t>
      </w:r>
      <w:r w:rsidRPr="00501ED4">
        <w:rPr>
          <w:rFonts w:cs="Arial"/>
          <w:lang w:val="es-ES"/>
        </w:rPr>
        <w:t xml:space="preserve"> respectivamente.</w:t>
      </w:r>
    </w:p>
    <w:p w14:paraId="6CCA47BF" w14:textId="3E80CAB1" w:rsidR="00A505E0" w:rsidRPr="003E3C14" w:rsidRDefault="00CE1D86" w:rsidP="00F36AAD">
      <w:pPr>
        <w:spacing w:before="240" w:after="240" w:line="240" w:lineRule="auto"/>
      </w:pPr>
      <w:r w:rsidRPr="00501ED4">
        <w:rPr>
          <w:rFonts w:cs="Arial"/>
          <w:lang w:val="es-ES"/>
        </w:rPr>
        <w:t>Las jurisdicciones notaron que algunas demoras o puestas en pausa son los efectos que continúan de problemas de demoras previos, como el COVID-19 o la espera de resultados de revisiones, como la de la Comisión Real sobre Violencia, Maltrato, Abandono y Explotación de las Personas con Discapacidad (Royal Commission into Violence, Abuse, Neglect and Exploitation of People with Disability) y la revisión del NDIS (Programa Nacional de Seguro por Discapacidad). Otros motivos de las acciones demoradas o con pausa pueden atribuirse a revisiones de plazos para alinearse con otras obras gubernamentales, como la Estrategia Nacional de Autismo (National Autism Strategy) y la Estrategia de la Primera Infancia (Early Years Strategy), y en ciertos casos, negociar posiciones y llegar a acuerdos para compartir datos entre las jurisdicciones está llevando más tiempo de lo esperado.</w:t>
      </w:r>
    </w:p>
    <w:p w14:paraId="0482E5CE" w14:textId="2CB6C590" w:rsidR="00A54DB9" w:rsidRPr="003E3C14" w:rsidRDefault="00A54DB9">
      <w:pPr>
        <w:rPr>
          <w:b/>
        </w:rPr>
      </w:pPr>
      <w:r w:rsidRPr="003E3C14">
        <w:rPr>
          <w:b/>
        </w:rPr>
        <w:br w:type="page"/>
      </w:r>
    </w:p>
    <w:p w14:paraId="1C36F253" w14:textId="29716B5D" w:rsidR="00A54DB9" w:rsidRPr="003E3C14" w:rsidRDefault="00D025B9" w:rsidP="0066071F">
      <w:pPr>
        <w:rPr>
          <w:b/>
          <w:bCs/>
          <w:color w:val="6C1740"/>
          <w:sz w:val="94"/>
          <w:szCs w:val="94"/>
        </w:rPr>
      </w:pPr>
      <w:r w:rsidRPr="00D025B9">
        <w:rPr>
          <w:b/>
          <w:bCs/>
          <w:color w:val="6C1740"/>
          <w:sz w:val="94"/>
          <w:szCs w:val="94"/>
        </w:rPr>
        <w:lastRenderedPageBreak/>
        <w:t>Progreso nacional</w:t>
      </w:r>
    </w:p>
    <w:p w14:paraId="66441F99" w14:textId="14821B3A" w:rsidR="00CC1683" w:rsidRPr="003E3C14" w:rsidRDefault="00D025B9" w:rsidP="00F36AAD">
      <w:pPr>
        <w:spacing w:before="240" w:after="240" w:line="240" w:lineRule="auto"/>
      </w:pPr>
      <w:r w:rsidRPr="00501ED4">
        <w:rPr>
          <w:rFonts w:cs="Arial"/>
          <w:lang w:val="es-ES"/>
        </w:rPr>
        <w:t>En el período del 1̊ de julio de 2022 al 30 de junio de 2023, se informó que la mayoría de los TAP tuvieron un 80 % o más de las acciones completadas o en curso durante el período de informe. El TAP de Gestión de Emergencias tuvo la proporción más alta de acciones completadas y en curso, con un 93 %. Si bien el TAP de Seguridad tuvo la proporción más baja de acciones completadas y en curso, con un 74 %, tuvo la segunda proporción más alta de acciones completadas, con un 29 %.</w:t>
      </w:r>
    </w:p>
    <w:p w14:paraId="276FB7F2" w14:textId="701974E4" w:rsidR="006B3368" w:rsidRPr="00D025B9" w:rsidRDefault="00D025B9" w:rsidP="00F36AAD">
      <w:pPr>
        <w:spacing w:before="240" w:after="240"/>
        <w:rPr>
          <w:b/>
          <w:color w:val="6C1740"/>
        </w:rPr>
      </w:pPr>
      <w:r w:rsidRPr="00D025B9">
        <w:rPr>
          <w:rFonts w:cs="Arial"/>
          <w:b/>
          <w:color w:val="6C1740"/>
          <w:lang w:val="es-ES"/>
        </w:rPr>
        <w:t>Tabla 1: Progreso de las acciones de los TAP durante el período de informe 2022-2023</w:t>
      </w:r>
    </w:p>
    <w:tbl>
      <w:tblPr>
        <w:tblStyle w:val="TableGrid"/>
        <w:tblW w:w="5000" w:type="pc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1: TAPs progress of action for the reporting period 2022-2023"/>
      </w:tblPr>
      <w:tblGrid>
        <w:gridCol w:w="1448"/>
        <w:gridCol w:w="1478"/>
        <w:gridCol w:w="1262"/>
        <w:gridCol w:w="1262"/>
        <w:gridCol w:w="1264"/>
        <w:gridCol w:w="1264"/>
        <w:gridCol w:w="1264"/>
      </w:tblGrid>
      <w:tr w:rsidR="00752358" w:rsidRPr="003E3C14" w14:paraId="640E416C" w14:textId="77777777" w:rsidTr="006576A6">
        <w:tc>
          <w:tcPr>
            <w:tcW w:w="783" w:type="pct"/>
            <w:tcBorders>
              <w:top w:val="single" w:sz="4" w:space="0" w:color="auto"/>
              <w:bottom w:val="single" w:sz="4" w:space="0" w:color="auto"/>
              <w:right w:val="single" w:sz="4" w:space="0" w:color="FFFFFF" w:themeColor="background1"/>
            </w:tcBorders>
            <w:shd w:val="clear" w:color="auto" w:fill="6C1740"/>
          </w:tcPr>
          <w:p w14:paraId="2549FB2D" w14:textId="4CBD3EBC" w:rsidR="00752358" w:rsidRPr="00BC2F9E" w:rsidRDefault="00BC2F9E" w:rsidP="006877D0">
            <w:pPr>
              <w:rPr>
                <w:b/>
                <w:color w:val="FFFFFF" w:themeColor="background1"/>
                <w:sz w:val="20"/>
                <w:szCs w:val="20"/>
              </w:rPr>
            </w:pPr>
            <w:bookmarkStart w:id="4" w:name="Title_01"/>
            <w:bookmarkEnd w:id="4"/>
            <w:r w:rsidRPr="00BC2F9E">
              <w:rPr>
                <w:rFonts w:eastAsia="Times New Roman" w:cs="Calibri"/>
                <w:b/>
                <w:bCs/>
                <w:color w:val="FFFFFF" w:themeColor="background1"/>
                <w:lang w:val="es" w:eastAsia="en-AU"/>
              </w:rPr>
              <w:t>Gobierno</w:t>
            </w:r>
          </w:p>
        </w:tc>
        <w:tc>
          <w:tcPr>
            <w:tcW w:w="79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03191A45" w14:textId="09210EA6" w:rsidR="00752358" w:rsidRPr="00BC2F9E" w:rsidRDefault="00BC2F9E" w:rsidP="00F36AAD">
            <w:pPr>
              <w:jc w:val="right"/>
              <w:rPr>
                <w:b/>
                <w:color w:val="FFFFFF" w:themeColor="background1"/>
                <w:sz w:val="20"/>
                <w:szCs w:val="20"/>
              </w:rPr>
            </w:pPr>
            <w:r w:rsidRPr="00BC2F9E">
              <w:rPr>
                <w:rFonts w:eastAsia="Times New Roman" w:cs="Calibri"/>
                <w:b/>
                <w:bCs/>
                <w:color w:val="FFFFFF" w:themeColor="background1"/>
                <w:lang w:val="es" w:eastAsia="en-AU"/>
              </w:rPr>
              <w:t>Completada</w:t>
            </w:r>
          </w:p>
        </w:tc>
        <w:tc>
          <w:tcPr>
            <w:tcW w:w="68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75117FD6" w14:textId="64B2B4F7" w:rsidR="00752358" w:rsidRPr="00BC2F9E" w:rsidRDefault="00BC2F9E" w:rsidP="00F36AAD">
            <w:pPr>
              <w:jc w:val="right"/>
              <w:rPr>
                <w:b/>
                <w:color w:val="FFFFFF" w:themeColor="background1"/>
                <w:sz w:val="20"/>
                <w:szCs w:val="20"/>
              </w:rPr>
            </w:pPr>
            <w:r w:rsidRPr="00BC2F9E">
              <w:rPr>
                <w:rFonts w:eastAsia="Times New Roman" w:cs="Calibri"/>
                <w:b/>
                <w:bCs/>
                <w:color w:val="FFFFFF" w:themeColor="background1"/>
                <w:lang w:val="es" w:eastAsia="en-AU"/>
              </w:rPr>
              <w:t>En curso</w:t>
            </w:r>
          </w:p>
        </w:tc>
        <w:tc>
          <w:tcPr>
            <w:tcW w:w="68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3B622C7B" w14:textId="6B491ACE" w:rsidR="00752358" w:rsidRPr="00BC2F9E" w:rsidRDefault="00BC2F9E" w:rsidP="00F36AAD">
            <w:pPr>
              <w:jc w:val="right"/>
              <w:rPr>
                <w:b/>
                <w:color w:val="FFFFFF" w:themeColor="background1"/>
                <w:sz w:val="20"/>
                <w:szCs w:val="20"/>
              </w:rPr>
            </w:pPr>
            <w:r w:rsidRPr="00BC2F9E">
              <w:rPr>
                <w:rFonts w:eastAsia="Times New Roman" w:cs="Calibri"/>
                <w:b/>
                <w:bCs/>
                <w:color w:val="FFFFFF" w:themeColor="background1"/>
                <w:lang w:val="es" w:eastAsia="en-AU"/>
              </w:rPr>
              <w:t>Algunas demoras</w:t>
            </w:r>
          </w:p>
        </w:tc>
        <w:tc>
          <w:tcPr>
            <w:tcW w:w="68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40513F47" w14:textId="5F64E442" w:rsidR="00752358" w:rsidRPr="00BC2F9E" w:rsidRDefault="00BC2F9E" w:rsidP="00F36AAD">
            <w:pPr>
              <w:jc w:val="right"/>
              <w:rPr>
                <w:b/>
                <w:color w:val="FFFFFF" w:themeColor="background1"/>
                <w:sz w:val="20"/>
                <w:szCs w:val="20"/>
              </w:rPr>
            </w:pPr>
            <w:r w:rsidRPr="00BC2F9E">
              <w:rPr>
                <w:rFonts w:eastAsia="Times New Roman" w:cs="Calibri"/>
                <w:b/>
                <w:bCs/>
                <w:color w:val="FFFFFF" w:themeColor="background1"/>
                <w:lang w:val="es" w:eastAsia="en-AU"/>
              </w:rPr>
              <w:t>En pausa</w:t>
            </w:r>
          </w:p>
        </w:tc>
        <w:tc>
          <w:tcPr>
            <w:tcW w:w="68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07F56368" w14:textId="00443DFA" w:rsidR="00752358" w:rsidRPr="00BC2F9E" w:rsidRDefault="00BC2F9E" w:rsidP="00F36AAD">
            <w:pPr>
              <w:jc w:val="right"/>
              <w:rPr>
                <w:b/>
                <w:color w:val="FFFFFF" w:themeColor="background1"/>
                <w:sz w:val="20"/>
                <w:szCs w:val="20"/>
              </w:rPr>
            </w:pPr>
            <w:r w:rsidRPr="00BC2F9E">
              <w:rPr>
                <w:rFonts w:eastAsia="Times New Roman" w:cs="Calibri"/>
                <w:b/>
                <w:bCs/>
                <w:color w:val="FFFFFF" w:themeColor="background1"/>
                <w:lang w:val="es" w:eastAsia="en-AU"/>
              </w:rPr>
              <w:t>Inicio futuro</w:t>
            </w:r>
          </w:p>
        </w:tc>
        <w:tc>
          <w:tcPr>
            <w:tcW w:w="684" w:type="pct"/>
            <w:tcBorders>
              <w:top w:val="single" w:sz="4" w:space="0" w:color="auto"/>
              <w:left w:val="single" w:sz="4" w:space="0" w:color="FFFFFF" w:themeColor="background1"/>
              <w:bottom w:val="single" w:sz="4" w:space="0" w:color="auto"/>
            </w:tcBorders>
            <w:shd w:val="clear" w:color="auto" w:fill="6C1740"/>
          </w:tcPr>
          <w:p w14:paraId="6904466A" w14:textId="7AAE0676" w:rsidR="00752358" w:rsidRPr="00BC2F9E" w:rsidRDefault="00752358" w:rsidP="00F36AAD">
            <w:pPr>
              <w:jc w:val="right"/>
              <w:rPr>
                <w:b/>
                <w:color w:val="FFFFFF" w:themeColor="background1"/>
                <w:sz w:val="20"/>
                <w:szCs w:val="20"/>
              </w:rPr>
            </w:pPr>
            <w:r w:rsidRPr="00BC2F9E">
              <w:rPr>
                <w:b/>
                <w:color w:val="FFFFFF" w:themeColor="background1"/>
                <w:sz w:val="20"/>
                <w:szCs w:val="20"/>
              </w:rPr>
              <w:t>Total</w:t>
            </w:r>
          </w:p>
        </w:tc>
      </w:tr>
      <w:tr w:rsidR="006576A6" w:rsidRPr="003E3C14" w14:paraId="7C32DC8E" w14:textId="77777777" w:rsidTr="006576A6">
        <w:tc>
          <w:tcPr>
            <w:tcW w:w="783" w:type="pct"/>
            <w:tcBorders>
              <w:top w:val="single" w:sz="4" w:space="0" w:color="auto"/>
            </w:tcBorders>
            <w:vAlign w:val="bottom"/>
          </w:tcPr>
          <w:p w14:paraId="11F0C22D" w14:textId="058830A5" w:rsidR="006576A6" w:rsidRPr="003E3C14" w:rsidRDefault="006576A6" w:rsidP="006877D0">
            <w:pPr>
              <w:rPr>
                <w:sz w:val="20"/>
                <w:szCs w:val="20"/>
              </w:rPr>
            </w:pPr>
            <w:r w:rsidRPr="004810AC">
              <w:rPr>
                <w:rFonts w:eastAsia="Times New Roman" w:cs="Calibri"/>
                <w:color w:val="000000"/>
                <w:lang w:val="es" w:eastAsia="en-AU"/>
              </w:rPr>
              <w:t>Gobierno de Australia</w:t>
            </w:r>
          </w:p>
        </w:tc>
        <w:tc>
          <w:tcPr>
            <w:tcW w:w="799" w:type="pct"/>
            <w:tcBorders>
              <w:top w:val="single" w:sz="4" w:space="0" w:color="auto"/>
            </w:tcBorders>
          </w:tcPr>
          <w:p w14:paraId="5C55E813" w14:textId="15D5BD1F" w:rsidR="006576A6" w:rsidRPr="003E3C14" w:rsidRDefault="006576A6" w:rsidP="00F36AAD">
            <w:pPr>
              <w:jc w:val="right"/>
              <w:rPr>
                <w:sz w:val="20"/>
                <w:szCs w:val="20"/>
              </w:rPr>
            </w:pPr>
            <w:r w:rsidRPr="003E3C14">
              <w:rPr>
                <w:sz w:val="20"/>
                <w:szCs w:val="20"/>
              </w:rPr>
              <w:t>12</w:t>
            </w:r>
          </w:p>
        </w:tc>
        <w:tc>
          <w:tcPr>
            <w:tcW w:w="683" w:type="pct"/>
            <w:tcBorders>
              <w:top w:val="single" w:sz="4" w:space="0" w:color="auto"/>
            </w:tcBorders>
          </w:tcPr>
          <w:p w14:paraId="66B515CA" w14:textId="63BE37D8" w:rsidR="006576A6" w:rsidRPr="003E3C14" w:rsidRDefault="006576A6" w:rsidP="00F36AAD">
            <w:pPr>
              <w:jc w:val="right"/>
              <w:rPr>
                <w:sz w:val="20"/>
                <w:szCs w:val="20"/>
              </w:rPr>
            </w:pPr>
            <w:r w:rsidRPr="003E3C14">
              <w:rPr>
                <w:sz w:val="20"/>
                <w:szCs w:val="20"/>
              </w:rPr>
              <w:t>23</w:t>
            </w:r>
          </w:p>
        </w:tc>
        <w:tc>
          <w:tcPr>
            <w:tcW w:w="683" w:type="pct"/>
            <w:tcBorders>
              <w:top w:val="single" w:sz="4" w:space="0" w:color="auto"/>
            </w:tcBorders>
          </w:tcPr>
          <w:p w14:paraId="4C11CE02" w14:textId="1371394E" w:rsidR="006576A6" w:rsidRPr="003E3C14" w:rsidRDefault="006576A6" w:rsidP="00F36AAD">
            <w:pPr>
              <w:jc w:val="right"/>
              <w:rPr>
                <w:sz w:val="20"/>
                <w:szCs w:val="20"/>
              </w:rPr>
            </w:pPr>
            <w:r w:rsidRPr="003E3C14">
              <w:rPr>
                <w:sz w:val="20"/>
                <w:szCs w:val="20"/>
              </w:rPr>
              <w:t>16</w:t>
            </w:r>
          </w:p>
        </w:tc>
        <w:tc>
          <w:tcPr>
            <w:tcW w:w="684" w:type="pct"/>
            <w:tcBorders>
              <w:top w:val="single" w:sz="4" w:space="0" w:color="auto"/>
            </w:tcBorders>
          </w:tcPr>
          <w:p w14:paraId="62190495" w14:textId="77777777" w:rsidR="006576A6" w:rsidRPr="003E3C14" w:rsidRDefault="006576A6" w:rsidP="00F36AAD">
            <w:pPr>
              <w:jc w:val="right"/>
              <w:rPr>
                <w:sz w:val="20"/>
                <w:szCs w:val="20"/>
              </w:rPr>
            </w:pPr>
            <w:r w:rsidRPr="003E3C14">
              <w:rPr>
                <w:sz w:val="20"/>
                <w:szCs w:val="20"/>
              </w:rPr>
              <w:t>1</w:t>
            </w:r>
          </w:p>
        </w:tc>
        <w:tc>
          <w:tcPr>
            <w:tcW w:w="684" w:type="pct"/>
            <w:tcBorders>
              <w:top w:val="single" w:sz="4" w:space="0" w:color="auto"/>
            </w:tcBorders>
          </w:tcPr>
          <w:p w14:paraId="74D1AA82" w14:textId="77777777" w:rsidR="006576A6" w:rsidRPr="003E3C14" w:rsidRDefault="006576A6" w:rsidP="00F36AAD">
            <w:pPr>
              <w:jc w:val="right"/>
              <w:rPr>
                <w:sz w:val="20"/>
                <w:szCs w:val="20"/>
              </w:rPr>
            </w:pPr>
            <w:r w:rsidRPr="003E3C14">
              <w:rPr>
                <w:sz w:val="20"/>
                <w:szCs w:val="20"/>
              </w:rPr>
              <w:t>2</w:t>
            </w:r>
          </w:p>
        </w:tc>
        <w:tc>
          <w:tcPr>
            <w:tcW w:w="684" w:type="pct"/>
            <w:tcBorders>
              <w:top w:val="single" w:sz="4" w:space="0" w:color="auto"/>
            </w:tcBorders>
          </w:tcPr>
          <w:p w14:paraId="1E63F821" w14:textId="2F14D76B" w:rsidR="006576A6" w:rsidRPr="003E3C14" w:rsidRDefault="006576A6" w:rsidP="00F36AAD">
            <w:pPr>
              <w:jc w:val="right"/>
              <w:rPr>
                <w:sz w:val="20"/>
                <w:szCs w:val="20"/>
              </w:rPr>
            </w:pPr>
            <w:r w:rsidRPr="003E3C14">
              <w:rPr>
                <w:sz w:val="20"/>
                <w:szCs w:val="20"/>
              </w:rPr>
              <w:t>54</w:t>
            </w:r>
          </w:p>
        </w:tc>
      </w:tr>
      <w:tr w:rsidR="006576A6" w:rsidRPr="003E3C14" w14:paraId="7F4E5126" w14:textId="77777777" w:rsidTr="006576A6">
        <w:tc>
          <w:tcPr>
            <w:tcW w:w="783" w:type="pct"/>
            <w:shd w:val="clear" w:color="auto" w:fill="FAF9F8"/>
            <w:vAlign w:val="bottom"/>
          </w:tcPr>
          <w:p w14:paraId="46443A3B" w14:textId="375B5966" w:rsidR="006576A6" w:rsidRPr="003E3C14" w:rsidRDefault="006576A6" w:rsidP="006877D0">
            <w:pPr>
              <w:rPr>
                <w:sz w:val="20"/>
                <w:szCs w:val="20"/>
              </w:rPr>
            </w:pPr>
            <w:r w:rsidRPr="004810AC">
              <w:rPr>
                <w:rFonts w:eastAsia="Times New Roman" w:cs="Calibri"/>
                <w:color w:val="000000"/>
                <w:lang w:val="es" w:eastAsia="en-AU"/>
              </w:rPr>
              <w:t>NSW</w:t>
            </w:r>
          </w:p>
        </w:tc>
        <w:tc>
          <w:tcPr>
            <w:tcW w:w="799" w:type="pct"/>
            <w:shd w:val="clear" w:color="auto" w:fill="FAF9F8"/>
          </w:tcPr>
          <w:p w14:paraId="427AD302" w14:textId="77777777" w:rsidR="006576A6" w:rsidRPr="003E3C14" w:rsidRDefault="006576A6" w:rsidP="00F36AAD">
            <w:pPr>
              <w:jc w:val="right"/>
              <w:rPr>
                <w:sz w:val="20"/>
                <w:szCs w:val="20"/>
              </w:rPr>
            </w:pPr>
            <w:r w:rsidRPr="003E3C14">
              <w:rPr>
                <w:sz w:val="20"/>
                <w:szCs w:val="20"/>
              </w:rPr>
              <w:t>3</w:t>
            </w:r>
          </w:p>
        </w:tc>
        <w:tc>
          <w:tcPr>
            <w:tcW w:w="683" w:type="pct"/>
            <w:shd w:val="clear" w:color="auto" w:fill="FAF9F8"/>
          </w:tcPr>
          <w:p w14:paraId="7CFDCAF1" w14:textId="77777777" w:rsidR="006576A6" w:rsidRPr="003E3C14" w:rsidRDefault="006576A6" w:rsidP="00F36AAD">
            <w:pPr>
              <w:jc w:val="right"/>
              <w:rPr>
                <w:sz w:val="20"/>
                <w:szCs w:val="20"/>
                <w:lang w:val="en-US"/>
              </w:rPr>
            </w:pPr>
            <w:r w:rsidRPr="003E3C14">
              <w:rPr>
                <w:sz w:val="20"/>
                <w:szCs w:val="20"/>
              </w:rPr>
              <w:t>25</w:t>
            </w:r>
          </w:p>
        </w:tc>
        <w:tc>
          <w:tcPr>
            <w:tcW w:w="683" w:type="pct"/>
            <w:shd w:val="clear" w:color="auto" w:fill="FAF9F8"/>
          </w:tcPr>
          <w:p w14:paraId="2F5F69E0" w14:textId="77777777" w:rsidR="006576A6" w:rsidRPr="003E3C14" w:rsidRDefault="006576A6" w:rsidP="00F36AAD">
            <w:pPr>
              <w:jc w:val="right"/>
              <w:rPr>
                <w:sz w:val="20"/>
                <w:szCs w:val="20"/>
              </w:rPr>
            </w:pPr>
            <w:r w:rsidRPr="003E3C14">
              <w:rPr>
                <w:sz w:val="20"/>
                <w:szCs w:val="20"/>
              </w:rPr>
              <w:t>12</w:t>
            </w:r>
          </w:p>
        </w:tc>
        <w:tc>
          <w:tcPr>
            <w:tcW w:w="684" w:type="pct"/>
            <w:shd w:val="clear" w:color="auto" w:fill="FAF9F8"/>
          </w:tcPr>
          <w:p w14:paraId="7A6D869F" w14:textId="77777777" w:rsidR="006576A6" w:rsidRPr="003E3C14" w:rsidRDefault="006576A6" w:rsidP="00F36AAD">
            <w:pPr>
              <w:jc w:val="right"/>
              <w:rPr>
                <w:sz w:val="20"/>
                <w:szCs w:val="20"/>
              </w:rPr>
            </w:pPr>
            <w:r w:rsidRPr="003E3C14">
              <w:rPr>
                <w:sz w:val="20"/>
                <w:szCs w:val="20"/>
              </w:rPr>
              <w:t>3</w:t>
            </w:r>
          </w:p>
        </w:tc>
        <w:tc>
          <w:tcPr>
            <w:tcW w:w="684" w:type="pct"/>
            <w:shd w:val="clear" w:color="auto" w:fill="FAF9F8"/>
          </w:tcPr>
          <w:p w14:paraId="56D27034" w14:textId="77777777" w:rsidR="006576A6" w:rsidRPr="003E3C14" w:rsidRDefault="006576A6" w:rsidP="00F36AAD">
            <w:pPr>
              <w:jc w:val="right"/>
              <w:rPr>
                <w:sz w:val="20"/>
                <w:szCs w:val="20"/>
              </w:rPr>
            </w:pPr>
            <w:r w:rsidRPr="003E3C14">
              <w:rPr>
                <w:sz w:val="20"/>
                <w:szCs w:val="20"/>
              </w:rPr>
              <w:t>0</w:t>
            </w:r>
          </w:p>
        </w:tc>
        <w:tc>
          <w:tcPr>
            <w:tcW w:w="684" w:type="pct"/>
            <w:shd w:val="clear" w:color="auto" w:fill="FAF9F8"/>
          </w:tcPr>
          <w:p w14:paraId="1E2EAA77" w14:textId="5B9FE22D" w:rsidR="006576A6" w:rsidRPr="003E3C14" w:rsidRDefault="006576A6" w:rsidP="00F36AAD">
            <w:pPr>
              <w:jc w:val="right"/>
              <w:rPr>
                <w:sz w:val="20"/>
                <w:szCs w:val="20"/>
              </w:rPr>
            </w:pPr>
            <w:r w:rsidRPr="003E3C14">
              <w:rPr>
                <w:sz w:val="20"/>
                <w:szCs w:val="20"/>
              </w:rPr>
              <w:t>43</w:t>
            </w:r>
          </w:p>
        </w:tc>
      </w:tr>
      <w:tr w:rsidR="006576A6" w:rsidRPr="003E3C14" w14:paraId="6873084C" w14:textId="77777777" w:rsidTr="006576A6">
        <w:tc>
          <w:tcPr>
            <w:tcW w:w="783" w:type="pct"/>
            <w:vAlign w:val="bottom"/>
          </w:tcPr>
          <w:p w14:paraId="7A8C084D" w14:textId="70B3346B" w:rsidR="006576A6" w:rsidRPr="003E3C14" w:rsidRDefault="006576A6" w:rsidP="006877D0">
            <w:pPr>
              <w:rPr>
                <w:sz w:val="20"/>
                <w:szCs w:val="20"/>
              </w:rPr>
            </w:pPr>
            <w:r w:rsidRPr="004810AC">
              <w:rPr>
                <w:rFonts w:eastAsia="Times New Roman" w:cs="Calibri"/>
                <w:color w:val="000000"/>
                <w:lang w:val="es" w:eastAsia="en-AU"/>
              </w:rPr>
              <w:t>VIC</w:t>
            </w:r>
          </w:p>
        </w:tc>
        <w:tc>
          <w:tcPr>
            <w:tcW w:w="799" w:type="pct"/>
          </w:tcPr>
          <w:p w14:paraId="69276895" w14:textId="77777777" w:rsidR="006576A6" w:rsidRPr="003E3C14" w:rsidRDefault="006576A6" w:rsidP="00F36AAD">
            <w:pPr>
              <w:jc w:val="right"/>
              <w:rPr>
                <w:sz w:val="20"/>
                <w:szCs w:val="20"/>
              </w:rPr>
            </w:pPr>
            <w:r w:rsidRPr="003E3C14">
              <w:rPr>
                <w:sz w:val="20"/>
                <w:szCs w:val="20"/>
              </w:rPr>
              <w:t>18</w:t>
            </w:r>
          </w:p>
        </w:tc>
        <w:tc>
          <w:tcPr>
            <w:tcW w:w="683" w:type="pct"/>
          </w:tcPr>
          <w:p w14:paraId="27E40AA6" w14:textId="77777777" w:rsidR="006576A6" w:rsidRPr="003E3C14" w:rsidRDefault="006576A6" w:rsidP="00F36AAD">
            <w:pPr>
              <w:jc w:val="right"/>
              <w:rPr>
                <w:sz w:val="20"/>
                <w:szCs w:val="20"/>
              </w:rPr>
            </w:pPr>
            <w:r w:rsidRPr="003E3C14">
              <w:rPr>
                <w:sz w:val="20"/>
                <w:szCs w:val="20"/>
              </w:rPr>
              <w:t>30</w:t>
            </w:r>
          </w:p>
        </w:tc>
        <w:tc>
          <w:tcPr>
            <w:tcW w:w="683" w:type="pct"/>
          </w:tcPr>
          <w:p w14:paraId="72795912" w14:textId="77777777" w:rsidR="006576A6" w:rsidRPr="003E3C14" w:rsidRDefault="006576A6" w:rsidP="00F36AAD">
            <w:pPr>
              <w:jc w:val="right"/>
              <w:rPr>
                <w:sz w:val="20"/>
                <w:szCs w:val="20"/>
              </w:rPr>
            </w:pPr>
            <w:r w:rsidRPr="003E3C14">
              <w:rPr>
                <w:sz w:val="20"/>
                <w:szCs w:val="20"/>
              </w:rPr>
              <w:t>2</w:t>
            </w:r>
          </w:p>
        </w:tc>
        <w:tc>
          <w:tcPr>
            <w:tcW w:w="684" w:type="pct"/>
          </w:tcPr>
          <w:p w14:paraId="345AEE6B" w14:textId="77777777" w:rsidR="006576A6" w:rsidRPr="003E3C14" w:rsidRDefault="006576A6" w:rsidP="00F36AAD">
            <w:pPr>
              <w:jc w:val="right"/>
              <w:rPr>
                <w:sz w:val="20"/>
                <w:szCs w:val="20"/>
              </w:rPr>
            </w:pPr>
            <w:r w:rsidRPr="003E3C14">
              <w:rPr>
                <w:sz w:val="20"/>
                <w:szCs w:val="20"/>
              </w:rPr>
              <w:t>0</w:t>
            </w:r>
          </w:p>
        </w:tc>
        <w:tc>
          <w:tcPr>
            <w:tcW w:w="684" w:type="pct"/>
          </w:tcPr>
          <w:p w14:paraId="1F79417C" w14:textId="77777777" w:rsidR="006576A6" w:rsidRPr="003E3C14" w:rsidRDefault="006576A6" w:rsidP="00F36AAD">
            <w:pPr>
              <w:jc w:val="right"/>
              <w:rPr>
                <w:sz w:val="20"/>
                <w:szCs w:val="20"/>
              </w:rPr>
            </w:pPr>
            <w:r w:rsidRPr="003E3C14">
              <w:rPr>
                <w:sz w:val="20"/>
                <w:szCs w:val="20"/>
              </w:rPr>
              <w:t>0</w:t>
            </w:r>
          </w:p>
        </w:tc>
        <w:tc>
          <w:tcPr>
            <w:tcW w:w="684" w:type="pct"/>
          </w:tcPr>
          <w:p w14:paraId="571F57AA" w14:textId="7293703B" w:rsidR="006576A6" w:rsidRPr="003E3C14" w:rsidRDefault="006576A6" w:rsidP="00F36AAD">
            <w:pPr>
              <w:jc w:val="right"/>
              <w:rPr>
                <w:sz w:val="20"/>
                <w:szCs w:val="20"/>
              </w:rPr>
            </w:pPr>
            <w:r w:rsidRPr="003E3C14">
              <w:rPr>
                <w:sz w:val="20"/>
                <w:szCs w:val="20"/>
              </w:rPr>
              <w:t>50</w:t>
            </w:r>
          </w:p>
        </w:tc>
      </w:tr>
      <w:tr w:rsidR="006576A6" w:rsidRPr="003E3C14" w14:paraId="7901D185" w14:textId="77777777" w:rsidTr="006576A6">
        <w:tc>
          <w:tcPr>
            <w:tcW w:w="783" w:type="pct"/>
            <w:shd w:val="clear" w:color="auto" w:fill="FAF9F8"/>
            <w:vAlign w:val="bottom"/>
          </w:tcPr>
          <w:p w14:paraId="201228E6" w14:textId="5AE159E0" w:rsidR="006576A6" w:rsidRPr="003E3C14" w:rsidRDefault="006576A6" w:rsidP="006877D0">
            <w:pPr>
              <w:rPr>
                <w:sz w:val="20"/>
                <w:szCs w:val="20"/>
              </w:rPr>
            </w:pPr>
            <w:r w:rsidRPr="004810AC">
              <w:rPr>
                <w:rFonts w:eastAsia="Times New Roman" w:cs="Calibri"/>
                <w:color w:val="000000"/>
                <w:lang w:val="es" w:eastAsia="en-AU"/>
              </w:rPr>
              <w:t>QLD</w:t>
            </w:r>
          </w:p>
        </w:tc>
        <w:tc>
          <w:tcPr>
            <w:tcW w:w="799" w:type="pct"/>
            <w:shd w:val="clear" w:color="auto" w:fill="FAF9F8"/>
          </w:tcPr>
          <w:p w14:paraId="73B7B87F" w14:textId="77777777" w:rsidR="006576A6" w:rsidRPr="003E3C14" w:rsidRDefault="006576A6" w:rsidP="00F36AAD">
            <w:pPr>
              <w:jc w:val="right"/>
              <w:rPr>
                <w:sz w:val="20"/>
                <w:szCs w:val="20"/>
              </w:rPr>
            </w:pPr>
            <w:r w:rsidRPr="003E3C14">
              <w:rPr>
                <w:sz w:val="20"/>
                <w:szCs w:val="20"/>
              </w:rPr>
              <w:t>14</w:t>
            </w:r>
          </w:p>
        </w:tc>
        <w:tc>
          <w:tcPr>
            <w:tcW w:w="683" w:type="pct"/>
            <w:shd w:val="clear" w:color="auto" w:fill="FAF9F8"/>
          </w:tcPr>
          <w:p w14:paraId="6A2DE223" w14:textId="77777777" w:rsidR="006576A6" w:rsidRPr="003E3C14" w:rsidRDefault="006576A6" w:rsidP="00F36AAD">
            <w:pPr>
              <w:jc w:val="right"/>
              <w:rPr>
                <w:sz w:val="20"/>
                <w:szCs w:val="20"/>
              </w:rPr>
            </w:pPr>
            <w:r w:rsidRPr="003E3C14">
              <w:rPr>
                <w:sz w:val="20"/>
                <w:szCs w:val="20"/>
              </w:rPr>
              <w:t>28</w:t>
            </w:r>
          </w:p>
        </w:tc>
        <w:tc>
          <w:tcPr>
            <w:tcW w:w="683" w:type="pct"/>
            <w:shd w:val="clear" w:color="auto" w:fill="FAF9F8"/>
          </w:tcPr>
          <w:p w14:paraId="7D49383F" w14:textId="77777777" w:rsidR="006576A6" w:rsidRPr="003E3C14" w:rsidRDefault="006576A6" w:rsidP="00F36AAD">
            <w:pPr>
              <w:jc w:val="right"/>
              <w:rPr>
                <w:sz w:val="20"/>
                <w:szCs w:val="20"/>
              </w:rPr>
            </w:pPr>
            <w:r w:rsidRPr="003E3C14">
              <w:rPr>
                <w:sz w:val="20"/>
                <w:szCs w:val="20"/>
              </w:rPr>
              <w:t>4</w:t>
            </w:r>
          </w:p>
        </w:tc>
        <w:tc>
          <w:tcPr>
            <w:tcW w:w="684" w:type="pct"/>
            <w:shd w:val="clear" w:color="auto" w:fill="FAF9F8"/>
          </w:tcPr>
          <w:p w14:paraId="7CFFB96D" w14:textId="77777777" w:rsidR="006576A6" w:rsidRPr="003E3C14" w:rsidRDefault="006576A6" w:rsidP="00F36AAD">
            <w:pPr>
              <w:jc w:val="right"/>
              <w:rPr>
                <w:sz w:val="20"/>
                <w:szCs w:val="20"/>
              </w:rPr>
            </w:pPr>
            <w:r w:rsidRPr="003E3C14">
              <w:rPr>
                <w:sz w:val="20"/>
                <w:szCs w:val="20"/>
              </w:rPr>
              <w:t>0</w:t>
            </w:r>
          </w:p>
        </w:tc>
        <w:tc>
          <w:tcPr>
            <w:tcW w:w="684" w:type="pct"/>
            <w:shd w:val="clear" w:color="auto" w:fill="FAF9F8"/>
          </w:tcPr>
          <w:p w14:paraId="79798434" w14:textId="77777777" w:rsidR="006576A6" w:rsidRPr="003E3C14" w:rsidRDefault="006576A6" w:rsidP="00F36AAD">
            <w:pPr>
              <w:jc w:val="right"/>
              <w:rPr>
                <w:sz w:val="20"/>
                <w:szCs w:val="20"/>
              </w:rPr>
            </w:pPr>
            <w:r w:rsidRPr="003E3C14">
              <w:rPr>
                <w:sz w:val="20"/>
                <w:szCs w:val="20"/>
              </w:rPr>
              <w:t>0</w:t>
            </w:r>
          </w:p>
        </w:tc>
        <w:tc>
          <w:tcPr>
            <w:tcW w:w="684" w:type="pct"/>
            <w:shd w:val="clear" w:color="auto" w:fill="FAF9F8"/>
          </w:tcPr>
          <w:p w14:paraId="197D5A67" w14:textId="0FB5C204" w:rsidR="006576A6" w:rsidRPr="003E3C14" w:rsidRDefault="006576A6" w:rsidP="00F36AAD">
            <w:pPr>
              <w:jc w:val="right"/>
              <w:rPr>
                <w:sz w:val="20"/>
                <w:szCs w:val="20"/>
              </w:rPr>
            </w:pPr>
            <w:r w:rsidRPr="003E3C14">
              <w:rPr>
                <w:sz w:val="20"/>
                <w:szCs w:val="20"/>
              </w:rPr>
              <w:t>46</w:t>
            </w:r>
          </w:p>
        </w:tc>
      </w:tr>
      <w:tr w:rsidR="006576A6" w:rsidRPr="003E3C14" w14:paraId="2D0D5C2C" w14:textId="77777777" w:rsidTr="006576A6">
        <w:tc>
          <w:tcPr>
            <w:tcW w:w="783" w:type="pct"/>
            <w:vAlign w:val="bottom"/>
          </w:tcPr>
          <w:p w14:paraId="55CFCCAF" w14:textId="7F13342D" w:rsidR="006576A6" w:rsidRPr="003E3C14" w:rsidRDefault="006576A6" w:rsidP="006877D0">
            <w:pPr>
              <w:rPr>
                <w:sz w:val="20"/>
                <w:szCs w:val="20"/>
              </w:rPr>
            </w:pPr>
            <w:r w:rsidRPr="004810AC">
              <w:rPr>
                <w:rFonts w:eastAsia="Times New Roman" w:cs="Calibri"/>
                <w:color w:val="000000"/>
                <w:lang w:val="es" w:eastAsia="en-AU"/>
              </w:rPr>
              <w:t>WA</w:t>
            </w:r>
          </w:p>
        </w:tc>
        <w:tc>
          <w:tcPr>
            <w:tcW w:w="799" w:type="pct"/>
          </w:tcPr>
          <w:p w14:paraId="1FEC28AC" w14:textId="77777777" w:rsidR="006576A6" w:rsidRPr="003E3C14" w:rsidRDefault="006576A6" w:rsidP="00F36AAD">
            <w:pPr>
              <w:jc w:val="right"/>
              <w:rPr>
                <w:sz w:val="20"/>
                <w:szCs w:val="20"/>
              </w:rPr>
            </w:pPr>
            <w:r w:rsidRPr="003E3C14">
              <w:rPr>
                <w:sz w:val="20"/>
                <w:szCs w:val="20"/>
              </w:rPr>
              <w:t>10</w:t>
            </w:r>
          </w:p>
        </w:tc>
        <w:tc>
          <w:tcPr>
            <w:tcW w:w="683" w:type="pct"/>
          </w:tcPr>
          <w:p w14:paraId="41E112D2" w14:textId="77777777" w:rsidR="006576A6" w:rsidRPr="003E3C14" w:rsidRDefault="006576A6" w:rsidP="00F36AAD">
            <w:pPr>
              <w:jc w:val="right"/>
              <w:rPr>
                <w:sz w:val="20"/>
                <w:szCs w:val="20"/>
              </w:rPr>
            </w:pPr>
            <w:r w:rsidRPr="003E3C14">
              <w:rPr>
                <w:sz w:val="20"/>
                <w:szCs w:val="20"/>
              </w:rPr>
              <w:t>20</w:t>
            </w:r>
          </w:p>
        </w:tc>
        <w:tc>
          <w:tcPr>
            <w:tcW w:w="683" w:type="pct"/>
          </w:tcPr>
          <w:p w14:paraId="729BCEF0" w14:textId="77777777" w:rsidR="006576A6" w:rsidRPr="003E3C14" w:rsidRDefault="006576A6" w:rsidP="00F36AAD">
            <w:pPr>
              <w:jc w:val="right"/>
              <w:rPr>
                <w:sz w:val="20"/>
                <w:szCs w:val="20"/>
              </w:rPr>
            </w:pPr>
            <w:r w:rsidRPr="003E3C14">
              <w:rPr>
                <w:sz w:val="20"/>
                <w:szCs w:val="20"/>
              </w:rPr>
              <w:t>1</w:t>
            </w:r>
          </w:p>
        </w:tc>
        <w:tc>
          <w:tcPr>
            <w:tcW w:w="684" w:type="pct"/>
          </w:tcPr>
          <w:p w14:paraId="5E5EC66C" w14:textId="77777777" w:rsidR="006576A6" w:rsidRPr="003E3C14" w:rsidRDefault="006576A6" w:rsidP="00F36AAD">
            <w:pPr>
              <w:jc w:val="right"/>
              <w:rPr>
                <w:sz w:val="20"/>
                <w:szCs w:val="20"/>
              </w:rPr>
            </w:pPr>
            <w:r w:rsidRPr="003E3C14">
              <w:rPr>
                <w:sz w:val="20"/>
                <w:szCs w:val="20"/>
              </w:rPr>
              <w:t>0</w:t>
            </w:r>
          </w:p>
        </w:tc>
        <w:tc>
          <w:tcPr>
            <w:tcW w:w="684" w:type="pct"/>
          </w:tcPr>
          <w:p w14:paraId="74EEF32D" w14:textId="77777777" w:rsidR="006576A6" w:rsidRPr="003E3C14" w:rsidRDefault="006576A6" w:rsidP="00F36AAD">
            <w:pPr>
              <w:jc w:val="right"/>
              <w:rPr>
                <w:sz w:val="20"/>
                <w:szCs w:val="20"/>
              </w:rPr>
            </w:pPr>
            <w:r w:rsidRPr="003E3C14">
              <w:rPr>
                <w:sz w:val="20"/>
                <w:szCs w:val="20"/>
              </w:rPr>
              <w:t>0</w:t>
            </w:r>
          </w:p>
        </w:tc>
        <w:tc>
          <w:tcPr>
            <w:tcW w:w="684" w:type="pct"/>
          </w:tcPr>
          <w:p w14:paraId="61BD0FA0" w14:textId="065E98FA" w:rsidR="006576A6" w:rsidRPr="003E3C14" w:rsidRDefault="006576A6" w:rsidP="00F36AAD">
            <w:pPr>
              <w:jc w:val="right"/>
              <w:rPr>
                <w:sz w:val="20"/>
                <w:szCs w:val="20"/>
              </w:rPr>
            </w:pPr>
            <w:r w:rsidRPr="003E3C14">
              <w:rPr>
                <w:sz w:val="20"/>
                <w:szCs w:val="20"/>
              </w:rPr>
              <w:t>31</w:t>
            </w:r>
          </w:p>
        </w:tc>
      </w:tr>
      <w:tr w:rsidR="006576A6" w:rsidRPr="003E3C14" w14:paraId="7894ADD2" w14:textId="77777777" w:rsidTr="006576A6">
        <w:tc>
          <w:tcPr>
            <w:tcW w:w="783" w:type="pct"/>
            <w:shd w:val="clear" w:color="auto" w:fill="FAF9F8"/>
            <w:vAlign w:val="bottom"/>
          </w:tcPr>
          <w:p w14:paraId="7495BECD" w14:textId="1D86FD94" w:rsidR="006576A6" w:rsidRPr="003E3C14" w:rsidRDefault="006576A6" w:rsidP="006877D0">
            <w:pPr>
              <w:rPr>
                <w:sz w:val="20"/>
                <w:szCs w:val="20"/>
              </w:rPr>
            </w:pPr>
            <w:r w:rsidRPr="004810AC">
              <w:rPr>
                <w:rFonts w:eastAsia="Times New Roman" w:cs="Calibri"/>
                <w:color w:val="000000"/>
                <w:lang w:val="es" w:eastAsia="en-AU"/>
              </w:rPr>
              <w:t>SA</w:t>
            </w:r>
          </w:p>
        </w:tc>
        <w:tc>
          <w:tcPr>
            <w:tcW w:w="799" w:type="pct"/>
            <w:shd w:val="clear" w:color="auto" w:fill="FAF9F8"/>
          </w:tcPr>
          <w:p w14:paraId="2FC5AEDE" w14:textId="77777777" w:rsidR="006576A6" w:rsidRPr="003E3C14" w:rsidRDefault="006576A6" w:rsidP="00F36AAD">
            <w:pPr>
              <w:jc w:val="right"/>
              <w:rPr>
                <w:sz w:val="20"/>
                <w:szCs w:val="20"/>
              </w:rPr>
            </w:pPr>
            <w:r w:rsidRPr="003E3C14">
              <w:rPr>
                <w:sz w:val="20"/>
                <w:szCs w:val="20"/>
              </w:rPr>
              <w:t>13</w:t>
            </w:r>
          </w:p>
        </w:tc>
        <w:tc>
          <w:tcPr>
            <w:tcW w:w="683" w:type="pct"/>
            <w:shd w:val="clear" w:color="auto" w:fill="FAF9F8"/>
          </w:tcPr>
          <w:p w14:paraId="4DD23FCF" w14:textId="77777777" w:rsidR="006576A6" w:rsidRPr="003E3C14" w:rsidRDefault="006576A6" w:rsidP="00F36AAD">
            <w:pPr>
              <w:jc w:val="right"/>
              <w:rPr>
                <w:sz w:val="20"/>
                <w:szCs w:val="20"/>
              </w:rPr>
            </w:pPr>
            <w:r w:rsidRPr="003E3C14">
              <w:rPr>
                <w:sz w:val="20"/>
                <w:szCs w:val="20"/>
              </w:rPr>
              <w:t>31</w:t>
            </w:r>
          </w:p>
        </w:tc>
        <w:tc>
          <w:tcPr>
            <w:tcW w:w="683" w:type="pct"/>
            <w:shd w:val="clear" w:color="auto" w:fill="FAF9F8"/>
          </w:tcPr>
          <w:p w14:paraId="15E6B4C7" w14:textId="77777777" w:rsidR="006576A6" w:rsidRPr="003E3C14" w:rsidRDefault="006576A6" w:rsidP="00F36AAD">
            <w:pPr>
              <w:jc w:val="right"/>
              <w:rPr>
                <w:sz w:val="20"/>
                <w:szCs w:val="20"/>
              </w:rPr>
            </w:pPr>
            <w:r w:rsidRPr="003E3C14">
              <w:rPr>
                <w:sz w:val="20"/>
                <w:szCs w:val="20"/>
              </w:rPr>
              <w:t>7</w:t>
            </w:r>
          </w:p>
        </w:tc>
        <w:tc>
          <w:tcPr>
            <w:tcW w:w="684" w:type="pct"/>
            <w:shd w:val="clear" w:color="auto" w:fill="FAF9F8"/>
          </w:tcPr>
          <w:p w14:paraId="4EB20232" w14:textId="77777777" w:rsidR="006576A6" w:rsidRPr="003E3C14" w:rsidRDefault="006576A6" w:rsidP="00F36AAD">
            <w:pPr>
              <w:jc w:val="right"/>
              <w:rPr>
                <w:sz w:val="20"/>
                <w:szCs w:val="20"/>
              </w:rPr>
            </w:pPr>
            <w:r w:rsidRPr="003E3C14">
              <w:rPr>
                <w:sz w:val="20"/>
                <w:szCs w:val="20"/>
              </w:rPr>
              <w:t>2</w:t>
            </w:r>
          </w:p>
        </w:tc>
        <w:tc>
          <w:tcPr>
            <w:tcW w:w="684" w:type="pct"/>
            <w:shd w:val="clear" w:color="auto" w:fill="FAF9F8"/>
          </w:tcPr>
          <w:p w14:paraId="1E0B1215" w14:textId="77777777" w:rsidR="006576A6" w:rsidRPr="003E3C14" w:rsidRDefault="006576A6" w:rsidP="00F36AAD">
            <w:pPr>
              <w:jc w:val="right"/>
              <w:rPr>
                <w:sz w:val="20"/>
                <w:szCs w:val="20"/>
              </w:rPr>
            </w:pPr>
            <w:r w:rsidRPr="003E3C14">
              <w:rPr>
                <w:sz w:val="20"/>
                <w:szCs w:val="20"/>
              </w:rPr>
              <w:t>1</w:t>
            </w:r>
          </w:p>
        </w:tc>
        <w:tc>
          <w:tcPr>
            <w:tcW w:w="684" w:type="pct"/>
            <w:shd w:val="clear" w:color="auto" w:fill="FAF9F8"/>
          </w:tcPr>
          <w:p w14:paraId="7AD5D68C" w14:textId="7BCCB44F" w:rsidR="006576A6" w:rsidRPr="003E3C14" w:rsidRDefault="006576A6" w:rsidP="00F36AAD">
            <w:pPr>
              <w:jc w:val="right"/>
              <w:rPr>
                <w:sz w:val="20"/>
                <w:szCs w:val="20"/>
              </w:rPr>
            </w:pPr>
            <w:r w:rsidRPr="003E3C14">
              <w:rPr>
                <w:sz w:val="20"/>
                <w:szCs w:val="20"/>
              </w:rPr>
              <w:t>54</w:t>
            </w:r>
          </w:p>
        </w:tc>
      </w:tr>
      <w:tr w:rsidR="006576A6" w:rsidRPr="003E3C14" w14:paraId="0805B50E" w14:textId="77777777" w:rsidTr="006576A6">
        <w:tc>
          <w:tcPr>
            <w:tcW w:w="783" w:type="pct"/>
            <w:vAlign w:val="bottom"/>
          </w:tcPr>
          <w:p w14:paraId="7ADD3FF4" w14:textId="43CA2633" w:rsidR="006576A6" w:rsidRPr="003E3C14" w:rsidRDefault="006576A6" w:rsidP="006877D0">
            <w:pPr>
              <w:rPr>
                <w:sz w:val="20"/>
                <w:szCs w:val="20"/>
              </w:rPr>
            </w:pPr>
            <w:r w:rsidRPr="004810AC">
              <w:rPr>
                <w:rFonts w:eastAsia="Times New Roman" w:cs="Calibri"/>
                <w:color w:val="000000"/>
                <w:lang w:val="es" w:eastAsia="en-AU"/>
              </w:rPr>
              <w:t>TAS</w:t>
            </w:r>
          </w:p>
        </w:tc>
        <w:tc>
          <w:tcPr>
            <w:tcW w:w="799" w:type="pct"/>
          </w:tcPr>
          <w:p w14:paraId="14EB7EC9" w14:textId="77777777" w:rsidR="006576A6" w:rsidRPr="003E3C14" w:rsidRDefault="006576A6" w:rsidP="00F36AAD">
            <w:pPr>
              <w:jc w:val="right"/>
              <w:rPr>
                <w:sz w:val="20"/>
                <w:szCs w:val="20"/>
              </w:rPr>
            </w:pPr>
            <w:r w:rsidRPr="003E3C14">
              <w:rPr>
                <w:sz w:val="20"/>
                <w:szCs w:val="20"/>
              </w:rPr>
              <w:t>5</w:t>
            </w:r>
          </w:p>
        </w:tc>
        <w:tc>
          <w:tcPr>
            <w:tcW w:w="683" w:type="pct"/>
          </w:tcPr>
          <w:p w14:paraId="296BA456" w14:textId="77777777" w:rsidR="006576A6" w:rsidRPr="003E3C14" w:rsidRDefault="006576A6" w:rsidP="00F36AAD">
            <w:pPr>
              <w:jc w:val="right"/>
              <w:rPr>
                <w:sz w:val="20"/>
                <w:szCs w:val="20"/>
              </w:rPr>
            </w:pPr>
            <w:r w:rsidRPr="003E3C14">
              <w:rPr>
                <w:sz w:val="20"/>
                <w:szCs w:val="20"/>
              </w:rPr>
              <w:t>13</w:t>
            </w:r>
          </w:p>
        </w:tc>
        <w:tc>
          <w:tcPr>
            <w:tcW w:w="683" w:type="pct"/>
          </w:tcPr>
          <w:p w14:paraId="218C3D61" w14:textId="77777777" w:rsidR="006576A6" w:rsidRPr="003E3C14" w:rsidRDefault="006576A6" w:rsidP="00F36AAD">
            <w:pPr>
              <w:jc w:val="right"/>
              <w:rPr>
                <w:sz w:val="20"/>
                <w:szCs w:val="20"/>
              </w:rPr>
            </w:pPr>
            <w:r w:rsidRPr="003E3C14">
              <w:rPr>
                <w:sz w:val="20"/>
                <w:szCs w:val="20"/>
              </w:rPr>
              <w:t>8</w:t>
            </w:r>
          </w:p>
        </w:tc>
        <w:tc>
          <w:tcPr>
            <w:tcW w:w="684" w:type="pct"/>
          </w:tcPr>
          <w:p w14:paraId="1C1B6651" w14:textId="77777777" w:rsidR="006576A6" w:rsidRPr="003E3C14" w:rsidRDefault="006576A6" w:rsidP="00F36AAD">
            <w:pPr>
              <w:jc w:val="right"/>
              <w:rPr>
                <w:sz w:val="20"/>
                <w:szCs w:val="20"/>
              </w:rPr>
            </w:pPr>
            <w:r w:rsidRPr="003E3C14">
              <w:rPr>
                <w:sz w:val="20"/>
                <w:szCs w:val="20"/>
              </w:rPr>
              <w:t>0</w:t>
            </w:r>
          </w:p>
        </w:tc>
        <w:tc>
          <w:tcPr>
            <w:tcW w:w="684" w:type="pct"/>
          </w:tcPr>
          <w:p w14:paraId="6230EE1E" w14:textId="77777777" w:rsidR="006576A6" w:rsidRPr="003E3C14" w:rsidRDefault="006576A6" w:rsidP="00F36AAD">
            <w:pPr>
              <w:jc w:val="right"/>
              <w:rPr>
                <w:sz w:val="20"/>
                <w:szCs w:val="20"/>
              </w:rPr>
            </w:pPr>
            <w:r w:rsidRPr="003E3C14">
              <w:rPr>
                <w:sz w:val="20"/>
                <w:szCs w:val="20"/>
              </w:rPr>
              <w:t>0</w:t>
            </w:r>
          </w:p>
        </w:tc>
        <w:tc>
          <w:tcPr>
            <w:tcW w:w="684" w:type="pct"/>
          </w:tcPr>
          <w:p w14:paraId="4E64B1CC" w14:textId="6F203834" w:rsidR="006576A6" w:rsidRPr="003E3C14" w:rsidRDefault="006576A6" w:rsidP="00F36AAD">
            <w:pPr>
              <w:jc w:val="right"/>
              <w:rPr>
                <w:sz w:val="20"/>
                <w:szCs w:val="20"/>
              </w:rPr>
            </w:pPr>
            <w:r w:rsidRPr="003E3C14">
              <w:rPr>
                <w:sz w:val="20"/>
                <w:szCs w:val="20"/>
              </w:rPr>
              <w:t>26</w:t>
            </w:r>
          </w:p>
        </w:tc>
      </w:tr>
      <w:tr w:rsidR="006576A6" w:rsidRPr="003E3C14" w14:paraId="18FC710A" w14:textId="77777777" w:rsidTr="006576A6">
        <w:tc>
          <w:tcPr>
            <w:tcW w:w="783" w:type="pct"/>
            <w:shd w:val="clear" w:color="auto" w:fill="FAF9F8"/>
            <w:vAlign w:val="bottom"/>
          </w:tcPr>
          <w:p w14:paraId="5DFF9AAC" w14:textId="4B01469C" w:rsidR="006576A6" w:rsidRPr="003E3C14" w:rsidRDefault="006576A6" w:rsidP="006877D0">
            <w:pPr>
              <w:rPr>
                <w:sz w:val="20"/>
                <w:szCs w:val="20"/>
              </w:rPr>
            </w:pPr>
            <w:r w:rsidRPr="004810AC">
              <w:rPr>
                <w:rFonts w:eastAsia="Times New Roman" w:cs="Calibri"/>
                <w:color w:val="000000"/>
                <w:lang w:val="es" w:eastAsia="en-AU"/>
              </w:rPr>
              <w:t>ACT</w:t>
            </w:r>
          </w:p>
        </w:tc>
        <w:tc>
          <w:tcPr>
            <w:tcW w:w="799" w:type="pct"/>
            <w:shd w:val="clear" w:color="auto" w:fill="FAF9F8"/>
          </w:tcPr>
          <w:p w14:paraId="31DDA85A" w14:textId="77777777" w:rsidR="006576A6" w:rsidRPr="003E3C14" w:rsidRDefault="006576A6" w:rsidP="00F36AAD">
            <w:pPr>
              <w:jc w:val="right"/>
              <w:rPr>
                <w:sz w:val="20"/>
                <w:szCs w:val="20"/>
              </w:rPr>
            </w:pPr>
            <w:r w:rsidRPr="003E3C14">
              <w:rPr>
                <w:sz w:val="20"/>
                <w:szCs w:val="20"/>
              </w:rPr>
              <w:t>21</w:t>
            </w:r>
          </w:p>
        </w:tc>
        <w:tc>
          <w:tcPr>
            <w:tcW w:w="683" w:type="pct"/>
            <w:shd w:val="clear" w:color="auto" w:fill="FAF9F8"/>
          </w:tcPr>
          <w:p w14:paraId="1F9065CE" w14:textId="77777777" w:rsidR="006576A6" w:rsidRPr="003E3C14" w:rsidRDefault="006576A6" w:rsidP="00F36AAD">
            <w:pPr>
              <w:jc w:val="right"/>
              <w:rPr>
                <w:sz w:val="20"/>
                <w:szCs w:val="20"/>
              </w:rPr>
            </w:pPr>
            <w:r w:rsidRPr="003E3C14">
              <w:rPr>
                <w:sz w:val="20"/>
                <w:szCs w:val="20"/>
              </w:rPr>
              <w:t>12</w:t>
            </w:r>
          </w:p>
        </w:tc>
        <w:tc>
          <w:tcPr>
            <w:tcW w:w="683" w:type="pct"/>
            <w:shd w:val="clear" w:color="auto" w:fill="FAF9F8"/>
          </w:tcPr>
          <w:p w14:paraId="019E52E7" w14:textId="77777777" w:rsidR="006576A6" w:rsidRPr="003E3C14" w:rsidRDefault="006576A6" w:rsidP="00F36AAD">
            <w:pPr>
              <w:jc w:val="right"/>
              <w:rPr>
                <w:sz w:val="20"/>
                <w:szCs w:val="20"/>
              </w:rPr>
            </w:pPr>
            <w:r w:rsidRPr="003E3C14">
              <w:rPr>
                <w:sz w:val="20"/>
                <w:szCs w:val="20"/>
              </w:rPr>
              <w:t>3</w:t>
            </w:r>
          </w:p>
        </w:tc>
        <w:tc>
          <w:tcPr>
            <w:tcW w:w="684" w:type="pct"/>
            <w:shd w:val="clear" w:color="auto" w:fill="FAF9F8"/>
          </w:tcPr>
          <w:p w14:paraId="31DF0AD6" w14:textId="77777777" w:rsidR="006576A6" w:rsidRPr="003E3C14" w:rsidRDefault="006576A6" w:rsidP="00F36AAD">
            <w:pPr>
              <w:jc w:val="right"/>
              <w:rPr>
                <w:sz w:val="20"/>
                <w:szCs w:val="20"/>
              </w:rPr>
            </w:pPr>
            <w:r w:rsidRPr="003E3C14">
              <w:rPr>
                <w:sz w:val="20"/>
                <w:szCs w:val="20"/>
              </w:rPr>
              <w:t>0</w:t>
            </w:r>
          </w:p>
        </w:tc>
        <w:tc>
          <w:tcPr>
            <w:tcW w:w="684" w:type="pct"/>
            <w:shd w:val="clear" w:color="auto" w:fill="FAF9F8"/>
          </w:tcPr>
          <w:p w14:paraId="54AF7FF2" w14:textId="77777777" w:rsidR="006576A6" w:rsidRPr="003E3C14" w:rsidRDefault="006576A6" w:rsidP="00F36AAD">
            <w:pPr>
              <w:jc w:val="right"/>
              <w:rPr>
                <w:sz w:val="20"/>
                <w:szCs w:val="20"/>
              </w:rPr>
            </w:pPr>
            <w:r w:rsidRPr="003E3C14">
              <w:rPr>
                <w:sz w:val="20"/>
                <w:szCs w:val="20"/>
              </w:rPr>
              <w:t>0</w:t>
            </w:r>
          </w:p>
        </w:tc>
        <w:tc>
          <w:tcPr>
            <w:tcW w:w="684" w:type="pct"/>
            <w:shd w:val="clear" w:color="auto" w:fill="FAF9F8"/>
          </w:tcPr>
          <w:p w14:paraId="1606ABE0" w14:textId="5E08201B" w:rsidR="006576A6" w:rsidRPr="003E3C14" w:rsidRDefault="006576A6" w:rsidP="00F36AAD">
            <w:pPr>
              <w:jc w:val="right"/>
              <w:rPr>
                <w:sz w:val="20"/>
                <w:szCs w:val="20"/>
              </w:rPr>
            </w:pPr>
            <w:r w:rsidRPr="003E3C14">
              <w:rPr>
                <w:sz w:val="20"/>
                <w:szCs w:val="20"/>
              </w:rPr>
              <w:t>36</w:t>
            </w:r>
          </w:p>
        </w:tc>
      </w:tr>
      <w:tr w:rsidR="006576A6" w:rsidRPr="003E3C14" w14:paraId="2237BA33" w14:textId="77777777" w:rsidTr="006576A6">
        <w:tc>
          <w:tcPr>
            <w:tcW w:w="783" w:type="pct"/>
            <w:vAlign w:val="bottom"/>
          </w:tcPr>
          <w:p w14:paraId="27895D1C" w14:textId="65E9E2E4" w:rsidR="006576A6" w:rsidRPr="003E3C14" w:rsidRDefault="006576A6" w:rsidP="006877D0">
            <w:pPr>
              <w:rPr>
                <w:sz w:val="20"/>
                <w:szCs w:val="20"/>
              </w:rPr>
            </w:pPr>
            <w:r w:rsidRPr="004810AC">
              <w:rPr>
                <w:rFonts w:eastAsia="Times New Roman" w:cs="Calibri"/>
                <w:color w:val="000000"/>
                <w:lang w:val="es" w:eastAsia="en-AU"/>
              </w:rPr>
              <w:t>NT</w:t>
            </w:r>
          </w:p>
        </w:tc>
        <w:tc>
          <w:tcPr>
            <w:tcW w:w="799" w:type="pct"/>
          </w:tcPr>
          <w:p w14:paraId="5BC5B1CB" w14:textId="77777777" w:rsidR="006576A6" w:rsidRPr="003E3C14" w:rsidRDefault="006576A6" w:rsidP="00F36AAD">
            <w:pPr>
              <w:jc w:val="right"/>
              <w:rPr>
                <w:sz w:val="20"/>
                <w:szCs w:val="20"/>
              </w:rPr>
            </w:pPr>
            <w:r w:rsidRPr="003E3C14">
              <w:rPr>
                <w:sz w:val="20"/>
                <w:szCs w:val="20"/>
              </w:rPr>
              <w:t>5</w:t>
            </w:r>
          </w:p>
        </w:tc>
        <w:tc>
          <w:tcPr>
            <w:tcW w:w="683" w:type="pct"/>
          </w:tcPr>
          <w:p w14:paraId="4A42A28B" w14:textId="77777777" w:rsidR="006576A6" w:rsidRPr="003E3C14" w:rsidRDefault="006576A6" w:rsidP="00F36AAD">
            <w:pPr>
              <w:jc w:val="right"/>
              <w:rPr>
                <w:sz w:val="20"/>
                <w:szCs w:val="20"/>
              </w:rPr>
            </w:pPr>
            <w:r w:rsidRPr="003E3C14">
              <w:rPr>
                <w:sz w:val="20"/>
                <w:szCs w:val="20"/>
              </w:rPr>
              <w:t>27</w:t>
            </w:r>
          </w:p>
        </w:tc>
        <w:tc>
          <w:tcPr>
            <w:tcW w:w="683" w:type="pct"/>
          </w:tcPr>
          <w:p w14:paraId="79629A9D" w14:textId="77777777" w:rsidR="006576A6" w:rsidRPr="003E3C14" w:rsidRDefault="006576A6" w:rsidP="00F36AAD">
            <w:pPr>
              <w:jc w:val="right"/>
              <w:rPr>
                <w:sz w:val="20"/>
                <w:szCs w:val="20"/>
              </w:rPr>
            </w:pPr>
            <w:r w:rsidRPr="003E3C14">
              <w:rPr>
                <w:sz w:val="20"/>
                <w:szCs w:val="20"/>
              </w:rPr>
              <w:t>1</w:t>
            </w:r>
          </w:p>
        </w:tc>
        <w:tc>
          <w:tcPr>
            <w:tcW w:w="684" w:type="pct"/>
          </w:tcPr>
          <w:p w14:paraId="56D27D5C" w14:textId="77777777" w:rsidR="006576A6" w:rsidRPr="003E3C14" w:rsidRDefault="006576A6" w:rsidP="00F36AAD">
            <w:pPr>
              <w:jc w:val="right"/>
              <w:rPr>
                <w:sz w:val="20"/>
                <w:szCs w:val="20"/>
              </w:rPr>
            </w:pPr>
            <w:r w:rsidRPr="003E3C14">
              <w:rPr>
                <w:sz w:val="20"/>
                <w:szCs w:val="20"/>
              </w:rPr>
              <w:t>1</w:t>
            </w:r>
          </w:p>
        </w:tc>
        <w:tc>
          <w:tcPr>
            <w:tcW w:w="684" w:type="pct"/>
          </w:tcPr>
          <w:p w14:paraId="642003DE" w14:textId="77777777" w:rsidR="006576A6" w:rsidRPr="003E3C14" w:rsidRDefault="006576A6" w:rsidP="00F36AAD">
            <w:pPr>
              <w:jc w:val="right"/>
              <w:rPr>
                <w:sz w:val="20"/>
                <w:szCs w:val="20"/>
              </w:rPr>
            </w:pPr>
            <w:r w:rsidRPr="003E3C14">
              <w:rPr>
                <w:sz w:val="20"/>
                <w:szCs w:val="20"/>
              </w:rPr>
              <w:t>0</w:t>
            </w:r>
          </w:p>
        </w:tc>
        <w:tc>
          <w:tcPr>
            <w:tcW w:w="684" w:type="pct"/>
          </w:tcPr>
          <w:p w14:paraId="523A50B9" w14:textId="222C2A5C" w:rsidR="006576A6" w:rsidRPr="003E3C14" w:rsidRDefault="006576A6" w:rsidP="00F36AAD">
            <w:pPr>
              <w:jc w:val="right"/>
              <w:rPr>
                <w:sz w:val="20"/>
                <w:szCs w:val="20"/>
              </w:rPr>
            </w:pPr>
            <w:r w:rsidRPr="003E3C14">
              <w:rPr>
                <w:sz w:val="20"/>
                <w:szCs w:val="20"/>
              </w:rPr>
              <w:t>34</w:t>
            </w:r>
          </w:p>
        </w:tc>
      </w:tr>
      <w:tr w:rsidR="006576A6" w:rsidRPr="003E3C14" w14:paraId="2E3630A4" w14:textId="77777777" w:rsidTr="006576A6">
        <w:tc>
          <w:tcPr>
            <w:tcW w:w="783" w:type="pct"/>
            <w:shd w:val="clear" w:color="auto" w:fill="E4E9F3"/>
          </w:tcPr>
          <w:p w14:paraId="4EEF0D12" w14:textId="462F6232" w:rsidR="006576A6" w:rsidRPr="003E3C14" w:rsidRDefault="006576A6" w:rsidP="006877D0">
            <w:pPr>
              <w:rPr>
                <w:b/>
                <w:sz w:val="20"/>
                <w:szCs w:val="20"/>
              </w:rPr>
            </w:pPr>
            <w:r w:rsidRPr="004810AC">
              <w:rPr>
                <w:rFonts w:eastAsia="Times New Roman" w:cs="Calibri"/>
                <w:b/>
                <w:bCs/>
                <w:color w:val="000000"/>
                <w:lang w:val="es" w:eastAsia="en-AU"/>
              </w:rPr>
              <w:t>Total nacional</w:t>
            </w:r>
          </w:p>
        </w:tc>
        <w:tc>
          <w:tcPr>
            <w:tcW w:w="799" w:type="pct"/>
            <w:shd w:val="clear" w:color="auto" w:fill="E4E9F3"/>
          </w:tcPr>
          <w:p w14:paraId="43D53D83" w14:textId="7091504E" w:rsidR="006576A6" w:rsidRPr="003E3C14" w:rsidRDefault="006576A6" w:rsidP="00F36AAD">
            <w:pPr>
              <w:jc w:val="right"/>
              <w:rPr>
                <w:b/>
                <w:sz w:val="20"/>
                <w:szCs w:val="20"/>
              </w:rPr>
            </w:pPr>
            <w:r w:rsidRPr="003E3C14">
              <w:rPr>
                <w:b/>
                <w:sz w:val="20"/>
                <w:szCs w:val="20"/>
              </w:rPr>
              <w:t>101</w:t>
            </w:r>
          </w:p>
        </w:tc>
        <w:tc>
          <w:tcPr>
            <w:tcW w:w="683" w:type="pct"/>
            <w:shd w:val="clear" w:color="auto" w:fill="E4E9F3"/>
          </w:tcPr>
          <w:p w14:paraId="66A5997D" w14:textId="79B02506" w:rsidR="006576A6" w:rsidRPr="003E3C14" w:rsidRDefault="006576A6" w:rsidP="00F36AAD">
            <w:pPr>
              <w:jc w:val="right"/>
              <w:rPr>
                <w:b/>
                <w:sz w:val="20"/>
                <w:szCs w:val="20"/>
              </w:rPr>
            </w:pPr>
            <w:r w:rsidRPr="003E3C14">
              <w:rPr>
                <w:b/>
                <w:sz w:val="20"/>
                <w:szCs w:val="20"/>
              </w:rPr>
              <w:t>209</w:t>
            </w:r>
          </w:p>
        </w:tc>
        <w:tc>
          <w:tcPr>
            <w:tcW w:w="683" w:type="pct"/>
            <w:shd w:val="clear" w:color="auto" w:fill="E4E9F3"/>
          </w:tcPr>
          <w:p w14:paraId="79FE3483" w14:textId="75894027" w:rsidR="006576A6" w:rsidRPr="003E3C14" w:rsidRDefault="006576A6" w:rsidP="00F36AAD">
            <w:pPr>
              <w:jc w:val="right"/>
              <w:rPr>
                <w:b/>
                <w:sz w:val="20"/>
                <w:szCs w:val="20"/>
              </w:rPr>
            </w:pPr>
            <w:r w:rsidRPr="003E3C14">
              <w:rPr>
                <w:b/>
                <w:sz w:val="20"/>
                <w:szCs w:val="20"/>
              </w:rPr>
              <w:t>54</w:t>
            </w:r>
          </w:p>
        </w:tc>
        <w:tc>
          <w:tcPr>
            <w:tcW w:w="684" w:type="pct"/>
            <w:shd w:val="clear" w:color="auto" w:fill="E4E9F3"/>
          </w:tcPr>
          <w:p w14:paraId="28317935" w14:textId="77777777" w:rsidR="006576A6" w:rsidRPr="003E3C14" w:rsidRDefault="006576A6" w:rsidP="00F36AAD">
            <w:pPr>
              <w:jc w:val="right"/>
              <w:rPr>
                <w:b/>
                <w:sz w:val="20"/>
                <w:szCs w:val="20"/>
              </w:rPr>
            </w:pPr>
            <w:r w:rsidRPr="003E3C14">
              <w:rPr>
                <w:b/>
                <w:sz w:val="20"/>
                <w:szCs w:val="20"/>
              </w:rPr>
              <w:t>7</w:t>
            </w:r>
          </w:p>
        </w:tc>
        <w:tc>
          <w:tcPr>
            <w:tcW w:w="684" w:type="pct"/>
            <w:shd w:val="clear" w:color="auto" w:fill="E4E9F3"/>
          </w:tcPr>
          <w:p w14:paraId="0D03A439" w14:textId="77777777" w:rsidR="006576A6" w:rsidRPr="003E3C14" w:rsidRDefault="006576A6" w:rsidP="00F36AAD">
            <w:pPr>
              <w:jc w:val="right"/>
              <w:rPr>
                <w:b/>
                <w:sz w:val="20"/>
                <w:szCs w:val="20"/>
              </w:rPr>
            </w:pPr>
            <w:r w:rsidRPr="003E3C14">
              <w:rPr>
                <w:b/>
                <w:sz w:val="20"/>
                <w:szCs w:val="20"/>
              </w:rPr>
              <w:t>3</w:t>
            </w:r>
          </w:p>
        </w:tc>
        <w:tc>
          <w:tcPr>
            <w:tcW w:w="684" w:type="pct"/>
            <w:shd w:val="clear" w:color="auto" w:fill="E4E9F3"/>
          </w:tcPr>
          <w:p w14:paraId="5E2E3864" w14:textId="3EFF644A" w:rsidR="006576A6" w:rsidRPr="003E3C14" w:rsidRDefault="006576A6" w:rsidP="00F36AAD">
            <w:pPr>
              <w:jc w:val="right"/>
              <w:rPr>
                <w:b/>
                <w:sz w:val="20"/>
                <w:szCs w:val="20"/>
              </w:rPr>
            </w:pPr>
            <w:r w:rsidRPr="003E3C14">
              <w:rPr>
                <w:b/>
                <w:sz w:val="20"/>
                <w:szCs w:val="20"/>
              </w:rPr>
              <w:t>374</w:t>
            </w:r>
          </w:p>
        </w:tc>
      </w:tr>
      <w:tr w:rsidR="00957224" w:rsidRPr="003E3C14" w14:paraId="67F38C51" w14:textId="77777777" w:rsidTr="006576A6">
        <w:tc>
          <w:tcPr>
            <w:tcW w:w="783" w:type="pct"/>
          </w:tcPr>
          <w:p w14:paraId="2FCFB9B9" w14:textId="39E2A3ED" w:rsidR="00957224" w:rsidRPr="003E3C14" w:rsidRDefault="006576A6" w:rsidP="006877D0">
            <w:pPr>
              <w:rPr>
                <w:b/>
                <w:sz w:val="20"/>
                <w:szCs w:val="20"/>
              </w:rPr>
            </w:pPr>
            <w:r w:rsidRPr="004810AC">
              <w:rPr>
                <w:rFonts w:eastAsia="Times New Roman" w:cs="Calibri"/>
                <w:b/>
                <w:bCs/>
                <w:color w:val="000000"/>
                <w:lang w:val="es" w:eastAsia="en-AU"/>
              </w:rPr>
              <w:t>Porcentaje</w:t>
            </w:r>
          </w:p>
        </w:tc>
        <w:tc>
          <w:tcPr>
            <w:tcW w:w="799" w:type="pct"/>
          </w:tcPr>
          <w:p w14:paraId="4F14C593" w14:textId="45A78917" w:rsidR="00957224" w:rsidRPr="003E3C14" w:rsidRDefault="00957224" w:rsidP="00F36AAD">
            <w:pPr>
              <w:jc w:val="right"/>
              <w:rPr>
                <w:b/>
                <w:sz w:val="20"/>
                <w:szCs w:val="20"/>
              </w:rPr>
            </w:pPr>
            <w:r w:rsidRPr="003E3C14">
              <w:rPr>
                <w:b/>
                <w:sz w:val="20"/>
                <w:szCs w:val="20"/>
              </w:rPr>
              <w:t>2</w:t>
            </w:r>
            <w:r w:rsidR="00A448FC" w:rsidRPr="003E3C14">
              <w:rPr>
                <w:b/>
                <w:sz w:val="20"/>
                <w:szCs w:val="20"/>
              </w:rPr>
              <w:t>7</w:t>
            </w:r>
            <w:r w:rsidRPr="003E3C14">
              <w:rPr>
                <w:b/>
                <w:sz w:val="20"/>
                <w:szCs w:val="20"/>
              </w:rPr>
              <w:t>%</w:t>
            </w:r>
          </w:p>
        </w:tc>
        <w:tc>
          <w:tcPr>
            <w:tcW w:w="683" w:type="pct"/>
          </w:tcPr>
          <w:p w14:paraId="6AEC6A4C" w14:textId="47431E62" w:rsidR="00957224" w:rsidRPr="003E3C14" w:rsidRDefault="00957224" w:rsidP="00F36AAD">
            <w:pPr>
              <w:jc w:val="right"/>
              <w:rPr>
                <w:b/>
                <w:sz w:val="20"/>
                <w:szCs w:val="20"/>
              </w:rPr>
            </w:pPr>
            <w:r w:rsidRPr="003E3C14">
              <w:rPr>
                <w:b/>
                <w:sz w:val="20"/>
                <w:szCs w:val="20"/>
              </w:rPr>
              <w:t>5</w:t>
            </w:r>
            <w:r w:rsidR="00C43D7A" w:rsidRPr="003E3C14">
              <w:rPr>
                <w:b/>
                <w:sz w:val="20"/>
                <w:szCs w:val="20"/>
              </w:rPr>
              <w:t>6</w:t>
            </w:r>
            <w:r w:rsidRPr="003E3C14">
              <w:rPr>
                <w:b/>
                <w:sz w:val="20"/>
                <w:szCs w:val="20"/>
              </w:rPr>
              <w:t>%</w:t>
            </w:r>
          </w:p>
        </w:tc>
        <w:tc>
          <w:tcPr>
            <w:tcW w:w="683" w:type="pct"/>
          </w:tcPr>
          <w:p w14:paraId="0AB6D3E8" w14:textId="6BE5C3E3" w:rsidR="00957224" w:rsidRPr="003E3C14" w:rsidRDefault="00C43D7A" w:rsidP="00F36AAD">
            <w:pPr>
              <w:jc w:val="right"/>
              <w:rPr>
                <w:b/>
                <w:sz w:val="20"/>
                <w:szCs w:val="20"/>
              </w:rPr>
            </w:pPr>
            <w:r w:rsidRPr="003E3C14">
              <w:rPr>
                <w:b/>
                <w:sz w:val="20"/>
                <w:szCs w:val="20"/>
              </w:rPr>
              <w:t>14</w:t>
            </w:r>
            <w:r w:rsidR="00957224" w:rsidRPr="003E3C14">
              <w:rPr>
                <w:b/>
                <w:sz w:val="20"/>
                <w:szCs w:val="20"/>
              </w:rPr>
              <w:t>%</w:t>
            </w:r>
          </w:p>
        </w:tc>
        <w:tc>
          <w:tcPr>
            <w:tcW w:w="684" w:type="pct"/>
          </w:tcPr>
          <w:p w14:paraId="22EC2D25" w14:textId="26A4AB7D" w:rsidR="00957224" w:rsidRPr="003E3C14" w:rsidRDefault="00A448FC" w:rsidP="00F36AAD">
            <w:pPr>
              <w:jc w:val="right"/>
              <w:rPr>
                <w:b/>
                <w:sz w:val="20"/>
                <w:szCs w:val="20"/>
              </w:rPr>
            </w:pPr>
            <w:r w:rsidRPr="003E3C14">
              <w:rPr>
                <w:b/>
                <w:sz w:val="20"/>
                <w:szCs w:val="20"/>
              </w:rPr>
              <w:t>2</w:t>
            </w:r>
            <w:r w:rsidR="00957224" w:rsidRPr="003E3C14">
              <w:rPr>
                <w:b/>
                <w:sz w:val="20"/>
                <w:szCs w:val="20"/>
              </w:rPr>
              <w:t>%</w:t>
            </w:r>
          </w:p>
        </w:tc>
        <w:tc>
          <w:tcPr>
            <w:tcW w:w="684" w:type="pct"/>
          </w:tcPr>
          <w:p w14:paraId="598CB151" w14:textId="70C7A8FC" w:rsidR="00957224" w:rsidRPr="003E3C14" w:rsidRDefault="00A448FC" w:rsidP="00F36AAD">
            <w:pPr>
              <w:jc w:val="right"/>
              <w:rPr>
                <w:b/>
                <w:sz w:val="20"/>
                <w:szCs w:val="20"/>
              </w:rPr>
            </w:pPr>
            <w:r w:rsidRPr="003E3C14">
              <w:rPr>
                <w:b/>
                <w:sz w:val="20"/>
                <w:szCs w:val="20"/>
              </w:rPr>
              <w:t>1</w:t>
            </w:r>
            <w:r w:rsidR="00957224" w:rsidRPr="003E3C14">
              <w:rPr>
                <w:b/>
                <w:sz w:val="20"/>
                <w:szCs w:val="20"/>
              </w:rPr>
              <w:t>%</w:t>
            </w:r>
          </w:p>
        </w:tc>
        <w:tc>
          <w:tcPr>
            <w:tcW w:w="684" w:type="pct"/>
          </w:tcPr>
          <w:p w14:paraId="057B5835" w14:textId="77777777" w:rsidR="00957224" w:rsidRPr="003E3C14" w:rsidRDefault="00957224" w:rsidP="00F36AAD">
            <w:pPr>
              <w:jc w:val="right"/>
              <w:rPr>
                <w:b/>
                <w:sz w:val="20"/>
                <w:szCs w:val="20"/>
              </w:rPr>
            </w:pPr>
          </w:p>
        </w:tc>
      </w:tr>
    </w:tbl>
    <w:p w14:paraId="7ED513EA" w14:textId="2462147E" w:rsidR="008E35C9" w:rsidRPr="003E3C14" w:rsidRDefault="00D025B9" w:rsidP="006877D0">
      <w:pPr>
        <w:spacing w:before="240" w:after="240"/>
        <w:rPr>
          <w:b/>
        </w:rPr>
      </w:pPr>
      <w:r w:rsidRPr="00501ED4">
        <w:rPr>
          <w:rFonts w:cs="Arial"/>
          <w:b/>
          <w:lang w:val="es-ES"/>
        </w:rPr>
        <w:t>Tabla 2: Progreso de 374 acciones por TAP y estado durante el período de informe 2022-2023</w:t>
      </w:r>
    </w:p>
    <w:tbl>
      <w:tblPr>
        <w:tblStyle w:val="TableGrid"/>
        <w:tblW w:w="5000" w:type="pc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2: Progress of 374 actions by TAP and status for the reporting period 2022–2023"/>
      </w:tblPr>
      <w:tblGrid>
        <w:gridCol w:w="1562"/>
        <w:gridCol w:w="1477"/>
        <w:gridCol w:w="1225"/>
        <w:gridCol w:w="1242"/>
        <w:gridCol w:w="1246"/>
        <w:gridCol w:w="1246"/>
        <w:gridCol w:w="1244"/>
      </w:tblGrid>
      <w:tr w:rsidR="00BC2F9E" w:rsidRPr="003E3C14" w14:paraId="4F4D0CEF" w14:textId="77777777" w:rsidTr="003F7058">
        <w:trPr>
          <w:tblHeader/>
        </w:trPr>
        <w:tc>
          <w:tcPr>
            <w:tcW w:w="845" w:type="pct"/>
            <w:tcBorders>
              <w:top w:val="single" w:sz="4" w:space="0" w:color="auto"/>
              <w:bottom w:val="single" w:sz="4" w:space="0" w:color="auto"/>
              <w:right w:val="single" w:sz="4" w:space="0" w:color="FFFFFF" w:themeColor="background1"/>
            </w:tcBorders>
            <w:shd w:val="clear" w:color="auto" w:fill="6C1740"/>
          </w:tcPr>
          <w:p w14:paraId="536AC5C2" w14:textId="77777777" w:rsidR="00BC2F9E" w:rsidRPr="003E3C14" w:rsidRDefault="00BC2F9E" w:rsidP="00EF2C6E">
            <w:pPr>
              <w:rPr>
                <w:b/>
                <w:sz w:val="20"/>
                <w:szCs w:val="20"/>
              </w:rPr>
            </w:pPr>
            <w:bookmarkStart w:id="5" w:name="Title_02"/>
            <w:bookmarkEnd w:id="5"/>
            <w:r w:rsidRPr="003E3C14">
              <w:rPr>
                <w:b/>
                <w:sz w:val="20"/>
                <w:szCs w:val="20"/>
              </w:rPr>
              <w:t>TAP</w:t>
            </w:r>
          </w:p>
        </w:tc>
        <w:tc>
          <w:tcPr>
            <w:tcW w:w="79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42317B38" w14:textId="44F34104" w:rsidR="00BC2F9E" w:rsidRPr="003E3C14" w:rsidRDefault="00BC2F9E" w:rsidP="006877D0">
            <w:pPr>
              <w:jc w:val="right"/>
              <w:rPr>
                <w:b/>
                <w:sz w:val="20"/>
                <w:szCs w:val="20"/>
              </w:rPr>
            </w:pPr>
            <w:r w:rsidRPr="00BC2F9E">
              <w:rPr>
                <w:rFonts w:eastAsia="Times New Roman" w:cs="Calibri"/>
                <w:b/>
                <w:bCs/>
                <w:color w:val="FFFFFF" w:themeColor="background1"/>
                <w:lang w:val="es" w:eastAsia="en-AU"/>
              </w:rPr>
              <w:t>Completada</w:t>
            </w:r>
          </w:p>
        </w:tc>
        <w:tc>
          <w:tcPr>
            <w:tcW w:w="663"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7F50E1B7" w14:textId="28806DFA" w:rsidR="00BC2F9E" w:rsidRPr="003E3C14" w:rsidRDefault="00BC2F9E" w:rsidP="006877D0">
            <w:pPr>
              <w:jc w:val="right"/>
              <w:rPr>
                <w:b/>
                <w:sz w:val="20"/>
                <w:szCs w:val="20"/>
              </w:rPr>
            </w:pPr>
            <w:r w:rsidRPr="00BC2F9E">
              <w:rPr>
                <w:rFonts w:eastAsia="Times New Roman" w:cs="Calibri"/>
                <w:b/>
                <w:bCs/>
                <w:color w:val="FFFFFF" w:themeColor="background1"/>
                <w:lang w:val="es" w:eastAsia="en-AU"/>
              </w:rPr>
              <w:t>En curso</w:t>
            </w:r>
          </w:p>
        </w:tc>
        <w:tc>
          <w:tcPr>
            <w:tcW w:w="672"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5CF02988" w14:textId="64202FA0" w:rsidR="00BC2F9E" w:rsidRPr="003E3C14" w:rsidRDefault="00BC2F9E" w:rsidP="006877D0">
            <w:pPr>
              <w:jc w:val="right"/>
              <w:rPr>
                <w:b/>
                <w:sz w:val="20"/>
                <w:szCs w:val="20"/>
              </w:rPr>
            </w:pPr>
            <w:r w:rsidRPr="00BC2F9E">
              <w:rPr>
                <w:rFonts w:eastAsia="Times New Roman" w:cs="Calibri"/>
                <w:b/>
                <w:bCs/>
                <w:color w:val="FFFFFF" w:themeColor="background1"/>
                <w:lang w:val="es" w:eastAsia="en-AU"/>
              </w:rPr>
              <w:t>Algunas demoras</w:t>
            </w:r>
          </w:p>
        </w:tc>
        <w:tc>
          <w:tcPr>
            <w:tcW w:w="67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04763095" w14:textId="635A5B2E" w:rsidR="00BC2F9E" w:rsidRPr="003E3C14" w:rsidRDefault="00BC2F9E" w:rsidP="006877D0">
            <w:pPr>
              <w:jc w:val="right"/>
              <w:rPr>
                <w:b/>
                <w:sz w:val="20"/>
                <w:szCs w:val="20"/>
              </w:rPr>
            </w:pPr>
            <w:r w:rsidRPr="00BC2F9E">
              <w:rPr>
                <w:rFonts w:eastAsia="Times New Roman" w:cs="Calibri"/>
                <w:b/>
                <w:bCs/>
                <w:color w:val="FFFFFF" w:themeColor="background1"/>
                <w:lang w:val="es" w:eastAsia="en-AU"/>
              </w:rPr>
              <w:t>En pausa</w:t>
            </w:r>
          </w:p>
        </w:tc>
        <w:tc>
          <w:tcPr>
            <w:tcW w:w="67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4532865E" w14:textId="7EF8257B" w:rsidR="00BC2F9E" w:rsidRPr="003E3C14" w:rsidRDefault="00BC2F9E" w:rsidP="006877D0">
            <w:pPr>
              <w:jc w:val="right"/>
              <w:rPr>
                <w:b/>
                <w:sz w:val="20"/>
                <w:szCs w:val="20"/>
              </w:rPr>
            </w:pPr>
            <w:r w:rsidRPr="00BC2F9E">
              <w:rPr>
                <w:rFonts w:eastAsia="Times New Roman" w:cs="Calibri"/>
                <w:b/>
                <w:bCs/>
                <w:color w:val="FFFFFF" w:themeColor="background1"/>
                <w:lang w:val="es" w:eastAsia="en-AU"/>
              </w:rPr>
              <w:t>Inicio futuro</w:t>
            </w:r>
          </w:p>
        </w:tc>
        <w:tc>
          <w:tcPr>
            <w:tcW w:w="674" w:type="pct"/>
            <w:tcBorders>
              <w:top w:val="single" w:sz="4" w:space="0" w:color="auto"/>
              <w:left w:val="single" w:sz="4" w:space="0" w:color="FFFFFF" w:themeColor="background1"/>
              <w:bottom w:val="single" w:sz="4" w:space="0" w:color="auto"/>
            </w:tcBorders>
            <w:shd w:val="clear" w:color="auto" w:fill="6C1740"/>
          </w:tcPr>
          <w:p w14:paraId="00156194" w14:textId="1F8F7394" w:rsidR="00BC2F9E" w:rsidRPr="003E3C14" w:rsidRDefault="00BC2F9E" w:rsidP="006877D0">
            <w:pPr>
              <w:jc w:val="right"/>
              <w:rPr>
                <w:b/>
                <w:sz w:val="20"/>
                <w:szCs w:val="20"/>
              </w:rPr>
            </w:pPr>
            <w:r w:rsidRPr="00BC2F9E">
              <w:rPr>
                <w:b/>
                <w:color w:val="FFFFFF" w:themeColor="background1"/>
                <w:sz w:val="20"/>
                <w:szCs w:val="20"/>
              </w:rPr>
              <w:t>Total</w:t>
            </w:r>
          </w:p>
        </w:tc>
      </w:tr>
      <w:tr w:rsidR="00BC42FC" w:rsidRPr="003E3C14" w14:paraId="08F605E0" w14:textId="77777777" w:rsidTr="003F7058">
        <w:tc>
          <w:tcPr>
            <w:tcW w:w="845" w:type="pct"/>
            <w:tcBorders>
              <w:top w:val="single" w:sz="4" w:space="0" w:color="auto"/>
            </w:tcBorders>
            <w:vAlign w:val="bottom"/>
          </w:tcPr>
          <w:p w14:paraId="59F60012" w14:textId="0077481A" w:rsidR="00BC42FC" w:rsidRPr="003E3C14" w:rsidRDefault="00BC42FC" w:rsidP="00EF2C6E">
            <w:pPr>
              <w:rPr>
                <w:sz w:val="20"/>
                <w:szCs w:val="20"/>
              </w:rPr>
            </w:pPr>
            <w:r w:rsidRPr="004810AC">
              <w:rPr>
                <w:rFonts w:eastAsia="Times New Roman" w:cs="Calibri"/>
                <w:b/>
                <w:bCs/>
                <w:color w:val="000000"/>
                <w:lang w:val="es" w:eastAsia="en-AU"/>
              </w:rPr>
              <w:t>Empleo</w:t>
            </w:r>
          </w:p>
        </w:tc>
        <w:tc>
          <w:tcPr>
            <w:tcW w:w="799" w:type="pct"/>
            <w:tcBorders>
              <w:top w:val="single" w:sz="4" w:space="0" w:color="auto"/>
            </w:tcBorders>
          </w:tcPr>
          <w:p w14:paraId="4D6D9272" w14:textId="77777777" w:rsidR="00BC42FC" w:rsidRPr="003E3C14" w:rsidRDefault="00BC42FC" w:rsidP="006877D0">
            <w:pPr>
              <w:jc w:val="right"/>
              <w:rPr>
                <w:sz w:val="20"/>
                <w:szCs w:val="20"/>
              </w:rPr>
            </w:pPr>
            <w:r w:rsidRPr="003E3C14">
              <w:rPr>
                <w:sz w:val="20"/>
                <w:szCs w:val="20"/>
              </w:rPr>
              <w:t>17</w:t>
            </w:r>
          </w:p>
        </w:tc>
        <w:tc>
          <w:tcPr>
            <w:tcW w:w="663" w:type="pct"/>
            <w:tcBorders>
              <w:top w:val="single" w:sz="4" w:space="0" w:color="auto"/>
            </w:tcBorders>
          </w:tcPr>
          <w:p w14:paraId="7F980C6E" w14:textId="6898C556" w:rsidR="00BC42FC" w:rsidRPr="003E3C14" w:rsidRDefault="00BC42FC" w:rsidP="006877D0">
            <w:pPr>
              <w:jc w:val="right"/>
              <w:rPr>
                <w:sz w:val="20"/>
                <w:szCs w:val="20"/>
              </w:rPr>
            </w:pPr>
            <w:r w:rsidRPr="003E3C14">
              <w:rPr>
                <w:sz w:val="20"/>
                <w:szCs w:val="20"/>
              </w:rPr>
              <w:t>47</w:t>
            </w:r>
          </w:p>
        </w:tc>
        <w:tc>
          <w:tcPr>
            <w:tcW w:w="672" w:type="pct"/>
            <w:tcBorders>
              <w:top w:val="single" w:sz="4" w:space="0" w:color="auto"/>
            </w:tcBorders>
          </w:tcPr>
          <w:p w14:paraId="0721E32E" w14:textId="47D76768" w:rsidR="00BC42FC" w:rsidRPr="003E3C14" w:rsidRDefault="00BC42FC" w:rsidP="006877D0">
            <w:pPr>
              <w:jc w:val="right"/>
              <w:rPr>
                <w:sz w:val="20"/>
                <w:szCs w:val="20"/>
              </w:rPr>
            </w:pPr>
            <w:r w:rsidRPr="003E3C14">
              <w:rPr>
                <w:sz w:val="20"/>
                <w:szCs w:val="20"/>
              </w:rPr>
              <w:t>9</w:t>
            </w:r>
          </w:p>
        </w:tc>
        <w:tc>
          <w:tcPr>
            <w:tcW w:w="674" w:type="pct"/>
            <w:tcBorders>
              <w:top w:val="single" w:sz="4" w:space="0" w:color="auto"/>
            </w:tcBorders>
          </w:tcPr>
          <w:p w14:paraId="3A152212" w14:textId="77777777" w:rsidR="00BC42FC" w:rsidRPr="003E3C14" w:rsidRDefault="00BC42FC" w:rsidP="006877D0">
            <w:pPr>
              <w:jc w:val="right"/>
              <w:rPr>
                <w:sz w:val="20"/>
                <w:szCs w:val="20"/>
              </w:rPr>
            </w:pPr>
            <w:r w:rsidRPr="003E3C14">
              <w:rPr>
                <w:sz w:val="20"/>
                <w:szCs w:val="20"/>
              </w:rPr>
              <w:t>0</w:t>
            </w:r>
          </w:p>
        </w:tc>
        <w:tc>
          <w:tcPr>
            <w:tcW w:w="674" w:type="pct"/>
            <w:tcBorders>
              <w:top w:val="single" w:sz="4" w:space="0" w:color="auto"/>
            </w:tcBorders>
          </w:tcPr>
          <w:p w14:paraId="57C8D585" w14:textId="77777777" w:rsidR="00BC42FC" w:rsidRPr="003E3C14" w:rsidRDefault="00BC42FC" w:rsidP="006877D0">
            <w:pPr>
              <w:jc w:val="right"/>
              <w:rPr>
                <w:sz w:val="20"/>
                <w:szCs w:val="20"/>
              </w:rPr>
            </w:pPr>
            <w:r w:rsidRPr="003E3C14">
              <w:rPr>
                <w:sz w:val="20"/>
                <w:szCs w:val="20"/>
              </w:rPr>
              <w:t>0</w:t>
            </w:r>
          </w:p>
        </w:tc>
        <w:tc>
          <w:tcPr>
            <w:tcW w:w="674" w:type="pct"/>
            <w:tcBorders>
              <w:top w:val="single" w:sz="4" w:space="0" w:color="auto"/>
            </w:tcBorders>
          </w:tcPr>
          <w:p w14:paraId="7022FAA2" w14:textId="181CF0E4" w:rsidR="00BC42FC" w:rsidRPr="003E3C14" w:rsidRDefault="00BC42FC" w:rsidP="006877D0">
            <w:pPr>
              <w:jc w:val="right"/>
              <w:rPr>
                <w:sz w:val="20"/>
                <w:szCs w:val="20"/>
              </w:rPr>
            </w:pPr>
            <w:r w:rsidRPr="003E3C14">
              <w:rPr>
                <w:sz w:val="20"/>
                <w:szCs w:val="20"/>
              </w:rPr>
              <w:t>73</w:t>
            </w:r>
          </w:p>
        </w:tc>
      </w:tr>
      <w:tr w:rsidR="00BC42FC" w:rsidRPr="003E3C14" w14:paraId="65D34C9A" w14:textId="77777777" w:rsidTr="003F7058">
        <w:tc>
          <w:tcPr>
            <w:tcW w:w="845" w:type="pct"/>
            <w:shd w:val="clear" w:color="auto" w:fill="FAF9F8"/>
            <w:vAlign w:val="bottom"/>
          </w:tcPr>
          <w:p w14:paraId="614C20F0" w14:textId="0CBC5B62" w:rsidR="00BC42FC" w:rsidRPr="003E3C14" w:rsidRDefault="00BC42FC" w:rsidP="00EF2C6E">
            <w:pPr>
              <w:rPr>
                <w:sz w:val="20"/>
                <w:szCs w:val="20"/>
              </w:rPr>
            </w:pPr>
            <w:r w:rsidRPr="004810AC">
              <w:rPr>
                <w:rFonts w:eastAsia="Times New Roman" w:cs="Calibri"/>
                <w:b/>
                <w:bCs/>
                <w:color w:val="000000"/>
                <w:lang w:val="es" w:eastAsia="en-AU"/>
              </w:rPr>
              <w:t>Actitudes en la comunidad</w:t>
            </w:r>
          </w:p>
        </w:tc>
        <w:tc>
          <w:tcPr>
            <w:tcW w:w="799" w:type="pct"/>
            <w:shd w:val="clear" w:color="auto" w:fill="FAF9F8"/>
          </w:tcPr>
          <w:p w14:paraId="40988ABA" w14:textId="2DA6E197" w:rsidR="00BC42FC" w:rsidRPr="003E3C14" w:rsidRDefault="00BC42FC" w:rsidP="006877D0">
            <w:pPr>
              <w:jc w:val="right"/>
              <w:rPr>
                <w:sz w:val="20"/>
                <w:szCs w:val="20"/>
              </w:rPr>
            </w:pPr>
            <w:r w:rsidRPr="003E3C14">
              <w:rPr>
                <w:sz w:val="20"/>
                <w:szCs w:val="20"/>
              </w:rPr>
              <w:t>20</w:t>
            </w:r>
          </w:p>
        </w:tc>
        <w:tc>
          <w:tcPr>
            <w:tcW w:w="663" w:type="pct"/>
            <w:shd w:val="clear" w:color="auto" w:fill="FAF9F8"/>
          </w:tcPr>
          <w:p w14:paraId="370EDEDB" w14:textId="76292B67" w:rsidR="00BC42FC" w:rsidRPr="003E3C14" w:rsidRDefault="00BC42FC" w:rsidP="006877D0">
            <w:pPr>
              <w:jc w:val="right"/>
              <w:rPr>
                <w:sz w:val="20"/>
                <w:szCs w:val="20"/>
              </w:rPr>
            </w:pPr>
            <w:r w:rsidRPr="003E3C14">
              <w:rPr>
                <w:sz w:val="20"/>
                <w:szCs w:val="20"/>
              </w:rPr>
              <w:t>33</w:t>
            </w:r>
          </w:p>
        </w:tc>
        <w:tc>
          <w:tcPr>
            <w:tcW w:w="672" w:type="pct"/>
            <w:shd w:val="clear" w:color="auto" w:fill="FAF9F8"/>
          </w:tcPr>
          <w:p w14:paraId="508856DE" w14:textId="24730E8C" w:rsidR="00BC42FC" w:rsidRPr="003E3C14" w:rsidRDefault="00BC42FC" w:rsidP="006877D0">
            <w:pPr>
              <w:jc w:val="right"/>
              <w:rPr>
                <w:sz w:val="20"/>
                <w:szCs w:val="20"/>
              </w:rPr>
            </w:pPr>
            <w:r w:rsidRPr="003E3C14">
              <w:rPr>
                <w:sz w:val="20"/>
                <w:szCs w:val="20"/>
              </w:rPr>
              <w:t>10</w:t>
            </w:r>
          </w:p>
        </w:tc>
        <w:tc>
          <w:tcPr>
            <w:tcW w:w="674" w:type="pct"/>
            <w:shd w:val="clear" w:color="auto" w:fill="FAF9F8"/>
          </w:tcPr>
          <w:p w14:paraId="19795E4A" w14:textId="77777777" w:rsidR="00BC42FC" w:rsidRPr="003E3C14" w:rsidRDefault="00BC42FC" w:rsidP="006877D0">
            <w:pPr>
              <w:jc w:val="right"/>
              <w:rPr>
                <w:sz w:val="20"/>
                <w:szCs w:val="20"/>
              </w:rPr>
            </w:pPr>
            <w:r w:rsidRPr="003E3C14">
              <w:rPr>
                <w:sz w:val="20"/>
                <w:szCs w:val="20"/>
              </w:rPr>
              <w:t>0</w:t>
            </w:r>
          </w:p>
        </w:tc>
        <w:tc>
          <w:tcPr>
            <w:tcW w:w="674" w:type="pct"/>
            <w:shd w:val="clear" w:color="auto" w:fill="FAF9F8"/>
          </w:tcPr>
          <w:p w14:paraId="6022F5FA" w14:textId="77777777" w:rsidR="00BC42FC" w:rsidRPr="003E3C14" w:rsidRDefault="00BC42FC" w:rsidP="006877D0">
            <w:pPr>
              <w:jc w:val="right"/>
              <w:rPr>
                <w:sz w:val="20"/>
                <w:szCs w:val="20"/>
              </w:rPr>
            </w:pPr>
            <w:r w:rsidRPr="003E3C14">
              <w:rPr>
                <w:sz w:val="20"/>
                <w:szCs w:val="20"/>
              </w:rPr>
              <w:t>0</w:t>
            </w:r>
          </w:p>
        </w:tc>
        <w:tc>
          <w:tcPr>
            <w:tcW w:w="674" w:type="pct"/>
            <w:shd w:val="clear" w:color="auto" w:fill="FAF9F8"/>
          </w:tcPr>
          <w:p w14:paraId="0BFC36E9" w14:textId="772C3EF7" w:rsidR="00BC42FC" w:rsidRPr="003E3C14" w:rsidRDefault="00BC42FC" w:rsidP="006877D0">
            <w:pPr>
              <w:jc w:val="right"/>
              <w:rPr>
                <w:sz w:val="20"/>
                <w:szCs w:val="20"/>
              </w:rPr>
            </w:pPr>
            <w:r w:rsidRPr="003E3C14">
              <w:rPr>
                <w:sz w:val="20"/>
                <w:szCs w:val="20"/>
              </w:rPr>
              <w:t>63</w:t>
            </w:r>
          </w:p>
        </w:tc>
      </w:tr>
      <w:tr w:rsidR="00BC42FC" w:rsidRPr="003E3C14" w14:paraId="79E8D389" w14:textId="77777777" w:rsidTr="003F7058">
        <w:tc>
          <w:tcPr>
            <w:tcW w:w="845" w:type="pct"/>
            <w:vAlign w:val="bottom"/>
          </w:tcPr>
          <w:p w14:paraId="762EA67B" w14:textId="7A7C2747" w:rsidR="00BC42FC" w:rsidRPr="003E3C14" w:rsidRDefault="00BC42FC" w:rsidP="00EF2C6E">
            <w:pPr>
              <w:rPr>
                <w:sz w:val="20"/>
                <w:szCs w:val="20"/>
              </w:rPr>
            </w:pPr>
            <w:r w:rsidRPr="004810AC">
              <w:rPr>
                <w:rFonts w:eastAsia="Times New Roman" w:cs="Calibri"/>
                <w:b/>
                <w:bCs/>
                <w:color w:val="000000"/>
                <w:lang w:val="es" w:eastAsia="en-AU"/>
              </w:rPr>
              <w:lastRenderedPageBreak/>
              <w:t>Primera infancia</w:t>
            </w:r>
          </w:p>
        </w:tc>
        <w:tc>
          <w:tcPr>
            <w:tcW w:w="799" w:type="pct"/>
          </w:tcPr>
          <w:p w14:paraId="76B5A428" w14:textId="6D01DBB6" w:rsidR="00BC42FC" w:rsidRPr="003E3C14" w:rsidRDefault="00BC42FC" w:rsidP="006877D0">
            <w:pPr>
              <w:jc w:val="right"/>
              <w:rPr>
                <w:sz w:val="20"/>
                <w:szCs w:val="20"/>
              </w:rPr>
            </w:pPr>
            <w:r w:rsidRPr="003E3C14">
              <w:rPr>
                <w:sz w:val="20"/>
                <w:szCs w:val="20"/>
              </w:rPr>
              <w:t>20</w:t>
            </w:r>
          </w:p>
        </w:tc>
        <w:tc>
          <w:tcPr>
            <w:tcW w:w="663" w:type="pct"/>
          </w:tcPr>
          <w:p w14:paraId="31678CE4" w14:textId="2D6F0471" w:rsidR="00BC42FC" w:rsidRPr="003E3C14" w:rsidRDefault="00BC42FC" w:rsidP="006877D0">
            <w:pPr>
              <w:jc w:val="right"/>
              <w:rPr>
                <w:sz w:val="20"/>
                <w:szCs w:val="20"/>
              </w:rPr>
            </w:pPr>
            <w:r w:rsidRPr="003E3C14">
              <w:rPr>
                <w:sz w:val="20"/>
                <w:szCs w:val="20"/>
              </w:rPr>
              <w:t>43</w:t>
            </w:r>
          </w:p>
        </w:tc>
        <w:tc>
          <w:tcPr>
            <w:tcW w:w="672" w:type="pct"/>
          </w:tcPr>
          <w:p w14:paraId="6C94D221" w14:textId="170A28A9" w:rsidR="00BC42FC" w:rsidRPr="003E3C14" w:rsidRDefault="00BC42FC" w:rsidP="006877D0">
            <w:pPr>
              <w:jc w:val="right"/>
              <w:rPr>
                <w:sz w:val="20"/>
                <w:szCs w:val="20"/>
              </w:rPr>
            </w:pPr>
            <w:r w:rsidRPr="003E3C14">
              <w:rPr>
                <w:sz w:val="20"/>
                <w:szCs w:val="20"/>
              </w:rPr>
              <w:t>7</w:t>
            </w:r>
          </w:p>
        </w:tc>
        <w:tc>
          <w:tcPr>
            <w:tcW w:w="674" w:type="pct"/>
          </w:tcPr>
          <w:p w14:paraId="244E2AE2" w14:textId="77777777" w:rsidR="00BC42FC" w:rsidRPr="003E3C14" w:rsidRDefault="00BC42FC" w:rsidP="006877D0">
            <w:pPr>
              <w:jc w:val="right"/>
              <w:rPr>
                <w:sz w:val="20"/>
                <w:szCs w:val="20"/>
              </w:rPr>
            </w:pPr>
            <w:r w:rsidRPr="003E3C14">
              <w:rPr>
                <w:sz w:val="20"/>
                <w:szCs w:val="20"/>
              </w:rPr>
              <w:t>3</w:t>
            </w:r>
          </w:p>
        </w:tc>
        <w:tc>
          <w:tcPr>
            <w:tcW w:w="674" w:type="pct"/>
          </w:tcPr>
          <w:p w14:paraId="65CFF358" w14:textId="77777777" w:rsidR="00BC42FC" w:rsidRPr="003E3C14" w:rsidRDefault="00BC42FC" w:rsidP="006877D0">
            <w:pPr>
              <w:jc w:val="right"/>
              <w:rPr>
                <w:sz w:val="20"/>
                <w:szCs w:val="20"/>
              </w:rPr>
            </w:pPr>
            <w:r w:rsidRPr="003E3C14">
              <w:rPr>
                <w:sz w:val="20"/>
                <w:szCs w:val="20"/>
              </w:rPr>
              <w:t>1</w:t>
            </w:r>
          </w:p>
        </w:tc>
        <w:tc>
          <w:tcPr>
            <w:tcW w:w="674" w:type="pct"/>
          </w:tcPr>
          <w:p w14:paraId="194151B9" w14:textId="38B8663B" w:rsidR="00BC42FC" w:rsidRPr="003E3C14" w:rsidRDefault="00BC42FC" w:rsidP="006877D0">
            <w:pPr>
              <w:jc w:val="right"/>
              <w:rPr>
                <w:sz w:val="20"/>
                <w:szCs w:val="20"/>
              </w:rPr>
            </w:pPr>
            <w:r w:rsidRPr="003E3C14">
              <w:rPr>
                <w:sz w:val="20"/>
                <w:szCs w:val="20"/>
              </w:rPr>
              <w:t>74</w:t>
            </w:r>
          </w:p>
        </w:tc>
      </w:tr>
      <w:tr w:rsidR="00BC42FC" w:rsidRPr="003E3C14" w14:paraId="51E90B34" w14:textId="77777777" w:rsidTr="003F7058">
        <w:tc>
          <w:tcPr>
            <w:tcW w:w="845" w:type="pct"/>
            <w:shd w:val="clear" w:color="auto" w:fill="FAF9F8"/>
            <w:vAlign w:val="bottom"/>
          </w:tcPr>
          <w:p w14:paraId="74082AD9" w14:textId="604CB4E2" w:rsidR="00BC42FC" w:rsidRPr="003E3C14" w:rsidRDefault="00BC42FC" w:rsidP="00EF2C6E">
            <w:pPr>
              <w:rPr>
                <w:sz w:val="20"/>
                <w:szCs w:val="20"/>
              </w:rPr>
            </w:pPr>
            <w:r w:rsidRPr="004810AC">
              <w:rPr>
                <w:rFonts w:eastAsia="Times New Roman" w:cs="Calibri"/>
                <w:b/>
                <w:bCs/>
                <w:color w:val="000000"/>
                <w:lang w:val="es" w:eastAsia="en-AU"/>
              </w:rPr>
              <w:t>Seguridad</w:t>
            </w:r>
          </w:p>
        </w:tc>
        <w:tc>
          <w:tcPr>
            <w:tcW w:w="799" w:type="pct"/>
            <w:shd w:val="clear" w:color="auto" w:fill="FAF9F8"/>
          </w:tcPr>
          <w:p w14:paraId="7860BF3D" w14:textId="77777777" w:rsidR="00BC42FC" w:rsidRPr="003E3C14" w:rsidRDefault="00BC42FC" w:rsidP="006877D0">
            <w:pPr>
              <w:jc w:val="right"/>
              <w:rPr>
                <w:sz w:val="20"/>
                <w:szCs w:val="20"/>
              </w:rPr>
            </w:pPr>
            <w:r w:rsidRPr="003E3C14">
              <w:rPr>
                <w:sz w:val="20"/>
                <w:szCs w:val="20"/>
              </w:rPr>
              <w:t>34</w:t>
            </w:r>
          </w:p>
        </w:tc>
        <w:tc>
          <w:tcPr>
            <w:tcW w:w="663" w:type="pct"/>
            <w:shd w:val="clear" w:color="auto" w:fill="FAF9F8"/>
          </w:tcPr>
          <w:p w14:paraId="32958378" w14:textId="77777777" w:rsidR="00BC42FC" w:rsidRPr="003E3C14" w:rsidRDefault="00BC42FC" w:rsidP="006877D0">
            <w:pPr>
              <w:jc w:val="right"/>
              <w:rPr>
                <w:sz w:val="20"/>
                <w:szCs w:val="20"/>
              </w:rPr>
            </w:pPr>
            <w:r w:rsidRPr="003E3C14">
              <w:rPr>
                <w:sz w:val="20"/>
                <w:szCs w:val="20"/>
              </w:rPr>
              <w:t>52</w:t>
            </w:r>
          </w:p>
        </w:tc>
        <w:tc>
          <w:tcPr>
            <w:tcW w:w="672" w:type="pct"/>
            <w:shd w:val="clear" w:color="auto" w:fill="FAF9F8"/>
          </w:tcPr>
          <w:p w14:paraId="2CE15342" w14:textId="77777777" w:rsidR="00BC42FC" w:rsidRPr="003E3C14" w:rsidRDefault="00BC42FC" w:rsidP="006877D0">
            <w:pPr>
              <w:jc w:val="right"/>
              <w:rPr>
                <w:sz w:val="20"/>
                <w:szCs w:val="20"/>
              </w:rPr>
            </w:pPr>
            <w:r w:rsidRPr="003E3C14">
              <w:rPr>
                <w:sz w:val="20"/>
                <w:szCs w:val="20"/>
              </w:rPr>
              <w:t>25</w:t>
            </w:r>
          </w:p>
        </w:tc>
        <w:tc>
          <w:tcPr>
            <w:tcW w:w="674" w:type="pct"/>
            <w:shd w:val="clear" w:color="auto" w:fill="FAF9F8"/>
          </w:tcPr>
          <w:p w14:paraId="5B43DB73" w14:textId="77777777" w:rsidR="00BC42FC" w:rsidRPr="003E3C14" w:rsidRDefault="00BC42FC" w:rsidP="006877D0">
            <w:pPr>
              <w:jc w:val="right"/>
              <w:rPr>
                <w:sz w:val="20"/>
                <w:szCs w:val="20"/>
              </w:rPr>
            </w:pPr>
            <w:r w:rsidRPr="003E3C14">
              <w:rPr>
                <w:sz w:val="20"/>
                <w:szCs w:val="20"/>
              </w:rPr>
              <w:t>4</w:t>
            </w:r>
          </w:p>
        </w:tc>
        <w:tc>
          <w:tcPr>
            <w:tcW w:w="674" w:type="pct"/>
            <w:shd w:val="clear" w:color="auto" w:fill="FAF9F8"/>
          </w:tcPr>
          <w:p w14:paraId="5546A7C3" w14:textId="77777777" w:rsidR="00BC42FC" w:rsidRPr="003E3C14" w:rsidRDefault="00BC42FC" w:rsidP="006877D0">
            <w:pPr>
              <w:jc w:val="right"/>
              <w:rPr>
                <w:sz w:val="20"/>
                <w:szCs w:val="20"/>
              </w:rPr>
            </w:pPr>
            <w:r w:rsidRPr="003E3C14">
              <w:rPr>
                <w:sz w:val="20"/>
                <w:szCs w:val="20"/>
              </w:rPr>
              <w:t>2</w:t>
            </w:r>
          </w:p>
        </w:tc>
        <w:tc>
          <w:tcPr>
            <w:tcW w:w="674" w:type="pct"/>
            <w:shd w:val="clear" w:color="auto" w:fill="FAF9F8"/>
          </w:tcPr>
          <w:p w14:paraId="7143D255" w14:textId="3F4AA248" w:rsidR="00BC42FC" w:rsidRPr="003E3C14" w:rsidRDefault="00BC42FC" w:rsidP="006877D0">
            <w:pPr>
              <w:jc w:val="right"/>
              <w:rPr>
                <w:sz w:val="20"/>
                <w:szCs w:val="20"/>
              </w:rPr>
            </w:pPr>
            <w:r w:rsidRPr="003E3C14">
              <w:rPr>
                <w:sz w:val="20"/>
                <w:szCs w:val="20"/>
              </w:rPr>
              <w:t>117</w:t>
            </w:r>
          </w:p>
        </w:tc>
      </w:tr>
      <w:tr w:rsidR="00BC42FC" w:rsidRPr="003E3C14" w14:paraId="2EE15BDB" w14:textId="77777777" w:rsidTr="003F7058">
        <w:tc>
          <w:tcPr>
            <w:tcW w:w="845" w:type="pct"/>
            <w:vAlign w:val="bottom"/>
          </w:tcPr>
          <w:p w14:paraId="745F9B56" w14:textId="78646530" w:rsidR="00BC42FC" w:rsidRPr="003E3C14" w:rsidRDefault="00BC42FC" w:rsidP="00EF2C6E">
            <w:pPr>
              <w:rPr>
                <w:sz w:val="20"/>
                <w:szCs w:val="20"/>
              </w:rPr>
            </w:pPr>
            <w:r w:rsidRPr="004810AC">
              <w:rPr>
                <w:rFonts w:eastAsia="Times New Roman" w:cs="Calibri"/>
                <w:b/>
                <w:bCs/>
                <w:color w:val="000000"/>
                <w:lang w:val="es" w:eastAsia="en-AU"/>
              </w:rPr>
              <w:t>Gestión de emergencias</w:t>
            </w:r>
          </w:p>
        </w:tc>
        <w:tc>
          <w:tcPr>
            <w:tcW w:w="799" w:type="pct"/>
          </w:tcPr>
          <w:p w14:paraId="12D71D18" w14:textId="77777777" w:rsidR="00BC42FC" w:rsidRPr="003E3C14" w:rsidRDefault="00BC42FC" w:rsidP="006877D0">
            <w:pPr>
              <w:jc w:val="right"/>
              <w:rPr>
                <w:sz w:val="20"/>
                <w:szCs w:val="20"/>
              </w:rPr>
            </w:pPr>
            <w:r w:rsidRPr="003E3C14">
              <w:rPr>
                <w:sz w:val="20"/>
                <w:szCs w:val="20"/>
              </w:rPr>
              <w:t>10</w:t>
            </w:r>
          </w:p>
        </w:tc>
        <w:tc>
          <w:tcPr>
            <w:tcW w:w="663" w:type="pct"/>
          </w:tcPr>
          <w:p w14:paraId="6183D618" w14:textId="77777777" w:rsidR="00BC42FC" w:rsidRPr="003E3C14" w:rsidRDefault="00BC42FC" w:rsidP="006877D0">
            <w:pPr>
              <w:jc w:val="right"/>
              <w:rPr>
                <w:sz w:val="20"/>
                <w:szCs w:val="20"/>
              </w:rPr>
            </w:pPr>
            <w:r w:rsidRPr="003E3C14">
              <w:rPr>
                <w:sz w:val="20"/>
                <w:szCs w:val="20"/>
              </w:rPr>
              <w:t>34</w:t>
            </w:r>
          </w:p>
        </w:tc>
        <w:tc>
          <w:tcPr>
            <w:tcW w:w="672" w:type="pct"/>
          </w:tcPr>
          <w:p w14:paraId="19B92F49" w14:textId="77777777" w:rsidR="00BC42FC" w:rsidRPr="003E3C14" w:rsidRDefault="00BC42FC" w:rsidP="006877D0">
            <w:pPr>
              <w:jc w:val="right"/>
              <w:rPr>
                <w:sz w:val="20"/>
                <w:szCs w:val="20"/>
              </w:rPr>
            </w:pPr>
            <w:r w:rsidRPr="003E3C14">
              <w:rPr>
                <w:sz w:val="20"/>
                <w:szCs w:val="20"/>
              </w:rPr>
              <w:t>3</w:t>
            </w:r>
          </w:p>
        </w:tc>
        <w:tc>
          <w:tcPr>
            <w:tcW w:w="674" w:type="pct"/>
          </w:tcPr>
          <w:p w14:paraId="7057D1D1" w14:textId="77777777" w:rsidR="00BC42FC" w:rsidRPr="003E3C14" w:rsidRDefault="00BC42FC" w:rsidP="006877D0">
            <w:pPr>
              <w:jc w:val="right"/>
              <w:rPr>
                <w:sz w:val="20"/>
                <w:szCs w:val="20"/>
              </w:rPr>
            </w:pPr>
            <w:r w:rsidRPr="003E3C14">
              <w:rPr>
                <w:sz w:val="20"/>
                <w:szCs w:val="20"/>
              </w:rPr>
              <w:t>0</w:t>
            </w:r>
          </w:p>
        </w:tc>
        <w:tc>
          <w:tcPr>
            <w:tcW w:w="674" w:type="pct"/>
          </w:tcPr>
          <w:p w14:paraId="74193802" w14:textId="77777777" w:rsidR="00BC42FC" w:rsidRPr="003E3C14" w:rsidRDefault="00BC42FC" w:rsidP="006877D0">
            <w:pPr>
              <w:jc w:val="right"/>
              <w:rPr>
                <w:sz w:val="20"/>
                <w:szCs w:val="20"/>
              </w:rPr>
            </w:pPr>
            <w:r w:rsidRPr="003E3C14">
              <w:rPr>
                <w:sz w:val="20"/>
                <w:szCs w:val="20"/>
              </w:rPr>
              <w:t>0</w:t>
            </w:r>
          </w:p>
        </w:tc>
        <w:tc>
          <w:tcPr>
            <w:tcW w:w="674" w:type="pct"/>
          </w:tcPr>
          <w:p w14:paraId="73C02F3E" w14:textId="151D6EB0" w:rsidR="00BC42FC" w:rsidRPr="003E3C14" w:rsidRDefault="00BC42FC" w:rsidP="006877D0">
            <w:pPr>
              <w:jc w:val="right"/>
              <w:rPr>
                <w:sz w:val="20"/>
                <w:szCs w:val="20"/>
              </w:rPr>
            </w:pPr>
            <w:r w:rsidRPr="003E3C14">
              <w:rPr>
                <w:sz w:val="20"/>
                <w:szCs w:val="20"/>
              </w:rPr>
              <w:t>47</w:t>
            </w:r>
          </w:p>
        </w:tc>
      </w:tr>
      <w:tr w:rsidR="00BC42FC" w:rsidRPr="003E3C14" w14:paraId="51DCAC69" w14:textId="77777777" w:rsidTr="003F7058">
        <w:tc>
          <w:tcPr>
            <w:tcW w:w="845" w:type="pct"/>
            <w:shd w:val="clear" w:color="auto" w:fill="E4E9F3"/>
            <w:vAlign w:val="bottom"/>
          </w:tcPr>
          <w:p w14:paraId="168D9DA1" w14:textId="6EF218AC" w:rsidR="00BC42FC" w:rsidRPr="003E3C14" w:rsidRDefault="00BC42FC" w:rsidP="00EF2C6E">
            <w:pPr>
              <w:rPr>
                <w:b/>
                <w:sz w:val="20"/>
                <w:szCs w:val="20"/>
              </w:rPr>
            </w:pPr>
            <w:r w:rsidRPr="004810AC">
              <w:rPr>
                <w:rFonts w:eastAsia="Times New Roman" w:cs="Calibri"/>
                <w:b/>
                <w:bCs/>
                <w:color w:val="000000"/>
                <w:lang w:val="es" w:eastAsia="en-AU"/>
              </w:rPr>
              <w:t>Total</w:t>
            </w:r>
          </w:p>
        </w:tc>
        <w:tc>
          <w:tcPr>
            <w:tcW w:w="799" w:type="pct"/>
            <w:shd w:val="clear" w:color="auto" w:fill="E4E9F3"/>
          </w:tcPr>
          <w:p w14:paraId="51E4DE63" w14:textId="0B1A61B1" w:rsidR="00BC42FC" w:rsidRPr="003E3C14" w:rsidRDefault="00BC42FC" w:rsidP="006877D0">
            <w:pPr>
              <w:jc w:val="right"/>
              <w:rPr>
                <w:b/>
                <w:sz w:val="20"/>
                <w:szCs w:val="20"/>
              </w:rPr>
            </w:pPr>
            <w:r w:rsidRPr="003E3C14">
              <w:rPr>
                <w:b/>
                <w:sz w:val="20"/>
                <w:szCs w:val="20"/>
              </w:rPr>
              <w:t>101</w:t>
            </w:r>
          </w:p>
        </w:tc>
        <w:tc>
          <w:tcPr>
            <w:tcW w:w="663" w:type="pct"/>
            <w:shd w:val="clear" w:color="auto" w:fill="E4E9F3"/>
          </w:tcPr>
          <w:p w14:paraId="54345EF2" w14:textId="24155DF2" w:rsidR="00BC42FC" w:rsidRPr="003E3C14" w:rsidRDefault="00BC42FC" w:rsidP="006877D0">
            <w:pPr>
              <w:jc w:val="right"/>
              <w:rPr>
                <w:b/>
                <w:sz w:val="20"/>
                <w:szCs w:val="20"/>
              </w:rPr>
            </w:pPr>
            <w:r w:rsidRPr="003E3C14">
              <w:rPr>
                <w:b/>
                <w:sz w:val="20"/>
                <w:szCs w:val="20"/>
              </w:rPr>
              <w:t>209</w:t>
            </w:r>
          </w:p>
        </w:tc>
        <w:tc>
          <w:tcPr>
            <w:tcW w:w="672" w:type="pct"/>
            <w:shd w:val="clear" w:color="auto" w:fill="E4E9F3"/>
          </w:tcPr>
          <w:p w14:paraId="782B41BA" w14:textId="62C1D67E" w:rsidR="00BC42FC" w:rsidRPr="003E3C14" w:rsidRDefault="00BC42FC" w:rsidP="006877D0">
            <w:pPr>
              <w:jc w:val="right"/>
              <w:rPr>
                <w:b/>
                <w:sz w:val="20"/>
                <w:szCs w:val="20"/>
              </w:rPr>
            </w:pPr>
            <w:r w:rsidRPr="003E3C14">
              <w:rPr>
                <w:b/>
                <w:sz w:val="20"/>
                <w:szCs w:val="20"/>
              </w:rPr>
              <w:t>54</w:t>
            </w:r>
          </w:p>
        </w:tc>
        <w:tc>
          <w:tcPr>
            <w:tcW w:w="674" w:type="pct"/>
            <w:shd w:val="clear" w:color="auto" w:fill="E4E9F3"/>
          </w:tcPr>
          <w:p w14:paraId="2E857847" w14:textId="77777777" w:rsidR="00BC42FC" w:rsidRPr="003E3C14" w:rsidRDefault="00BC42FC" w:rsidP="006877D0">
            <w:pPr>
              <w:jc w:val="right"/>
              <w:rPr>
                <w:b/>
                <w:sz w:val="20"/>
                <w:szCs w:val="20"/>
              </w:rPr>
            </w:pPr>
            <w:r w:rsidRPr="003E3C14">
              <w:rPr>
                <w:b/>
                <w:sz w:val="20"/>
                <w:szCs w:val="20"/>
              </w:rPr>
              <w:t>7</w:t>
            </w:r>
          </w:p>
        </w:tc>
        <w:tc>
          <w:tcPr>
            <w:tcW w:w="674" w:type="pct"/>
            <w:shd w:val="clear" w:color="auto" w:fill="E4E9F3"/>
          </w:tcPr>
          <w:p w14:paraId="5164116F" w14:textId="77777777" w:rsidR="00BC42FC" w:rsidRPr="003E3C14" w:rsidRDefault="00BC42FC" w:rsidP="006877D0">
            <w:pPr>
              <w:jc w:val="right"/>
              <w:rPr>
                <w:b/>
                <w:sz w:val="20"/>
                <w:szCs w:val="20"/>
              </w:rPr>
            </w:pPr>
            <w:r w:rsidRPr="003E3C14">
              <w:rPr>
                <w:b/>
                <w:sz w:val="20"/>
                <w:szCs w:val="20"/>
              </w:rPr>
              <w:t>3</w:t>
            </w:r>
          </w:p>
        </w:tc>
        <w:tc>
          <w:tcPr>
            <w:tcW w:w="674" w:type="pct"/>
            <w:shd w:val="clear" w:color="auto" w:fill="E4E9F3"/>
          </w:tcPr>
          <w:p w14:paraId="4FD8F931" w14:textId="45DF428E" w:rsidR="00BC42FC" w:rsidRPr="003E3C14" w:rsidRDefault="00BC42FC" w:rsidP="006877D0">
            <w:pPr>
              <w:jc w:val="right"/>
              <w:rPr>
                <w:b/>
                <w:sz w:val="20"/>
                <w:szCs w:val="20"/>
              </w:rPr>
            </w:pPr>
            <w:r w:rsidRPr="003E3C14">
              <w:rPr>
                <w:b/>
                <w:sz w:val="20"/>
                <w:szCs w:val="20"/>
              </w:rPr>
              <w:t>374</w:t>
            </w:r>
          </w:p>
        </w:tc>
      </w:tr>
      <w:tr w:rsidR="00BC42FC" w:rsidRPr="003E3C14" w14:paraId="1AF5935D" w14:textId="77777777" w:rsidTr="003F7058">
        <w:tc>
          <w:tcPr>
            <w:tcW w:w="845" w:type="pct"/>
            <w:vAlign w:val="bottom"/>
          </w:tcPr>
          <w:p w14:paraId="19CF094B" w14:textId="74F8CAF3" w:rsidR="00BC42FC" w:rsidRPr="003E3C14" w:rsidRDefault="00BC42FC" w:rsidP="00EF2C6E">
            <w:pPr>
              <w:rPr>
                <w:b/>
                <w:sz w:val="20"/>
                <w:szCs w:val="20"/>
              </w:rPr>
            </w:pPr>
            <w:r w:rsidRPr="004810AC">
              <w:rPr>
                <w:rFonts w:eastAsia="Times New Roman" w:cs="Calibri"/>
                <w:b/>
                <w:bCs/>
                <w:color w:val="000000"/>
                <w:lang w:val="es" w:eastAsia="en-AU"/>
              </w:rPr>
              <w:t>Porcentaje</w:t>
            </w:r>
          </w:p>
        </w:tc>
        <w:tc>
          <w:tcPr>
            <w:tcW w:w="799" w:type="pct"/>
          </w:tcPr>
          <w:p w14:paraId="36A45139" w14:textId="6DE9E78A" w:rsidR="00BC42FC" w:rsidRPr="003E3C14" w:rsidRDefault="00BC42FC" w:rsidP="006877D0">
            <w:pPr>
              <w:jc w:val="right"/>
              <w:rPr>
                <w:b/>
                <w:sz w:val="20"/>
                <w:szCs w:val="20"/>
              </w:rPr>
            </w:pPr>
            <w:r w:rsidRPr="003E3C14">
              <w:rPr>
                <w:b/>
                <w:sz w:val="20"/>
                <w:szCs w:val="20"/>
              </w:rPr>
              <w:t>27%</w:t>
            </w:r>
          </w:p>
        </w:tc>
        <w:tc>
          <w:tcPr>
            <w:tcW w:w="663" w:type="pct"/>
          </w:tcPr>
          <w:p w14:paraId="58CCBC6A" w14:textId="5A33EFA6" w:rsidR="00BC42FC" w:rsidRPr="003E3C14" w:rsidRDefault="00BC42FC" w:rsidP="006877D0">
            <w:pPr>
              <w:jc w:val="right"/>
              <w:rPr>
                <w:b/>
                <w:sz w:val="20"/>
                <w:szCs w:val="20"/>
              </w:rPr>
            </w:pPr>
            <w:r w:rsidRPr="003E3C14">
              <w:rPr>
                <w:b/>
                <w:sz w:val="20"/>
                <w:szCs w:val="20"/>
              </w:rPr>
              <w:t>56%</w:t>
            </w:r>
          </w:p>
        </w:tc>
        <w:tc>
          <w:tcPr>
            <w:tcW w:w="672" w:type="pct"/>
          </w:tcPr>
          <w:p w14:paraId="41651E00" w14:textId="157DA2A7" w:rsidR="00BC42FC" w:rsidRPr="003E3C14" w:rsidRDefault="00BC42FC" w:rsidP="006877D0">
            <w:pPr>
              <w:jc w:val="right"/>
              <w:rPr>
                <w:b/>
                <w:sz w:val="20"/>
                <w:szCs w:val="20"/>
              </w:rPr>
            </w:pPr>
            <w:r w:rsidRPr="003E3C14">
              <w:rPr>
                <w:b/>
                <w:sz w:val="20"/>
                <w:szCs w:val="20"/>
              </w:rPr>
              <w:t>14%</w:t>
            </w:r>
          </w:p>
        </w:tc>
        <w:tc>
          <w:tcPr>
            <w:tcW w:w="674" w:type="pct"/>
          </w:tcPr>
          <w:p w14:paraId="5F3CCAA1" w14:textId="0427F666" w:rsidR="00BC42FC" w:rsidRPr="003E3C14" w:rsidRDefault="00BC42FC" w:rsidP="006877D0">
            <w:pPr>
              <w:jc w:val="right"/>
              <w:rPr>
                <w:b/>
                <w:sz w:val="20"/>
                <w:szCs w:val="20"/>
              </w:rPr>
            </w:pPr>
            <w:r w:rsidRPr="003E3C14">
              <w:rPr>
                <w:b/>
                <w:sz w:val="20"/>
                <w:szCs w:val="20"/>
              </w:rPr>
              <w:t>2%</w:t>
            </w:r>
          </w:p>
        </w:tc>
        <w:tc>
          <w:tcPr>
            <w:tcW w:w="674" w:type="pct"/>
          </w:tcPr>
          <w:p w14:paraId="3A365A28" w14:textId="7511F897" w:rsidR="00BC42FC" w:rsidRPr="003E3C14" w:rsidRDefault="00BC42FC" w:rsidP="006877D0">
            <w:pPr>
              <w:jc w:val="right"/>
              <w:rPr>
                <w:b/>
                <w:sz w:val="20"/>
                <w:szCs w:val="20"/>
              </w:rPr>
            </w:pPr>
            <w:r w:rsidRPr="003E3C14">
              <w:rPr>
                <w:b/>
                <w:sz w:val="20"/>
                <w:szCs w:val="20"/>
              </w:rPr>
              <w:t>1%</w:t>
            </w:r>
          </w:p>
        </w:tc>
        <w:tc>
          <w:tcPr>
            <w:tcW w:w="674" w:type="pct"/>
          </w:tcPr>
          <w:p w14:paraId="355F1000" w14:textId="77777777" w:rsidR="00BC42FC" w:rsidRPr="003E3C14" w:rsidRDefault="00BC42FC" w:rsidP="006877D0">
            <w:pPr>
              <w:jc w:val="right"/>
              <w:rPr>
                <w:b/>
                <w:sz w:val="20"/>
                <w:szCs w:val="20"/>
              </w:rPr>
            </w:pPr>
          </w:p>
        </w:tc>
      </w:tr>
    </w:tbl>
    <w:p w14:paraId="729C1DC3" w14:textId="46A79360" w:rsidR="001227BC" w:rsidRPr="003E3C14" w:rsidRDefault="003F7058" w:rsidP="00B30536">
      <w:pPr>
        <w:spacing w:before="240"/>
        <w:rPr>
          <w:sz w:val="20"/>
          <w:szCs w:val="20"/>
        </w:rPr>
      </w:pPr>
      <w:r w:rsidRPr="00501ED4">
        <w:rPr>
          <w:rFonts w:cs="Arial"/>
          <w:sz w:val="20"/>
          <w:szCs w:val="20"/>
          <w:lang w:val="es-ES"/>
        </w:rPr>
        <w:t>Nota: Los porcentajes pueden no sumar 100 debido al redondeo.</w:t>
      </w:r>
    </w:p>
    <w:p w14:paraId="5DF15335" w14:textId="18087F63" w:rsidR="00B30536" w:rsidRPr="003E3C14" w:rsidRDefault="00B30536">
      <w:r w:rsidRPr="003E3C14">
        <w:br w:type="page"/>
      </w:r>
    </w:p>
    <w:p w14:paraId="0C4D47F4" w14:textId="40CD2E54" w:rsidR="008E35C9" w:rsidRPr="003E3C14" w:rsidRDefault="003A35D3" w:rsidP="00BF0891">
      <w:pPr>
        <w:pStyle w:val="Heading1"/>
      </w:pPr>
      <w:bookmarkStart w:id="6" w:name="_Toc153314029"/>
      <w:r w:rsidRPr="00501ED4">
        <w:rPr>
          <w:rFonts w:cs="Arial"/>
          <w:lang w:val="es-ES"/>
        </w:rPr>
        <w:lastRenderedPageBreak/>
        <w:t>Plan de Acción Específica de Empleo</w:t>
      </w:r>
      <w:bookmarkEnd w:id="6"/>
    </w:p>
    <w:p w14:paraId="7AB3C8BD" w14:textId="4B8CA172" w:rsidR="008E35C9" w:rsidRPr="003E3C14" w:rsidRDefault="003A35D3" w:rsidP="00515A1C">
      <w:pPr>
        <w:pStyle w:val="Heading2"/>
        <w:pBdr>
          <w:top w:val="none" w:sz="0" w:space="0" w:color="auto"/>
        </w:pBdr>
      </w:pPr>
      <w:bookmarkStart w:id="7" w:name="_Toc153314030"/>
      <w:r w:rsidRPr="00501ED4">
        <w:rPr>
          <w:rFonts w:cs="Arial"/>
          <w:lang w:val="es-ES"/>
        </w:rPr>
        <w:t>Introducción</w:t>
      </w:r>
      <w:bookmarkEnd w:id="7"/>
    </w:p>
    <w:p w14:paraId="33307036" w14:textId="77777777" w:rsidR="003A35D3" w:rsidRPr="00501ED4" w:rsidRDefault="003A35D3" w:rsidP="003A35D3">
      <w:pPr>
        <w:spacing w:before="240" w:after="240" w:line="240" w:lineRule="auto"/>
        <w:rPr>
          <w:rFonts w:cs="Arial"/>
          <w:lang w:val="es-ES"/>
        </w:rPr>
      </w:pPr>
      <w:r w:rsidRPr="00501ED4">
        <w:rPr>
          <w:rFonts w:cs="Arial"/>
          <w:lang w:val="es-ES"/>
        </w:rPr>
        <w:t xml:space="preserve">El TAP de Empleo está diseñado para impulsar el progreso conforme al Área de Resultados de Empleo y Seguridad Financiera de la ADS. </w:t>
      </w:r>
    </w:p>
    <w:p w14:paraId="644D8CA0" w14:textId="77777777" w:rsidR="003A35D3" w:rsidRPr="00501ED4" w:rsidRDefault="003A35D3" w:rsidP="003A35D3">
      <w:pPr>
        <w:spacing w:before="240" w:after="240" w:line="240" w:lineRule="auto"/>
        <w:rPr>
          <w:rFonts w:cs="Arial"/>
          <w:lang w:val="es-ES"/>
        </w:rPr>
      </w:pPr>
      <w:r w:rsidRPr="00501ED4">
        <w:rPr>
          <w:rFonts w:cs="Arial"/>
          <w:lang w:val="es-ES"/>
        </w:rPr>
        <w:t>Esta Área de Resultados tiene por objetivo garantizar que las personas con discapacidad tengan la seguridad económica que les permita hacer planes a futuro, y poder elegir y tomar el control de sus vidas.</w:t>
      </w:r>
    </w:p>
    <w:p w14:paraId="0E18BB22" w14:textId="77777777" w:rsidR="003A35D3" w:rsidRPr="00501ED4" w:rsidRDefault="003A35D3" w:rsidP="003A35D3">
      <w:pPr>
        <w:spacing w:before="240" w:after="240" w:line="240" w:lineRule="auto"/>
        <w:rPr>
          <w:rFonts w:cs="Arial"/>
          <w:lang w:val="es-ES"/>
        </w:rPr>
      </w:pPr>
      <w:r w:rsidRPr="00501ED4">
        <w:rPr>
          <w:rFonts w:cs="Arial"/>
          <w:lang w:val="es-ES"/>
        </w:rPr>
        <w:t>Un componente clave de la seguridad económica es el empleo y este TAP será una contribución clave a esta área de resultados.</w:t>
      </w:r>
    </w:p>
    <w:p w14:paraId="65CFB521" w14:textId="77777777" w:rsidR="003A35D3" w:rsidRPr="00501ED4" w:rsidRDefault="003A35D3" w:rsidP="003A35D3">
      <w:pPr>
        <w:spacing w:before="240" w:after="240" w:line="240" w:lineRule="auto"/>
        <w:rPr>
          <w:rFonts w:cs="Arial"/>
          <w:lang w:val="es-ES"/>
        </w:rPr>
      </w:pPr>
      <w:r w:rsidRPr="00501ED4">
        <w:rPr>
          <w:rFonts w:cs="Arial"/>
          <w:lang w:val="es-ES"/>
        </w:rPr>
        <w:t xml:space="preserve">En el TAP de Empleo, hay 73 acciones sobre las que se informa en el gobierno australiano y los gobiernos estatales y territoriales, para el período 2022-2023. </w:t>
      </w:r>
    </w:p>
    <w:p w14:paraId="6F83ED38" w14:textId="6C64B284" w:rsidR="003A35D3" w:rsidRPr="003E3C14" w:rsidRDefault="003A35D3" w:rsidP="003A35D3">
      <w:pPr>
        <w:spacing w:before="240" w:after="240" w:line="240" w:lineRule="auto"/>
      </w:pPr>
      <w:r w:rsidRPr="00501ED4">
        <w:rPr>
          <w:rFonts w:cs="Arial"/>
          <w:lang w:val="es-ES"/>
        </w:rPr>
        <w:t>Están incluidas acciones que proporcionarán pilotos de empleo para conectar a personas con discapacidad con áreas con escasez de habilidades, trabajarán para potenciar el empleo para personas con discapacidad en los servicios públicos e impulsarán mejoras en los programas de empleo.</w:t>
      </w:r>
    </w:p>
    <w:p w14:paraId="4C75F9D2" w14:textId="22172704" w:rsidR="00FC59E6" w:rsidRPr="003E3C14" w:rsidRDefault="003A35D3" w:rsidP="00B30536">
      <w:pPr>
        <w:pStyle w:val="Heading2"/>
      </w:pPr>
      <w:bookmarkStart w:id="8" w:name="_Toc153314031"/>
      <w:r w:rsidRPr="00501ED4">
        <w:rPr>
          <w:rFonts w:cs="Arial"/>
          <w:lang w:val="es-ES"/>
        </w:rPr>
        <w:t>Objetivos</w:t>
      </w:r>
      <w:bookmarkEnd w:id="8"/>
    </w:p>
    <w:p w14:paraId="64FDC062" w14:textId="7846A546" w:rsidR="00FC59E6" w:rsidRPr="003E3C14" w:rsidRDefault="00FC59E6" w:rsidP="00FC59E6">
      <w:pPr>
        <w:spacing w:after="120" w:line="240" w:lineRule="auto"/>
        <w:ind w:left="426" w:hanging="426"/>
      </w:pPr>
      <w:r w:rsidRPr="003E3C14">
        <w:t>1.</w:t>
      </w:r>
      <w:r w:rsidRPr="003E3C14">
        <w:tab/>
      </w:r>
      <w:r w:rsidR="003A35D3" w:rsidRPr="00501ED4">
        <w:rPr>
          <w:rFonts w:cs="Arial"/>
          <w:lang w:val="es-ES"/>
        </w:rPr>
        <w:t>Aumento del empleo de personas con discapacidad.</w:t>
      </w:r>
    </w:p>
    <w:p w14:paraId="75CA5A4C" w14:textId="271FA10E" w:rsidR="00FC59E6" w:rsidRPr="003E3C14" w:rsidRDefault="00FC59E6" w:rsidP="00FC59E6">
      <w:pPr>
        <w:spacing w:after="120" w:line="240" w:lineRule="auto"/>
        <w:ind w:left="426" w:hanging="426"/>
      </w:pPr>
      <w:r w:rsidRPr="003E3C14">
        <w:t>2.</w:t>
      </w:r>
      <w:r w:rsidRPr="003E3C14">
        <w:tab/>
      </w:r>
      <w:r w:rsidR="003A35D3" w:rsidRPr="00501ED4">
        <w:rPr>
          <w:rFonts w:cs="Arial"/>
          <w:lang w:val="es-ES"/>
        </w:rPr>
        <w:t xml:space="preserve">Mejora de la transición de los jóvenes con discapacidad </w:t>
      </w:r>
      <w:proofErr w:type="gramStart"/>
      <w:r w:rsidR="003A35D3" w:rsidRPr="00501ED4">
        <w:rPr>
          <w:rFonts w:cs="Arial"/>
          <w:lang w:val="es-ES"/>
        </w:rPr>
        <w:t>del</w:t>
      </w:r>
      <w:proofErr w:type="gramEnd"/>
      <w:r w:rsidR="003A35D3" w:rsidRPr="00501ED4">
        <w:rPr>
          <w:rFonts w:cs="Arial"/>
          <w:lang w:val="es-ES"/>
        </w:rPr>
        <w:t xml:space="preserve"> ámbito educativo al laboral. </w:t>
      </w:r>
      <w:r w:rsidRPr="003E3C14">
        <w:t xml:space="preserve"> </w:t>
      </w:r>
    </w:p>
    <w:p w14:paraId="09830886" w14:textId="02EAB1F5" w:rsidR="00FC59E6" w:rsidRPr="003E3C14" w:rsidRDefault="00FC59E6">
      <w:r w:rsidRPr="003E3C14">
        <w:br w:type="page"/>
      </w:r>
    </w:p>
    <w:p w14:paraId="4EEE85DA" w14:textId="76787A1D" w:rsidR="008E35C9" w:rsidRPr="003E3C14" w:rsidRDefault="00E861B7" w:rsidP="0066071F">
      <w:pPr>
        <w:rPr>
          <w:b/>
          <w:bCs/>
          <w:color w:val="6C1740"/>
          <w:sz w:val="94"/>
          <w:szCs w:val="94"/>
        </w:rPr>
      </w:pPr>
      <w:r w:rsidRPr="00E861B7">
        <w:rPr>
          <w:b/>
          <w:bCs/>
          <w:color w:val="6C1740"/>
          <w:sz w:val="94"/>
          <w:szCs w:val="94"/>
        </w:rPr>
        <w:lastRenderedPageBreak/>
        <w:t>TAP de Empleo</w:t>
      </w:r>
    </w:p>
    <w:p w14:paraId="51474833" w14:textId="1A519258" w:rsidR="008E35C9" w:rsidRPr="003E3C14" w:rsidRDefault="00E861B7" w:rsidP="00B30536">
      <w:pPr>
        <w:spacing w:before="240" w:after="240" w:line="240" w:lineRule="auto"/>
      </w:pPr>
      <w:r w:rsidRPr="00501ED4">
        <w:rPr>
          <w:rFonts w:cs="Arial"/>
          <w:lang w:val="es-ES"/>
        </w:rPr>
        <w:t>Tabla 3: TAP de Empleo: progreso de las acciones por gobierno en 2022-2023</w:t>
      </w:r>
    </w:p>
    <w:tbl>
      <w:tblPr>
        <w:tblStyle w:val="TableGrid"/>
        <w:tblW w:w="5000" w:type="pc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3: Employment TAP – progress of actions by government in 2022-2023"/>
      </w:tblPr>
      <w:tblGrid>
        <w:gridCol w:w="1448"/>
        <w:gridCol w:w="1476"/>
        <w:gridCol w:w="1263"/>
        <w:gridCol w:w="1263"/>
        <w:gridCol w:w="1264"/>
        <w:gridCol w:w="1264"/>
        <w:gridCol w:w="1264"/>
      </w:tblGrid>
      <w:tr w:rsidR="004A6060" w:rsidRPr="003E3C14" w14:paraId="7158EFA4" w14:textId="77777777" w:rsidTr="00E861B7">
        <w:tc>
          <w:tcPr>
            <w:tcW w:w="800" w:type="pct"/>
            <w:tcBorders>
              <w:top w:val="nil"/>
              <w:bottom w:val="single" w:sz="4" w:space="0" w:color="auto"/>
              <w:right w:val="single" w:sz="4" w:space="0" w:color="FFFFFF" w:themeColor="background1"/>
            </w:tcBorders>
            <w:shd w:val="clear" w:color="auto" w:fill="6C1740"/>
          </w:tcPr>
          <w:p w14:paraId="23D0A7CC" w14:textId="56C2A601" w:rsidR="004A6060" w:rsidRPr="003E3C14" w:rsidRDefault="004A6060" w:rsidP="008F6E78">
            <w:pPr>
              <w:rPr>
                <w:b/>
                <w:sz w:val="20"/>
                <w:szCs w:val="20"/>
              </w:rPr>
            </w:pPr>
            <w:bookmarkStart w:id="9" w:name="Title_03"/>
            <w:bookmarkEnd w:id="9"/>
            <w:r w:rsidRPr="00BC2F9E">
              <w:rPr>
                <w:rFonts w:eastAsia="Times New Roman" w:cs="Calibri"/>
                <w:b/>
                <w:bCs/>
                <w:color w:val="FFFFFF" w:themeColor="background1"/>
                <w:lang w:val="es" w:eastAsia="en-AU"/>
              </w:rPr>
              <w:t>Gobierno</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16C213E1" w14:textId="0A63B03D" w:rsidR="004A6060" w:rsidRPr="003E3C14" w:rsidRDefault="004A6060" w:rsidP="00B30536">
            <w:pPr>
              <w:jc w:val="right"/>
              <w:rPr>
                <w:b/>
                <w:sz w:val="20"/>
                <w:szCs w:val="20"/>
              </w:rPr>
            </w:pPr>
            <w:r w:rsidRPr="00BC2F9E">
              <w:rPr>
                <w:rFonts w:eastAsia="Times New Roman" w:cs="Calibri"/>
                <w:b/>
                <w:bCs/>
                <w:color w:val="FFFFFF" w:themeColor="background1"/>
                <w:lang w:val="es" w:eastAsia="en-AU"/>
              </w:rPr>
              <w:t>Completada</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2E815F41" w14:textId="41840644" w:rsidR="004A6060" w:rsidRPr="003E3C14" w:rsidRDefault="004A6060" w:rsidP="00B30536">
            <w:pPr>
              <w:jc w:val="right"/>
              <w:rPr>
                <w:b/>
                <w:sz w:val="20"/>
                <w:szCs w:val="20"/>
              </w:rPr>
            </w:pPr>
            <w:r w:rsidRPr="00BC2F9E">
              <w:rPr>
                <w:rFonts w:eastAsia="Times New Roman" w:cs="Calibri"/>
                <w:b/>
                <w:bCs/>
                <w:color w:val="FFFFFF" w:themeColor="background1"/>
                <w:lang w:val="es" w:eastAsia="en-AU"/>
              </w:rPr>
              <w:t>En curso</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34300327" w14:textId="40F63F76" w:rsidR="004A6060" w:rsidRPr="003E3C14" w:rsidRDefault="004A6060" w:rsidP="00B30536">
            <w:pPr>
              <w:jc w:val="right"/>
              <w:rPr>
                <w:b/>
                <w:sz w:val="20"/>
                <w:szCs w:val="20"/>
              </w:rPr>
            </w:pPr>
            <w:r w:rsidRPr="00BC2F9E">
              <w:rPr>
                <w:rFonts w:eastAsia="Times New Roman" w:cs="Calibri"/>
                <w:b/>
                <w:bCs/>
                <w:color w:val="FFFFFF" w:themeColor="background1"/>
                <w:lang w:val="es" w:eastAsia="en-AU"/>
              </w:rPr>
              <w:t>Algunas demoras</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30F5AE09" w14:textId="4CA5D7C0" w:rsidR="004A6060" w:rsidRPr="003E3C14" w:rsidRDefault="004A6060" w:rsidP="00B30536">
            <w:pPr>
              <w:jc w:val="right"/>
              <w:rPr>
                <w:b/>
                <w:sz w:val="20"/>
                <w:szCs w:val="20"/>
              </w:rPr>
            </w:pPr>
            <w:r w:rsidRPr="00BC2F9E">
              <w:rPr>
                <w:rFonts w:eastAsia="Times New Roman" w:cs="Calibri"/>
                <w:b/>
                <w:bCs/>
                <w:color w:val="FFFFFF" w:themeColor="background1"/>
                <w:lang w:val="es" w:eastAsia="en-AU"/>
              </w:rPr>
              <w:t>En pausa</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5C2251F4" w14:textId="2FC40DE6" w:rsidR="004A6060" w:rsidRPr="003E3C14" w:rsidRDefault="004A6060" w:rsidP="00B30536">
            <w:pPr>
              <w:jc w:val="right"/>
              <w:rPr>
                <w:b/>
                <w:sz w:val="20"/>
                <w:szCs w:val="20"/>
              </w:rPr>
            </w:pPr>
            <w:r w:rsidRPr="00BC2F9E">
              <w:rPr>
                <w:rFonts w:eastAsia="Times New Roman" w:cs="Calibri"/>
                <w:b/>
                <w:bCs/>
                <w:color w:val="FFFFFF" w:themeColor="background1"/>
                <w:lang w:val="es" w:eastAsia="en-AU"/>
              </w:rPr>
              <w:t>Inicio futuro</w:t>
            </w:r>
          </w:p>
        </w:tc>
        <w:tc>
          <w:tcPr>
            <w:tcW w:w="700" w:type="pct"/>
            <w:tcBorders>
              <w:top w:val="nil"/>
              <w:left w:val="single" w:sz="4" w:space="0" w:color="FFFFFF" w:themeColor="background1"/>
              <w:bottom w:val="single" w:sz="4" w:space="0" w:color="auto"/>
            </w:tcBorders>
            <w:shd w:val="clear" w:color="auto" w:fill="6C1740"/>
          </w:tcPr>
          <w:p w14:paraId="2BAEF0CF" w14:textId="6E30AC08" w:rsidR="004A6060" w:rsidRPr="003E3C14" w:rsidRDefault="004A6060" w:rsidP="00B30536">
            <w:pPr>
              <w:jc w:val="right"/>
              <w:rPr>
                <w:b/>
                <w:sz w:val="20"/>
                <w:szCs w:val="20"/>
              </w:rPr>
            </w:pPr>
            <w:r w:rsidRPr="00BC2F9E">
              <w:rPr>
                <w:b/>
                <w:color w:val="FFFFFF" w:themeColor="background1"/>
                <w:sz w:val="20"/>
                <w:szCs w:val="20"/>
              </w:rPr>
              <w:t>Total</w:t>
            </w:r>
          </w:p>
        </w:tc>
      </w:tr>
      <w:tr w:rsidR="00FD75A9" w:rsidRPr="003E3C14" w14:paraId="242ABDE3" w14:textId="77777777" w:rsidTr="00E861B7">
        <w:tc>
          <w:tcPr>
            <w:tcW w:w="800" w:type="pct"/>
            <w:tcBorders>
              <w:top w:val="single" w:sz="4" w:space="0" w:color="auto"/>
            </w:tcBorders>
          </w:tcPr>
          <w:p w14:paraId="7BEE5A7D" w14:textId="1CD5C0E4" w:rsidR="008F6E78" w:rsidRPr="003E3C14" w:rsidRDefault="008F6E78" w:rsidP="00AF7CD8">
            <w:pPr>
              <w:rPr>
                <w:sz w:val="20"/>
                <w:szCs w:val="20"/>
              </w:rPr>
            </w:pPr>
            <w:r w:rsidRPr="003E3C14">
              <w:rPr>
                <w:sz w:val="20"/>
                <w:szCs w:val="20"/>
              </w:rPr>
              <w:t>Aus</w:t>
            </w:r>
            <w:r w:rsidR="00AF7CD8" w:rsidRPr="003E3C14">
              <w:rPr>
                <w:sz w:val="20"/>
                <w:szCs w:val="20"/>
              </w:rPr>
              <w:t xml:space="preserve">tralian </w:t>
            </w:r>
            <w:r w:rsidRPr="003E3C14">
              <w:rPr>
                <w:sz w:val="20"/>
                <w:szCs w:val="20"/>
              </w:rPr>
              <w:t>Gov</w:t>
            </w:r>
            <w:r w:rsidR="00AF7CD8" w:rsidRPr="003E3C14">
              <w:rPr>
                <w:sz w:val="20"/>
                <w:szCs w:val="20"/>
              </w:rPr>
              <w:t>ernment</w:t>
            </w:r>
          </w:p>
        </w:tc>
        <w:tc>
          <w:tcPr>
            <w:tcW w:w="700" w:type="pct"/>
            <w:tcBorders>
              <w:top w:val="single" w:sz="4" w:space="0" w:color="auto"/>
            </w:tcBorders>
          </w:tcPr>
          <w:p w14:paraId="02126D9E" w14:textId="708A2C4D" w:rsidR="008F6E78" w:rsidRPr="003E3C14" w:rsidRDefault="002D06EB" w:rsidP="00B30536">
            <w:pPr>
              <w:jc w:val="right"/>
              <w:rPr>
                <w:sz w:val="20"/>
                <w:szCs w:val="20"/>
              </w:rPr>
            </w:pPr>
            <w:r w:rsidRPr="003E3C14">
              <w:rPr>
                <w:sz w:val="20"/>
                <w:szCs w:val="20"/>
              </w:rPr>
              <w:t>2</w:t>
            </w:r>
          </w:p>
        </w:tc>
        <w:tc>
          <w:tcPr>
            <w:tcW w:w="700" w:type="pct"/>
            <w:tcBorders>
              <w:top w:val="single" w:sz="4" w:space="0" w:color="auto"/>
            </w:tcBorders>
          </w:tcPr>
          <w:p w14:paraId="1803F1C9" w14:textId="40AEAF77" w:rsidR="008F6E78" w:rsidRPr="003E3C14" w:rsidRDefault="00E732EA" w:rsidP="00B30536">
            <w:pPr>
              <w:jc w:val="right"/>
              <w:rPr>
                <w:sz w:val="20"/>
                <w:szCs w:val="20"/>
              </w:rPr>
            </w:pPr>
            <w:r w:rsidRPr="003E3C14">
              <w:rPr>
                <w:sz w:val="20"/>
                <w:szCs w:val="20"/>
              </w:rPr>
              <w:t>5</w:t>
            </w:r>
          </w:p>
        </w:tc>
        <w:tc>
          <w:tcPr>
            <w:tcW w:w="700" w:type="pct"/>
            <w:tcBorders>
              <w:top w:val="single" w:sz="4" w:space="0" w:color="auto"/>
            </w:tcBorders>
          </w:tcPr>
          <w:p w14:paraId="6A5F6604" w14:textId="0FD59100" w:rsidR="008F6E78" w:rsidRPr="003E3C14" w:rsidRDefault="00E732EA" w:rsidP="00B30536">
            <w:pPr>
              <w:jc w:val="right"/>
              <w:rPr>
                <w:sz w:val="20"/>
                <w:szCs w:val="20"/>
              </w:rPr>
            </w:pPr>
            <w:r w:rsidRPr="003E3C14">
              <w:rPr>
                <w:sz w:val="20"/>
                <w:szCs w:val="20"/>
              </w:rPr>
              <w:t>2</w:t>
            </w:r>
          </w:p>
        </w:tc>
        <w:tc>
          <w:tcPr>
            <w:tcW w:w="700" w:type="pct"/>
            <w:tcBorders>
              <w:top w:val="single" w:sz="4" w:space="0" w:color="auto"/>
            </w:tcBorders>
          </w:tcPr>
          <w:p w14:paraId="68D9888F" w14:textId="5BE9D5AA" w:rsidR="008F6E78" w:rsidRPr="003E3C14" w:rsidRDefault="002D06EB" w:rsidP="00B30536">
            <w:pPr>
              <w:jc w:val="right"/>
              <w:rPr>
                <w:sz w:val="20"/>
                <w:szCs w:val="20"/>
              </w:rPr>
            </w:pPr>
            <w:r w:rsidRPr="003E3C14">
              <w:rPr>
                <w:sz w:val="20"/>
                <w:szCs w:val="20"/>
              </w:rPr>
              <w:t>0</w:t>
            </w:r>
          </w:p>
        </w:tc>
        <w:tc>
          <w:tcPr>
            <w:tcW w:w="700" w:type="pct"/>
            <w:tcBorders>
              <w:top w:val="single" w:sz="4" w:space="0" w:color="auto"/>
            </w:tcBorders>
          </w:tcPr>
          <w:p w14:paraId="7C58BF5F" w14:textId="05753C73" w:rsidR="008F6E78" w:rsidRPr="003E3C14" w:rsidRDefault="002D06EB" w:rsidP="00B30536">
            <w:pPr>
              <w:jc w:val="right"/>
              <w:rPr>
                <w:sz w:val="20"/>
                <w:szCs w:val="20"/>
              </w:rPr>
            </w:pPr>
            <w:r w:rsidRPr="003E3C14">
              <w:rPr>
                <w:sz w:val="20"/>
                <w:szCs w:val="20"/>
              </w:rPr>
              <w:t>0</w:t>
            </w:r>
          </w:p>
        </w:tc>
        <w:tc>
          <w:tcPr>
            <w:tcW w:w="700" w:type="pct"/>
            <w:tcBorders>
              <w:top w:val="single" w:sz="4" w:space="0" w:color="auto"/>
            </w:tcBorders>
          </w:tcPr>
          <w:p w14:paraId="73B28F27" w14:textId="5871CF10" w:rsidR="008F6E78" w:rsidRPr="003E3C14" w:rsidRDefault="002D06EB" w:rsidP="00B30536">
            <w:pPr>
              <w:jc w:val="right"/>
              <w:rPr>
                <w:sz w:val="20"/>
                <w:szCs w:val="20"/>
              </w:rPr>
            </w:pPr>
            <w:r w:rsidRPr="003E3C14">
              <w:rPr>
                <w:sz w:val="20"/>
                <w:szCs w:val="20"/>
              </w:rPr>
              <w:t>9</w:t>
            </w:r>
          </w:p>
        </w:tc>
      </w:tr>
      <w:tr w:rsidR="00FD75A9" w:rsidRPr="003E3C14" w14:paraId="2751EC7C" w14:textId="77777777" w:rsidTr="00E861B7">
        <w:tc>
          <w:tcPr>
            <w:tcW w:w="800" w:type="pct"/>
            <w:shd w:val="clear" w:color="auto" w:fill="FAF9F8"/>
          </w:tcPr>
          <w:p w14:paraId="16C3648A" w14:textId="77777777" w:rsidR="008F6E78" w:rsidRPr="003E3C14" w:rsidRDefault="008F6E78" w:rsidP="008F6E78">
            <w:pPr>
              <w:rPr>
                <w:sz w:val="20"/>
                <w:szCs w:val="20"/>
              </w:rPr>
            </w:pPr>
            <w:r w:rsidRPr="003E3C14">
              <w:rPr>
                <w:sz w:val="20"/>
                <w:szCs w:val="20"/>
              </w:rPr>
              <w:t>NSW</w:t>
            </w:r>
          </w:p>
        </w:tc>
        <w:tc>
          <w:tcPr>
            <w:tcW w:w="700" w:type="pct"/>
            <w:shd w:val="clear" w:color="auto" w:fill="FAF9F8"/>
          </w:tcPr>
          <w:p w14:paraId="60F4C903" w14:textId="57735DE1" w:rsidR="008F6E78" w:rsidRPr="003E3C14" w:rsidRDefault="002D06EB" w:rsidP="00B30536">
            <w:pPr>
              <w:jc w:val="right"/>
              <w:rPr>
                <w:sz w:val="20"/>
                <w:szCs w:val="20"/>
              </w:rPr>
            </w:pPr>
            <w:r w:rsidRPr="003E3C14">
              <w:rPr>
                <w:sz w:val="20"/>
                <w:szCs w:val="20"/>
              </w:rPr>
              <w:t>0</w:t>
            </w:r>
          </w:p>
        </w:tc>
        <w:tc>
          <w:tcPr>
            <w:tcW w:w="700" w:type="pct"/>
            <w:shd w:val="clear" w:color="auto" w:fill="FAF9F8"/>
          </w:tcPr>
          <w:p w14:paraId="29D071DA" w14:textId="4F3C1190" w:rsidR="008F6E78" w:rsidRPr="003E3C14" w:rsidRDefault="002D06EB" w:rsidP="00B30536">
            <w:pPr>
              <w:jc w:val="right"/>
              <w:rPr>
                <w:sz w:val="20"/>
                <w:szCs w:val="20"/>
              </w:rPr>
            </w:pPr>
            <w:r w:rsidRPr="003E3C14">
              <w:rPr>
                <w:sz w:val="20"/>
                <w:szCs w:val="20"/>
              </w:rPr>
              <w:t>4</w:t>
            </w:r>
          </w:p>
        </w:tc>
        <w:tc>
          <w:tcPr>
            <w:tcW w:w="700" w:type="pct"/>
            <w:shd w:val="clear" w:color="auto" w:fill="FAF9F8"/>
          </w:tcPr>
          <w:p w14:paraId="3CAC720A" w14:textId="0FE4A47E" w:rsidR="008F6E78" w:rsidRPr="003E3C14" w:rsidRDefault="002D06EB" w:rsidP="00B30536">
            <w:pPr>
              <w:jc w:val="right"/>
              <w:rPr>
                <w:sz w:val="20"/>
                <w:szCs w:val="20"/>
              </w:rPr>
            </w:pPr>
            <w:r w:rsidRPr="003E3C14">
              <w:rPr>
                <w:sz w:val="20"/>
                <w:szCs w:val="20"/>
              </w:rPr>
              <w:t>2</w:t>
            </w:r>
          </w:p>
        </w:tc>
        <w:tc>
          <w:tcPr>
            <w:tcW w:w="700" w:type="pct"/>
            <w:shd w:val="clear" w:color="auto" w:fill="FAF9F8"/>
          </w:tcPr>
          <w:p w14:paraId="3E9FCC2A" w14:textId="149238C1" w:rsidR="008F6E78" w:rsidRPr="003E3C14" w:rsidRDefault="002D06EB" w:rsidP="00B30536">
            <w:pPr>
              <w:jc w:val="right"/>
              <w:rPr>
                <w:sz w:val="20"/>
                <w:szCs w:val="20"/>
              </w:rPr>
            </w:pPr>
            <w:r w:rsidRPr="003E3C14">
              <w:rPr>
                <w:sz w:val="20"/>
                <w:szCs w:val="20"/>
              </w:rPr>
              <w:t>0</w:t>
            </w:r>
          </w:p>
        </w:tc>
        <w:tc>
          <w:tcPr>
            <w:tcW w:w="700" w:type="pct"/>
            <w:shd w:val="clear" w:color="auto" w:fill="FAF9F8"/>
          </w:tcPr>
          <w:p w14:paraId="13683BA1" w14:textId="49CF0CA9" w:rsidR="008F6E78" w:rsidRPr="003E3C14" w:rsidRDefault="002D06EB" w:rsidP="00B30536">
            <w:pPr>
              <w:jc w:val="right"/>
              <w:rPr>
                <w:sz w:val="20"/>
                <w:szCs w:val="20"/>
              </w:rPr>
            </w:pPr>
            <w:r w:rsidRPr="003E3C14">
              <w:rPr>
                <w:sz w:val="20"/>
                <w:szCs w:val="20"/>
              </w:rPr>
              <w:t>0</w:t>
            </w:r>
          </w:p>
        </w:tc>
        <w:tc>
          <w:tcPr>
            <w:tcW w:w="700" w:type="pct"/>
            <w:shd w:val="clear" w:color="auto" w:fill="FAF9F8"/>
          </w:tcPr>
          <w:p w14:paraId="20C45732" w14:textId="4D6A26E7" w:rsidR="008F6E78" w:rsidRPr="003E3C14" w:rsidRDefault="002D06EB" w:rsidP="00B30536">
            <w:pPr>
              <w:jc w:val="right"/>
              <w:rPr>
                <w:sz w:val="20"/>
                <w:szCs w:val="20"/>
              </w:rPr>
            </w:pPr>
            <w:r w:rsidRPr="003E3C14">
              <w:rPr>
                <w:sz w:val="20"/>
                <w:szCs w:val="20"/>
              </w:rPr>
              <w:t>6</w:t>
            </w:r>
          </w:p>
        </w:tc>
      </w:tr>
      <w:tr w:rsidR="00FD75A9" w:rsidRPr="003E3C14" w14:paraId="0EAAC189" w14:textId="77777777" w:rsidTr="00E861B7">
        <w:tc>
          <w:tcPr>
            <w:tcW w:w="800" w:type="pct"/>
          </w:tcPr>
          <w:p w14:paraId="0CEA2A4A" w14:textId="77777777" w:rsidR="008F6E78" w:rsidRPr="003E3C14" w:rsidRDefault="008F6E78" w:rsidP="008F6E78">
            <w:pPr>
              <w:rPr>
                <w:sz w:val="20"/>
                <w:szCs w:val="20"/>
              </w:rPr>
            </w:pPr>
            <w:r w:rsidRPr="003E3C14">
              <w:rPr>
                <w:sz w:val="20"/>
                <w:szCs w:val="20"/>
              </w:rPr>
              <w:t>VIC</w:t>
            </w:r>
          </w:p>
        </w:tc>
        <w:tc>
          <w:tcPr>
            <w:tcW w:w="700" w:type="pct"/>
          </w:tcPr>
          <w:p w14:paraId="0E65192D" w14:textId="6DEB19AD" w:rsidR="008F6E78" w:rsidRPr="003E3C14" w:rsidRDefault="002D06EB" w:rsidP="00B30536">
            <w:pPr>
              <w:jc w:val="right"/>
              <w:rPr>
                <w:sz w:val="20"/>
                <w:szCs w:val="20"/>
              </w:rPr>
            </w:pPr>
            <w:r w:rsidRPr="003E3C14">
              <w:rPr>
                <w:sz w:val="20"/>
                <w:szCs w:val="20"/>
              </w:rPr>
              <w:t>5</w:t>
            </w:r>
          </w:p>
        </w:tc>
        <w:tc>
          <w:tcPr>
            <w:tcW w:w="700" w:type="pct"/>
          </w:tcPr>
          <w:p w14:paraId="578380FA" w14:textId="6D4762E9" w:rsidR="008F6E78" w:rsidRPr="003E3C14" w:rsidRDefault="002D06EB" w:rsidP="00B30536">
            <w:pPr>
              <w:jc w:val="right"/>
              <w:rPr>
                <w:sz w:val="20"/>
                <w:szCs w:val="20"/>
              </w:rPr>
            </w:pPr>
            <w:r w:rsidRPr="003E3C14">
              <w:rPr>
                <w:sz w:val="20"/>
                <w:szCs w:val="20"/>
              </w:rPr>
              <w:t>12</w:t>
            </w:r>
          </w:p>
        </w:tc>
        <w:tc>
          <w:tcPr>
            <w:tcW w:w="700" w:type="pct"/>
          </w:tcPr>
          <w:p w14:paraId="6AF7E869" w14:textId="78DCDCF5" w:rsidR="008F6E78" w:rsidRPr="003E3C14" w:rsidRDefault="002D06EB" w:rsidP="00B30536">
            <w:pPr>
              <w:jc w:val="right"/>
              <w:rPr>
                <w:sz w:val="20"/>
                <w:szCs w:val="20"/>
              </w:rPr>
            </w:pPr>
            <w:r w:rsidRPr="003E3C14">
              <w:rPr>
                <w:sz w:val="20"/>
                <w:szCs w:val="20"/>
              </w:rPr>
              <w:t>1</w:t>
            </w:r>
          </w:p>
        </w:tc>
        <w:tc>
          <w:tcPr>
            <w:tcW w:w="700" w:type="pct"/>
          </w:tcPr>
          <w:p w14:paraId="439BEC12" w14:textId="744AB9D2" w:rsidR="008F6E78" w:rsidRPr="003E3C14" w:rsidRDefault="002D06EB" w:rsidP="00B30536">
            <w:pPr>
              <w:jc w:val="right"/>
              <w:rPr>
                <w:sz w:val="20"/>
                <w:szCs w:val="20"/>
              </w:rPr>
            </w:pPr>
            <w:r w:rsidRPr="003E3C14">
              <w:rPr>
                <w:sz w:val="20"/>
                <w:szCs w:val="20"/>
              </w:rPr>
              <w:t>0</w:t>
            </w:r>
          </w:p>
        </w:tc>
        <w:tc>
          <w:tcPr>
            <w:tcW w:w="700" w:type="pct"/>
          </w:tcPr>
          <w:p w14:paraId="4FBC45FB" w14:textId="4F1D587A" w:rsidR="008F6E78" w:rsidRPr="003E3C14" w:rsidRDefault="002D06EB" w:rsidP="00B30536">
            <w:pPr>
              <w:jc w:val="right"/>
              <w:rPr>
                <w:sz w:val="20"/>
                <w:szCs w:val="20"/>
              </w:rPr>
            </w:pPr>
            <w:r w:rsidRPr="003E3C14">
              <w:rPr>
                <w:sz w:val="20"/>
                <w:szCs w:val="20"/>
              </w:rPr>
              <w:t>0</w:t>
            </w:r>
          </w:p>
        </w:tc>
        <w:tc>
          <w:tcPr>
            <w:tcW w:w="700" w:type="pct"/>
          </w:tcPr>
          <w:p w14:paraId="04D5870D" w14:textId="31484F29" w:rsidR="008F6E78" w:rsidRPr="003E3C14" w:rsidRDefault="002D06EB" w:rsidP="00B30536">
            <w:pPr>
              <w:jc w:val="right"/>
              <w:rPr>
                <w:sz w:val="20"/>
                <w:szCs w:val="20"/>
              </w:rPr>
            </w:pPr>
            <w:r w:rsidRPr="003E3C14">
              <w:rPr>
                <w:sz w:val="20"/>
                <w:szCs w:val="20"/>
              </w:rPr>
              <w:t>18</w:t>
            </w:r>
          </w:p>
        </w:tc>
      </w:tr>
      <w:tr w:rsidR="00FD75A9" w:rsidRPr="003E3C14" w14:paraId="1D8C6FF2" w14:textId="77777777" w:rsidTr="00E861B7">
        <w:tc>
          <w:tcPr>
            <w:tcW w:w="800" w:type="pct"/>
            <w:shd w:val="clear" w:color="auto" w:fill="FAF9F8"/>
          </w:tcPr>
          <w:p w14:paraId="47CF6702" w14:textId="77777777" w:rsidR="008F6E78" w:rsidRPr="003E3C14" w:rsidRDefault="008F6E78" w:rsidP="008F6E78">
            <w:pPr>
              <w:rPr>
                <w:sz w:val="20"/>
                <w:szCs w:val="20"/>
              </w:rPr>
            </w:pPr>
            <w:r w:rsidRPr="003E3C14">
              <w:rPr>
                <w:sz w:val="20"/>
                <w:szCs w:val="20"/>
              </w:rPr>
              <w:t>QLD</w:t>
            </w:r>
          </w:p>
        </w:tc>
        <w:tc>
          <w:tcPr>
            <w:tcW w:w="700" w:type="pct"/>
            <w:shd w:val="clear" w:color="auto" w:fill="FAF9F8"/>
          </w:tcPr>
          <w:p w14:paraId="7AAF8114" w14:textId="77A43903" w:rsidR="008F6E78" w:rsidRPr="003E3C14" w:rsidRDefault="002D06EB" w:rsidP="00B30536">
            <w:pPr>
              <w:jc w:val="right"/>
              <w:rPr>
                <w:sz w:val="20"/>
                <w:szCs w:val="20"/>
              </w:rPr>
            </w:pPr>
            <w:r w:rsidRPr="003E3C14">
              <w:rPr>
                <w:sz w:val="20"/>
                <w:szCs w:val="20"/>
              </w:rPr>
              <w:t>3</w:t>
            </w:r>
          </w:p>
        </w:tc>
        <w:tc>
          <w:tcPr>
            <w:tcW w:w="700" w:type="pct"/>
            <w:shd w:val="clear" w:color="auto" w:fill="FAF9F8"/>
          </w:tcPr>
          <w:p w14:paraId="39F7D5CD" w14:textId="7B503B67" w:rsidR="008F6E78" w:rsidRPr="003E3C14" w:rsidRDefault="002D06EB" w:rsidP="00B30536">
            <w:pPr>
              <w:jc w:val="right"/>
              <w:rPr>
                <w:sz w:val="20"/>
                <w:szCs w:val="20"/>
              </w:rPr>
            </w:pPr>
            <w:r w:rsidRPr="003E3C14">
              <w:rPr>
                <w:sz w:val="20"/>
                <w:szCs w:val="20"/>
              </w:rPr>
              <w:t>6</w:t>
            </w:r>
          </w:p>
        </w:tc>
        <w:tc>
          <w:tcPr>
            <w:tcW w:w="700" w:type="pct"/>
            <w:shd w:val="clear" w:color="auto" w:fill="FAF9F8"/>
          </w:tcPr>
          <w:p w14:paraId="73D1E4EC" w14:textId="114F0D49" w:rsidR="008F6E78" w:rsidRPr="003E3C14" w:rsidRDefault="002D06EB" w:rsidP="00B30536">
            <w:pPr>
              <w:jc w:val="right"/>
              <w:rPr>
                <w:sz w:val="20"/>
                <w:szCs w:val="20"/>
              </w:rPr>
            </w:pPr>
            <w:r w:rsidRPr="003E3C14">
              <w:rPr>
                <w:sz w:val="20"/>
                <w:szCs w:val="20"/>
              </w:rPr>
              <w:t>0</w:t>
            </w:r>
          </w:p>
        </w:tc>
        <w:tc>
          <w:tcPr>
            <w:tcW w:w="700" w:type="pct"/>
            <w:shd w:val="clear" w:color="auto" w:fill="FAF9F8"/>
          </w:tcPr>
          <w:p w14:paraId="56482E90" w14:textId="6747E9E1" w:rsidR="008F6E78" w:rsidRPr="003E3C14" w:rsidRDefault="002D06EB" w:rsidP="00B30536">
            <w:pPr>
              <w:jc w:val="right"/>
              <w:rPr>
                <w:sz w:val="20"/>
                <w:szCs w:val="20"/>
              </w:rPr>
            </w:pPr>
            <w:r w:rsidRPr="003E3C14">
              <w:rPr>
                <w:sz w:val="20"/>
                <w:szCs w:val="20"/>
              </w:rPr>
              <w:t>0</w:t>
            </w:r>
          </w:p>
        </w:tc>
        <w:tc>
          <w:tcPr>
            <w:tcW w:w="700" w:type="pct"/>
            <w:shd w:val="clear" w:color="auto" w:fill="FAF9F8"/>
          </w:tcPr>
          <w:p w14:paraId="2A2F3BD5" w14:textId="244CD3C2" w:rsidR="008F6E78" w:rsidRPr="003E3C14" w:rsidRDefault="002D06EB" w:rsidP="00B30536">
            <w:pPr>
              <w:jc w:val="right"/>
              <w:rPr>
                <w:sz w:val="20"/>
                <w:szCs w:val="20"/>
              </w:rPr>
            </w:pPr>
            <w:r w:rsidRPr="003E3C14">
              <w:rPr>
                <w:sz w:val="20"/>
                <w:szCs w:val="20"/>
              </w:rPr>
              <w:t>0</w:t>
            </w:r>
          </w:p>
        </w:tc>
        <w:tc>
          <w:tcPr>
            <w:tcW w:w="700" w:type="pct"/>
            <w:shd w:val="clear" w:color="auto" w:fill="FAF9F8"/>
          </w:tcPr>
          <w:p w14:paraId="711714F8" w14:textId="4DDEC08E" w:rsidR="008F6E78" w:rsidRPr="003E3C14" w:rsidRDefault="002D06EB" w:rsidP="00B30536">
            <w:pPr>
              <w:jc w:val="right"/>
              <w:rPr>
                <w:sz w:val="20"/>
                <w:szCs w:val="20"/>
              </w:rPr>
            </w:pPr>
            <w:r w:rsidRPr="003E3C14">
              <w:rPr>
                <w:sz w:val="20"/>
                <w:szCs w:val="20"/>
              </w:rPr>
              <w:t>9</w:t>
            </w:r>
          </w:p>
        </w:tc>
      </w:tr>
      <w:tr w:rsidR="00FD75A9" w:rsidRPr="003E3C14" w14:paraId="76848610" w14:textId="77777777" w:rsidTr="00E861B7">
        <w:tc>
          <w:tcPr>
            <w:tcW w:w="800" w:type="pct"/>
          </w:tcPr>
          <w:p w14:paraId="2FAF6883" w14:textId="03733655" w:rsidR="008F6E78" w:rsidRPr="003E3C14" w:rsidRDefault="002D06EB" w:rsidP="008F6E78">
            <w:pPr>
              <w:rPr>
                <w:sz w:val="20"/>
                <w:szCs w:val="20"/>
              </w:rPr>
            </w:pPr>
            <w:r w:rsidRPr="003E3C14">
              <w:rPr>
                <w:sz w:val="20"/>
                <w:szCs w:val="20"/>
              </w:rPr>
              <w:t>WA</w:t>
            </w:r>
          </w:p>
        </w:tc>
        <w:tc>
          <w:tcPr>
            <w:tcW w:w="700" w:type="pct"/>
          </w:tcPr>
          <w:p w14:paraId="77493C02" w14:textId="3E14953A" w:rsidR="008F6E78" w:rsidRPr="003E3C14" w:rsidRDefault="002D06EB" w:rsidP="00B30536">
            <w:pPr>
              <w:jc w:val="right"/>
              <w:rPr>
                <w:sz w:val="20"/>
                <w:szCs w:val="20"/>
              </w:rPr>
            </w:pPr>
            <w:r w:rsidRPr="003E3C14">
              <w:rPr>
                <w:sz w:val="20"/>
                <w:szCs w:val="20"/>
              </w:rPr>
              <w:t>1</w:t>
            </w:r>
          </w:p>
        </w:tc>
        <w:tc>
          <w:tcPr>
            <w:tcW w:w="700" w:type="pct"/>
          </w:tcPr>
          <w:p w14:paraId="4F90116F" w14:textId="7CF0174D" w:rsidR="008F6E78" w:rsidRPr="003E3C14" w:rsidRDefault="002D06EB" w:rsidP="00B30536">
            <w:pPr>
              <w:jc w:val="right"/>
              <w:rPr>
                <w:sz w:val="20"/>
                <w:szCs w:val="20"/>
              </w:rPr>
            </w:pPr>
            <w:r w:rsidRPr="003E3C14">
              <w:rPr>
                <w:sz w:val="20"/>
                <w:szCs w:val="20"/>
              </w:rPr>
              <w:t>5</w:t>
            </w:r>
          </w:p>
        </w:tc>
        <w:tc>
          <w:tcPr>
            <w:tcW w:w="700" w:type="pct"/>
          </w:tcPr>
          <w:p w14:paraId="64F9C123" w14:textId="6B04466D" w:rsidR="008F6E78" w:rsidRPr="003E3C14" w:rsidRDefault="002D06EB" w:rsidP="00B30536">
            <w:pPr>
              <w:jc w:val="right"/>
              <w:rPr>
                <w:sz w:val="20"/>
                <w:szCs w:val="20"/>
              </w:rPr>
            </w:pPr>
            <w:r w:rsidRPr="003E3C14">
              <w:rPr>
                <w:sz w:val="20"/>
                <w:szCs w:val="20"/>
              </w:rPr>
              <w:t>1</w:t>
            </w:r>
          </w:p>
        </w:tc>
        <w:tc>
          <w:tcPr>
            <w:tcW w:w="700" w:type="pct"/>
          </w:tcPr>
          <w:p w14:paraId="5C73588B" w14:textId="371FBB96" w:rsidR="008F6E78" w:rsidRPr="003E3C14" w:rsidRDefault="002D06EB" w:rsidP="00B30536">
            <w:pPr>
              <w:jc w:val="right"/>
              <w:rPr>
                <w:sz w:val="20"/>
                <w:szCs w:val="20"/>
              </w:rPr>
            </w:pPr>
            <w:r w:rsidRPr="003E3C14">
              <w:rPr>
                <w:sz w:val="20"/>
                <w:szCs w:val="20"/>
              </w:rPr>
              <w:t>0</w:t>
            </w:r>
          </w:p>
        </w:tc>
        <w:tc>
          <w:tcPr>
            <w:tcW w:w="700" w:type="pct"/>
          </w:tcPr>
          <w:p w14:paraId="5018BDDD" w14:textId="414B4740" w:rsidR="008F6E78" w:rsidRPr="003E3C14" w:rsidRDefault="002D06EB" w:rsidP="00B30536">
            <w:pPr>
              <w:jc w:val="right"/>
              <w:rPr>
                <w:sz w:val="20"/>
                <w:szCs w:val="20"/>
              </w:rPr>
            </w:pPr>
            <w:r w:rsidRPr="003E3C14">
              <w:rPr>
                <w:sz w:val="20"/>
                <w:szCs w:val="20"/>
              </w:rPr>
              <w:t>0</w:t>
            </w:r>
          </w:p>
        </w:tc>
        <w:tc>
          <w:tcPr>
            <w:tcW w:w="700" w:type="pct"/>
          </w:tcPr>
          <w:p w14:paraId="60389A4E" w14:textId="22AA4C75" w:rsidR="008F6E78" w:rsidRPr="003E3C14" w:rsidRDefault="002D06EB" w:rsidP="00B30536">
            <w:pPr>
              <w:jc w:val="right"/>
              <w:rPr>
                <w:sz w:val="20"/>
                <w:szCs w:val="20"/>
              </w:rPr>
            </w:pPr>
            <w:r w:rsidRPr="003E3C14">
              <w:rPr>
                <w:sz w:val="20"/>
                <w:szCs w:val="20"/>
              </w:rPr>
              <w:t>7</w:t>
            </w:r>
          </w:p>
        </w:tc>
      </w:tr>
      <w:tr w:rsidR="00FD75A9" w:rsidRPr="003E3C14" w14:paraId="64D7D258" w14:textId="77777777" w:rsidTr="00E861B7">
        <w:tc>
          <w:tcPr>
            <w:tcW w:w="800" w:type="pct"/>
            <w:shd w:val="clear" w:color="auto" w:fill="FAF9F8"/>
          </w:tcPr>
          <w:p w14:paraId="55180AF3" w14:textId="77777777" w:rsidR="008F6E78" w:rsidRPr="003E3C14" w:rsidRDefault="008F6E78" w:rsidP="008F6E78">
            <w:pPr>
              <w:rPr>
                <w:sz w:val="20"/>
                <w:szCs w:val="20"/>
              </w:rPr>
            </w:pPr>
            <w:r w:rsidRPr="003E3C14">
              <w:rPr>
                <w:sz w:val="20"/>
                <w:szCs w:val="20"/>
              </w:rPr>
              <w:t>SA</w:t>
            </w:r>
          </w:p>
        </w:tc>
        <w:tc>
          <w:tcPr>
            <w:tcW w:w="700" w:type="pct"/>
            <w:shd w:val="clear" w:color="auto" w:fill="FAF9F8"/>
          </w:tcPr>
          <w:p w14:paraId="1668DEED" w14:textId="0F24F62F" w:rsidR="008F6E78" w:rsidRPr="003E3C14" w:rsidRDefault="002D06EB" w:rsidP="00B30536">
            <w:pPr>
              <w:jc w:val="right"/>
              <w:rPr>
                <w:sz w:val="20"/>
                <w:szCs w:val="20"/>
              </w:rPr>
            </w:pPr>
            <w:r w:rsidRPr="003E3C14">
              <w:rPr>
                <w:sz w:val="20"/>
                <w:szCs w:val="20"/>
              </w:rPr>
              <w:t>1</w:t>
            </w:r>
          </w:p>
        </w:tc>
        <w:tc>
          <w:tcPr>
            <w:tcW w:w="700" w:type="pct"/>
            <w:shd w:val="clear" w:color="auto" w:fill="FAF9F8"/>
          </w:tcPr>
          <w:p w14:paraId="503CEAFC" w14:textId="48F0A8E9" w:rsidR="008F6E78" w:rsidRPr="003E3C14" w:rsidRDefault="002D06EB" w:rsidP="00B30536">
            <w:pPr>
              <w:jc w:val="right"/>
              <w:rPr>
                <w:sz w:val="20"/>
                <w:szCs w:val="20"/>
              </w:rPr>
            </w:pPr>
            <w:r w:rsidRPr="003E3C14">
              <w:rPr>
                <w:sz w:val="20"/>
                <w:szCs w:val="20"/>
              </w:rPr>
              <w:t>7</w:t>
            </w:r>
          </w:p>
        </w:tc>
        <w:tc>
          <w:tcPr>
            <w:tcW w:w="700" w:type="pct"/>
            <w:shd w:val="clear" w:color="auto" w:fill="FAF9F8"/>
          </w:tcPr>
          <w:p w14:paraId="4C0FAAED" w14:textId="473C2EA4" w:rsidR="008F6E78" w:rsidRPr="003E3C14" w:rsidRDefault="002D06EB" w:rsidP="00B30536">
            <w:pPr>
              <w:jc w:val="right"/>
              <w:rPr>
                <w:sz w:val="20"/>
                <w:szCs w:val="20"/>
              </w:rPr>
            </w:pPr>
            <w:r w:rsidRPr="003E3C14">
              <w:rPr>
                <w:sz w:val="20"/>
                <w:szCs w:val="20"/>
              </w:rPr>
              <w:t>2</w:t>
            </w:r>
          </w:p>
        </w:tc>
        <w:tc>
          <w:tcPr>
            <w:tcW w:w="700" w:type="pct"/>
            <w:shd w:val="clear" w:color="auto" w:fill="FAF9F8"/>
          </w:tcPr>
          <w:p w14:paraId="101D16B9" w14:textId="3533DB55" w:rsidR="008F6E78" w:rsidRPr="003E3C14" w:rsidRDefault="002D06EB" w:rsidP="00B30536">
            <w:pPr>
              <w:jc w:val="right"/>
              <w:rPr>
                <w:sz w:val="20"/>
                <w:szCs w:val="20"/>
              </w:rPr>
            </w:pPr>
            <w:r w:rsidRPr="003E3C14">
              <w:rPr>
                <w:sz w:val="20"/>
                <w:szCs w:val="20"/>
              </w:rPr>
              <w:t>0</w:t>
            </w:r>
          </w:p>
        </w:tc>
        <w:tc>
          <w:tcPr>
            <w:tcW w:w="700" w:type="pct"/>
            <w:shd w:val="clear" w:color="auto" w:fill="FAF9F8"/>
          </w:tcPr>
          <w:p w14:paraId="46FD7BC4" w14:textId="1B51A61A" w:rsidR="008F6E78" w:rsidRPr="003E3C14" w:rsidRDefault="002D06EB" w:rsidP="00B30536">
            <w:pPr>
              <w:jc w:val="right"/>
              <w:rPr>
                <w:sz w:val="20"/>
                <w:szCs w:val="20"/>
              </w:rPr>
            </w:pPr>
            <w:r w:rsidRPr="003E3C14">
              <w:rPr>
                <w:sz w:val="20"/>
                <w:szCs w:val="20"/>
              </w:rPr>
              <w:t>0</w:t>
            </w:r>
          </w:p>
        </w:tc>
        <w:tc>
          <w:tcPr>
            <w:tcW w:w="700" w:type="pct"/>
            <w:shd w:val="clear" w:color="auto" w:fill="FAF9F8"/>
          </w:tcPr>
          <w:p w14:paraId="0581EFC3" w14:textId="535F7DE1" w:rsidR="008F6E78" w:rsidRPr="003E3C14" w:rsidRDefault="002D06EB" w:rsidP="00B30536">
            <w:pPr>
              <w:jc w:val="right"/>
              <w:rPr>
                <w:sz w:val="20"/>
                <w:szCs w:val="20"/>
              </w:rPr>
            </w:pPr>
            <w:r w:rsidRPr="003E3C14">
              <w:rPr>
                <w:sz w:val="20"/>
                <w:szCs w:val="20"/>
              </w:rPr>
              <w:t>10</w:t>
            </w:r>
          </w:p>
        </w:tc>
      </w:tr>
      <w:tr w:rsidR="00FD75A9" w:rsidRPr="003E3C14" w14:paraId="6334AB20" w14:textId="77777777" w:rsidTr="00E861B7">
        <w:tc>
          <w:tcPr>
            <w:tcW w:w="800" w:type="pct"/>
          </w:tcPr>
          <w:p w14:paraId="46AD7740" w14:textId="77777777" w:rsidR="008F6E78" w:rsidRPr="003E3C14" w:rsidRDefault="008F6E78" w:rsidP="008F6E78">
            <w:pPr>
              <w:rPr>
                <w:sz w:val="20"/>
                <w:szCs w:val="20"/>
              </w:rPr>
            </w:pPr>
            <w:r w:rsidRPr="003E3C14">
              <w:rPr>
                <w:sz w:val="20"/>
                <w:szCs w:val="20"/>
              </w:rPr>
              <w:t>TAS</w:t>
            </w:r>
          </w:p>
        </w:tc>
        <w:tc>
          <w:tcPr>
            <w:tcW w:w="700" w:type="pct"/>
          </w:tcPr>
          <w:p w14:paraId="07C4A0B4" w14:textId="01F2B19A" w:rsidR="008F6E78" w:rsidRPr="003E3C14" w:rsidRDefault="002D06EB" w:rsidP="00B30536">
            <w:pPr>
              <w:jc w:val="right"/>
              <w:rPr>
                <w:sz w:val="20"/>
                <w:szCs w:val="20"/>
              </w:rPr>
            </w:pPr>
            <w:r w:rsidRPr="003E3C14">
              <w:rPr>
                <w:sz w:val="20"/>
                <w:szCs w:val="20"/>
              </w:rPr>
              <w:t>2</w:t>
            </w:r>
          </w:p>
        </w:tc>
        <w:tc>
          <w:tcPr>
            <w:tcW w:w="700" w:type="pct"/>
          </w:tcPr>
          <w:p w14:paraId="1D55D3B0" w14:textId="7F4036CF" w:rsidR="008F6E78" w:rsidRPr="003E3C14" w:rsidRDefault="002D06EB" w:rsidP="00B30536">
            <w:pPr>
              <w:jc w:val="right"/>
              <w:rPr>
                <w:sz w:val="20"/>
                <w:szCs w:val="20"/>
              </w:rPr>
            </w:pPr>
            <w:r w:rsidRPr="003E3C14">
              <w:rPr>
                <w:sz w:val="20"/>
                <w:szCs w:val="20"/>
              </w:rPr>
              <w:t>1</w:t>
            </w:r>
          </w:p>
        </w:tc>
        <w:tc>
          <w:tcPr>
            <w:tcW w:w="700" w:type="pct"/>
          </w:tcPr>
          <w:p w14:paraId="00A6C68E" w14:textId="250E031D" w:rsidR="008F6E78" w:rsidRPr="003E3C14" w:rsidRDefault="002D06EB" w:rsidP="00B30536">
            <w:pPr>
              <w:jc w:val="right"/>
              <w:rPr>
                <w:sz w:val="20"/>
                <w:szCs w:val="20"/>
              </w:rPr>
            </w:pPr>
            <w:r w:rsidRPr="003E3C14">
              <w:rPr>
                <w:sz w:val="20"/>
                <w:szCs w:val="20"/>
              </w:rPr>
              <w:t>1</w:t>
            </w:r>
          </w:p>
        </w:tc>
        <w:tc>
          <w:tcPr>
            <w:tcW w:w="700" w:type="pct"/>
          </w:tcPr>
          <w:p w14:paraId="191BF13B" w14:textId="2B734A8A" w:rsidR="008F6E78" w:rsidRPr="003E3C14" w:rsidRDefault="002D06EB" w:rsidP="00B30536">
            <w:pPr>
              <w:jc w:val="right"/>
              <w:rPr>
                <w:sz w:val="20"/>
                <w:szCs w:val="20"/>
              </w:rPr>
            </w:pPr>
            <w:r w:rsidRPr="003E3C14">
              <w:rPr>
                <w:sz w:val="20"/>
                <w:szCs w:val="20"/>
              </w:rPr>
              <w:t>0</w:t>
            </w:r>
          </w:p>
        </w:tc>
        <w:tc>
          <w:tcPr>
            <w:tcW w:w="700" w:type="pct"/>
          </w:tcPr>
          <w:p w14:paraId="60022E63" w14:textId="791337F4" w:rsidR="008F6E78" w:rsidRPr="003E3C14" w:rsidRDefault="002D06EB" w:rsidP="00B30536">
            <w:pPr>
              <w:jc w:val="right"/>
              <w:rPr>
                <w:sz w:val="20"/>
                <w:szCs w:val="20"/>
              </w:rPr>
            </w:pPr>
            <w:r w:rsidRPr="003E3C14">
              <w:rPr>
                <w:sz w:val="20"/>
                <w:szCs w:val="20"/>
              </w:rPr>
              <w:t>0</w:t>
            </w:r>
          </w:p>
        </w:tc>
        <w:tc>
          <w:tcPr>
            <w:tcW w:w="700" w:type="pct"/>
          </w:tcPr>
          <w:p w14:paraId="4EBA7C05" w14:textId="655A3E21" w:rsidR="008F6E78" w:rsidRPr="003E3C14" w:rsidRDefault="002D06EB" w:rsidP="00B30536">
            <w:pPr>
              <w:jc w:val="right"/>
              <w:rPr>
                <w:sz w:val="20"/>
                <w:szCs w:val="20"/>
              </w:rPr>
            </w:pPr>
            <w:r w:rsidRPr="003E3C14">
              <w:rPr>
                <w:sz w:val="20"/>
                <w:szCs w:val="20"/>
              </w:rPr>
              <w:t>4</w:t>
            </w:r>
          </w:p>
        </w:tc>
      </w:tr>
      <w:tr w:rsidR="00FD75A9" w:rsidRPr="003E3C14" w14:paraId="13CC6B4A" w14:textId="77777777" w:rsidTr="00E861B7">
        <w:tc>
          <w:tcPr>
            <w:tcW w:w="800" w:type="pct"/>
            <w:shd w:val="clear" w:color="auto" w:fill="FAF9F8"/>
          </w:tcPr>
          <w:p w14:paraId="7695C642" w14:textId="77777777" w:rsidR="008F6E78" w:rsidRPr="003E3C14" w:rsidRDefault="008F6E78" w:rsidP="008F6E78">
            <w:pPr>
              <w:rPr>
                <w:sz w:val="20"/>
                <w:szCs w:val="20"/>
              </w:rPr>
            </w:pPr>
            <w:r w:rsidRPr="003E3C14">
              <w:rPr>
                <w:sz w:val="20"/>
                <w:szCs w:val="20"/>
              </w:rPr>
              <w:t>ACT</w:t>
            </w:r>
          </w:p>
        </w:tc>
        <w:tc>
          <w:tcPr>
            <w:tcW w:w="700" w:type="pct"/>
            <w:shd w:val="clear" w:color="auto" w:fill="FAF9F8"/>
          </w:tcPr>
          <w:p w14:paraId="6AE3D7CC" w14:textId="48415D5B" w:rsidR="008F6E78" w:rsidRPr="003E3C14" w:rsidRDefault="002D06EB" w:rsidP="00B30536">
            <w:pPr>
              <w:jc w:val="right"/>
              <w:rPr>
                <w:sz w:val="20"/>
                <w:szCs w:val="20"/>
              </w:rPr>
            </w:pPr>
            <w:r w:rsidRPr="003E3C14">
              <w:rPr>
                <w:sz w:val="20"/>
                <w:szCs w:val="20"/>
              </w:rPr>
              <w:t>3</w:t>
            </w:r>
          </w:p>
        </w:tc>
        <w:tc>
          <w:tcPr>
            <w:tcW w:w="700" w:type="pct"/>
            <w:shd w:val="clear" w:color="auto" w:fill="FAF9F8"/>
          </w:tcPr>
          <w:p w14:paraId="41DA96D5" w14:textId="2FACEE4D" w:rsidR="008F6E78" w:rsidRPr="003E3C14" w:rsidRDefault="002D06EB" w:rsidP="00B30536">
            <w:pPr>
              <w:jc w:val="right"/>
              <w:rPr>
                <w:sz w:val="20"/>
                <w:szCs w:val="20"/>
              </w:rPr>
            </w:pPr>
            <w:r w:rsidRPr="003E3C14">
              <w:rPr>
                <w:sz w:val="20"/>
                <w:szCs w:val="20"/>
              </w:rPr>
              <w:t>2</w:t>
            </w:r>
          </w:p>
        </w:tc>
        <w:tc>
          <w:tcPr>
            <w:tcW w:w="700" w:type="pct"/>
            <w:shd w:val="clear" w:color="auto" w:fill="FAF9F8"/>
          </w:tcPr>
          <w:p w14:paraId="79D94E9B" w14:textId="057424C7" w:rsidR="008F6E78" w:rsidRPr="003E3C14" w:rsidRDefault="002D06EB" w:rsidP="00B30536">
            <w:pPr>
              <w:jc w:val="right"/>
              <w:rPr>
                <w:sz w:val="20"/>
                <w:szCs w:val="20"/>
              </w:rPr>
            </w:pPr>
            <w:r w:rsidRPr="003E3C14">
              <w:rPr>
                <w:sz w:val="20"/>
                <w:szCs w:val="20"/>
              </w:rPr>
              <w:t>0</w:t>
            </w:r>
          </w:p>
        </w:tc>
        <w:tc>
          <w:tcPr>
            <w:tcW w:w="700" w:type="pct"/>
            <w:shd w:val="clear" w:color="auto" w:fill="FAF9F8"/>
          </w:tcPr>
          <w:p w14:paraId="20A9795C" w14:textId="316800F9" w:rsidR="008F6E78" w:rsidRPr="003E3C14" w:rsidRDefault="002D06EB" w:rsidP="00B30536">
            <w:pPr>
              <w:jc w:val="right"/>
              <w:rPr>
                <w:sz w:val="20"/>
                <w:szCs w:val="20"/>
              </w:rPr>
            </w:pPr>
            <w:r w:rsidRPr="003E3C14">
              <w:rPr>
                <w:sz w:val="20"/>
                <w:szCs w:val="20"/>
              </w:rPr>
              <w:t>0</w:t>
            </w:r>
          </w:p>
        </w:tc>
        <w:tc>
          <w:tcPr>
            <w:tcW w:w="700" w:type="pct"/>
            <w:shd w:val="clear" w:color="auto" w:fill="FAF9F8"/>
          </w:tcPr>
          <w:p w14:paraId="20A18B60" w14:textId="4D11B58C" w:rsidR="008F6E78" w:rsidRPr="003E3C14" w:rsidRDefault="002D06EB" w:rsidP="00B30536">
            <w:pPr>
              <w:jc w:val="right"/>
              <w:rPr>
                <w:sz w:val="20"/>
                <w:szCs w:val="20"/>
              </w:rPr>
            </w:pPr>
            <w:r w:rsidRPr="003E3C14">
              <w:rPr>
                <w:sz w:val="20"/>
                <w:szCs w:val="20"/>
              </w:rPr>
              <w:t>0</w:t>
            </w:r>
          </w:p>
        </w:tc>
        <w:tc>
          <w:tcPr>
            <w:tcW w:w="700" w:type="pct"/>
            <w:shd w:val="clear" w:color="auto" w:fill="FAF9F8"/>
          </w:tcPr>
          <w:p w14:paraId="706CAA41" w14:textId="353054F8" w:rsidR="008F6E78" w:rsidRPr="003E3C14" w:rsidRDefault="002D06EB" w:rsidP="00B30536">
            <w:pPr>
              <w:jc w:val="right"/>
              <w:rPr>
                <w:sz w:val="20"/>
                <w:szCs w:val="20"/>
              </w:rPr>
            </w:pPr>
            <w:r w:rsidRPr="003E3C14">
              <w:rPr>
                <w:sz w:val="20"/>
                <w:szCs w:val="20"/>
              </w:rPr>
              <w:t>5</w:t>
            </w:r>
          </w:p>
        </w:tc>
      </w:tr>
      <w:tr w:rsidR="00FD75A9" w:rsidRPr="003E3C14" w14:paraId="5210A113" w14:textId="77777777" w:rsidTr="00E861B7">
        <w:tc>
          <w:tcPr>
            <w:tcW w:w="800" w:type="pct"/>
          </w:tcPr>
          <w:p w14:paraId="243CAA1C" w14:textId="77777777" w:rsidR="008F6E78" w:rsidRPr="003E3C14" w:rsidRDefault="008F6E78" w:rsidP="008F6E78">
            <w:pPr>
              <w:rPr>
                <w:sz w:val="20"/>
                <w:szCs w:val="20"/>
              </w:rPr>
            </w:pPr>
            <w:r w:rsidRPr="003E3C14">
              <w:rPr>
                <w:sz w:val="20"/>
                <w:szCs w:val="20"/>
              </w:rPr>
              <w:t>NT</w:t>
            </w:r>
          </w:p>
        </w:tc>
        <w:tc>
          <w:tcPr>
            <w:tcW w:w="700" w:type="pct"/>
          </w:tcPr>
          <w:p w14:paraId="4656BECD" w14:textId="7A969C4F" w:rsidR="008F6E78" w:rsidRPr="003E3C14" w:rsidRDefault="002D06EB" w:rsidP="00B30536">
            <w:pPr>
              <w:jc w:val="right"/>
              <w:rPr>
                <w:sz w:val="20"/>
                <w:szCs w:val="20"/>
              </w:rPr>
            </w:pPr>
            <w:r w:rsidRPr="003E3C14">
              <w:rPr>
                <w:sz w:val="20"/>
                <w:szCs w:val="20"/>
              </w:rPr>
              <w:t>0</w:t>
            </w:r>
          </w:p>
        </w:tc>
        <w:tc>
          <w:tcPr>
            <w:tcW w:w="700" w:type="pct"/>
          </w:tcPr>
          <w:p w14:paraId="08E29505" w14:textId="7A651563" w:rsidR="008F6E78" w:rsidRPr="003E3C14" w:rsidRDefault="002D06EB" w:rsidP="00B30536">
            <w:pPr>
              <w:jc w:val="right"/>
              <w:rPr>
                <w:sz w:val="20"/>
                <w:szCs w:val="20"/>
              </w:rPr>
            </w:pPr>
            <w:r w:rsidRPr="003E3C14">
              <w:rPr>
                <w:sz w:val="20"/>
                <w:szCs w:val="20"/>
              </w:rPr>
              <w:t>5</w:t>
            </w:r>
          </w:p>
        </w:tc>
        <w:tc>
          <w:tcPr>
            <w:tcW w:w="700" w:type="pct"/>
          </w:tcPr>
          <w:p w14:paraId="777B8C6C" w14:textId="05AAE18E" w:rsidR="008F6E78" w:rsidRPr="003E3C14" w:rsidRDefault="002D06EB" w:rsidP="00B30536">
            <w:pPr>
              <w:jc w:val="right"/>
              <w:rPr>
                <w:sz w:val="20"/>
                <w:szCs w:val="20"/>
              </w:rPr>
            </w:pPr>
            <w:r w:rsidRPr="003E3C14">
              <w:rPr>
                <w:sz w:val="20"/>
                <w:szCs w:val="20"/>
              </w:rPr>
              <w:t>0</w:t>
            </w:r>
          </w:p>
        </w:tc>
        <w:tc>
          <w:tcPr>
            <w:tcW w:w="700" w:type="pct"/>
          </w:tcPr>
          <w:p w14:paraId="59C7007F" w14:textId="12813CFE" w:rsidR="008F6E78" w:rsidRPr="003E3C14" w:rsidRDefault="002D06EB" w:rsidP="00B30536">
            <w:pPr>
              <w:jc w:val="right"/>
              <w:rPr>
                <w:sz w:val="20"/>
                <w:szCs w:val="20"/>
              </w:rPr>
            </w:pPr>
            <w:r w:rsidRPr="003E3C14">
              <w:rPr>
                <w:sz w:val="20"/>
                <w:szCs w:val="20"/>
              </w:rPr>
              <w:t>0</w:t>
            </w:r>
          </w:p>
        </w:tc>
        <w:tc>
          <w:tcPr>
            <w:tcW w:w="700" w:type="pct"/>
          </w:tcPr>
          <w:p w14:paraId="426AEC51" w14:textId="71CEF99A" w:rsidR="008F6E78" w:rsidRPr="003E3C14" w:rsidRDefault="002D06EB" w:rsidP="00B30536">
            <w:pPr>
              <w:jc w:val="right"/>
              <w:rPr>
                <w:sz w:val="20"/>
                <w:szCs w:val="20"/>
              </w:rPr>
            </w:pPr>
            <w:r w:rsidRPr="003E3C14">
              <w:rPr>
                <w:sz w:val="20"/>
                <w:szCs w:val="20"/>
              </w:rPr>
              <w:t>0</w:t>
            </w:r>
          </w:p>
        </w:tc>
        <w:tc>
          <w:tcPr>
            <w:tcW w:w="700" w:type="pct"/>
          </w:tcPr>
          <w:p w14:paraId="1AF8B3A6" w14:textId="7AD79520" w:rsidR="008F6E78" w:rsidRPr="003E3C14" w:rsidRDefault="002D06EB" w:rsidP="00B30536">
            <w:pPr>
              <w:jc w:val="right"/>
              <w:rPr>
                <w:sz w:val="20"/>
                <w:szCs w:val="20"/>
              </w:rPr>
            </w:pPr>
            <w:r w:rsidRPr="003E3C14">
              <w:rPr>
                <w:sz w:val="20"/>
                <w:szCs w:val="20"/>
              </w:rPr>
              <w:t>5</w:t>
            </w:r>
          </w:p>
        </w:tc>
      </w:tr>
      <w:tr w:rsidR="00FD75A9" w:rsidRPr="003E3C14" w14:paraId="04AAFD52" w14:textId="77777777" w:rsidTr="00E861B7">
        <w:trPr>
          <w:trHeight w:val="69"/>
        </w:trPr>
        <w:tc>
          <w:tcPr>
            <w:tcW w:w="800" w:type="pct"/>
            <w:shd w:val="clear" w:color="auto" w:fill="E4E9F3"/>
          </w:tcPr>
          <w:p w14:paraId="63003177" w14:textId="77777777" w:rsidR="008F6E78" w:rsidRPr="003E3C14" w:rsidRDefault="008F6E78" w:rsidP="008F6E78">
            <w:pPr>
              <w:rPr>
                <w:b/>
                <w:sz w:val="20"/>
                <w:szCs w:val="20"/>
              </w:rPr>
            </w:pPr>
            <w:r w:rsidRPr="003E3C14">
              <w:rPr>
                <w:b/>
                <w:sz w:val="20"/>
                <w:szCs w:val="20"/>
              </w:rPr>
              <w:t>National Total</w:t>
            </w:r>
          </w:p>
        </w:tc>
        <w:tc>
          <w:tcPr>
            <w:tcW w:w="700" w:type="pct"/>
            <w:shd w:val="clear" w:color="auto" w:fill="E4E9F3"/>
          </w:tcPr>
          <w:p w14:paraId="19767AB9" w14:textId="57E77AEA" w:rsidR="008F6E78" w:rsidRPr="003E3C14" w:rsidRDefault="002D06EB" w:rsidP="00B30536">
            <w:pPr>
              <w:jc w:val="right"/>
              <w:rPr>
                <w:b/>
                <w:sz w:val="20"/>
                <w:szCs w:val="20"/>
              </w:rPr>
            </w:pPr>
            <w:r w:rsidRPr="003E3C14">
              <w:rPr>
                <w:b/>
                <w:sz w:val="20"/>
                <w:szCs w:val="20"/>
              </w:rPr>
              <w:t>17</w:t>
            </w:r>
          </w:p>
        </w:tc>
        <w:tc>
          <w:tcPr>
            <w:tcW w:w="700" w:type="pct"/>
            <w:shd w:val="clear" w:color="auto" w:fill="E4E9F3"/>
          </w:tcPr>
          <w:p w14:paraId="714ED289" w14:textId="0F28668C" w:rsidR="008F6E78" w:rsidRPr="003E3C14" w:rsidRDefault="00E732EA" w:rsidP="00B30536">
            <w:pPr>
              <w:jc w:val="right"/>
              <w:rPr>
                <w:b/>
                <w:sz w:val="20"/>
                <w:szCs w:val="20"/>
              </w:rPr>
            </w:pPr>
            <w:r w:rsidRPr="003E3C14">
              <w:rPr>
                <w:b/>
                <w:sz w:val="20"/>
                <w:szCs w:val="20"/>
              </w:rPr>
              <w:t>47</w:t>
            </w:r>
          </w:p>
        </w:tc>
        <w:tc>
          <w:tcPr>
            <w:tcW w:w="700" w:type="pct"/>
            <w:shd w:val="clear" w:color="auto" w:fill="E4E9F3"/>
          </w:tcPr>
          <w:p w14:paraId="77EFCEF9" w14:textId="4D0FDFCE" w:rsidR="008F6E78" w:rsidRPr="003E3C14" w:rsidRDefault="00E732EA" w:rsidP="00B30536">
            <w:pPr>
              <w:jc w:val="right"/>
              <w:rPr>
                <w:b/>
                <w:sz w:val="20"/>
                <w:szCs w:val="20"/>
              </w:rPr>
            </w:pPr>
            <w:r w:rsidRPr="003E3C14">
              <w:rPr>
                <w:b/>
                <w:sz w:val="20"/>
                <w:szCs w:val="20"/>
              </w:rPr>
              <w:t>9</w:t>
            </w:r>
          </w:p>
        </w:tc>
        <w:tc>
          <w:tcPr>
            <w:tcW w:w="700" w:type="pct"/>
            <w:shd w:val="clear" w:color="auto" w:fill="E4E9F3"/>
          </w:tcPr>
          <w:p w14:paraId="45E41460" w14:textId="3FAE3EF1" w:rsidR="008F6E78" w:rsidRPr="003E3C14" w:rsidRDefault="002D06EB" w:rsidP="00B30536">
            <w:pPr>
              <w:jc w:val="right"/>
              <w:rPr>
                <w:b/>
                <w:sz w:val="20"/>
                <w:szCs w:val="20"/>
              </w:rPr>
            </w:pPr>
            <w:r w:rsidRPr="003E3C14">
              <w:rPr>
                <w:b/>
                <w:sz w:val="20"/>
                <w:szCs w:val="20"/>
              </w:rPr>
              <w:t>0</w:t>
            </w:r>
          </w:p>
        </w:tc>
        <w:tc>
          <w:tcPr>
            <w:tcW w:w="700" w:type="pct"/>
            <w:shd w:val="clear" w:color="auto" w:fill="E4E9F3"/>
          </w:tcPr>
          <w:p w14:paraId="59EE92B2" w14:textId="5CC428C3" w:rsidR="008F6E78" w:rsidRPr="003E3C14" w:rsidRDefault="002D06EB" w:rsidP="00B30536">
            <w:pPr>
              <w:jc w:val="right"/>
              <w:rPr>
                <w:b/>
                <w:sz w:val="20"/>
                <w:szCs w:val="20"/>
              </w:rPr>
            </w:pPr>
            <w:r w:rsidRPr="003E3C14">
              <w:rPr>
                <w:b/>
                <w:sz w:val="20"/>
                <w:szCs w:val="20"/>
              </w:rPr>
              <w:t>0</w:t>
            </w:r>
          </w:p>
        </w:tc>
        <w:tc>
          <w:tcPr>
            <w:tcW w:w="700" w:type="pct"/>
            <w:shd w:val="clear" w:color="auto" w:fill="E4E9F3"/>
          </w:tcPr>
          <w:p w14:paraId="307E9F1E" w14:textId="77777777" w:rsidR="008F6E78" w:rsidRPr="003E3C14" w:rsidRDefault="00BF0891" w:rsidP="00B30536">
            <w:pPr>
              <w:jc w:val="right"/>
              <w:rPr>
                <w:b/>
                <w:sz w:val="20"/>
                <w:szCs w:val="20"/>
              </w:rPr>
            </w:pPr>
            <w:r w:rsidRPr="003E3C14">
              <w:rPr>
                <w:b/>
                <w:sz w:val="20"/>
                <w:szCs w:val="20"/>
              </w:rPr>
              <w:t>73</w:t>
            </w:r>
          </w:p>
        </w:tc>
      </w:tr>
    </w:tbl>
    <w:p w14:paraId="222C8822" w14:textId="07D0B2B4" w:rsidR="008E35C9" w:rsidRPr="003E3C14" w:rsidRDefault="00E861B7" w:rsidP="00B30536">
      <w:pPr>
        <w:spacing w:before="240" w:after="240" w:line="240" w:lineRule="auto"/>
      </w:pPr>
      <w:r w:rsidRPr="00501ED4">
        <w:rPr>
          <w:rFonts w:cs="Arial"/>
          <w:lang w:val="es-ES"/>
        </w:rPr>
        <w:t>Tabla 4: TAP de Empleo: progreso de las acciones por objetivo en 2022-2023</w:t>
      </w:r>
    </w:p>
    <w:tbl>
      <w:tblPr>
        <w:tblStyle w:val="TableGrid"/>
        <w:tblW w:w="5000" w:type="pct"/>
        <w:jc w:val="righ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4: Employment TAP – progress of actions by objective in 2022-2023"/>
      </w:tblPr>
      <w:tblGrid>
        <w:gridCol w:w="1448"/>
        <w:gridCol w:w="1478"/>
        <w:gridCol w:w="1262"/>
        <w:gridCol w:w="1262"/>
        <w:gridCol w:w="1264"/>
        <w:gridCol w:w="1264"/>
        <w:gridCol w:w="1264"/>
      </w:tblGrid>
      <w:tr w:rsidR="00A90356" w:rsidRPr="003E3C14" w14:paraId="600E313B" w14:textId="77777777" w:rsidTr="00A90356">
        <w:trPr>
          <w:jc w:val="right"/>
        </w:trPr>
        <w:tc>
          <w:tcPr>
            <w:tcW w:w="783" w:type="pct"/>
            <w:tcBorders>
              <w:top w:val="nil"/>
              <w:bottom w:val="single" w:sz="4" w:space="0" w:color="auto"/>
              <w:right w:val="single" w:sz="4" w:space="0" w:color="FFFFFF" w:themeColor="background1"/>
            </w:tcBorders>
            <w:shd w:val="clear" w:color="auto" w:fill="6C1740"/>
          </w:tcPr>
          <w:p w14:paraId="43718EB0" w14:textId="7320F273" w:rsidR="00A90356" w:rsidRPr="003E3C14" w:rsidRDefault="00A90356" w:rsidP="00A90356">
            <w:pPr>
              <w:rPr>
                <w:b/>
                <w:sz w:val="20"/>
                <w:szCs w:val="20"/>
              </w:rPr>
            </w:pPr>
            <w:bookmarkStart w:id="10" w:name="Title_04"/>
            <w:bookmarkEnd w:id="10"/>
            <w:r w:rsidRPr="00A90356">
              <w:rPr>
                <w:rFonts w:eastAsia="Times New Roman" w:cs="Calibri"/>
                <w:b/>
                <w:bCs/>
                <w:color w:val="FFFFFF" w:themeColor="background1"/>
                <w:lang w:val="es" w:eastAsia="en-AU"/>
              </w:rPr>
              <w:t>Objetivo</w:t>
            </w:r>
          </w:p>
        </w:tc>
        <w:tc>
          <w:tcPr>
            <w:tcW w:w="799" w:type="pct"/>
            <w:tcBorders>
              <w:top w:val="nil"/>
              <w:left w:val="single" w:sz="4" w:space="0" w:color="FFFFFF" w:themeColor="background1"/>
              <w:bottom w:val="single" w:sz="4" w:space="0" w:color="auto"/>
              <w:right w:val="single" w:sz="4" w:space="0" w:color="FFFFFF" w:themeColor="background1"/>
            </w:tcBorders>
            <w:shd w:val="clear" w:color="auto" w:fill="6C1740"/>
          </w:tcPr>
          <w:p w14:paraId="767BBDA4" w14:textId="3D72F0CE" w:rsidR="00A90356" w:rsidRPr="003E3C14" w:rsidRDefault="00A90356" w:rsidP="00A85829">
            <w:pPr>
              <w:jc w:val="right"/>
              <w:rPr>
                <w:b/>
                <w:sz w:val="20"/>
                <w:szCs w:val="20"/>
              </w:rPr>
            </w:pPr>
            <w:r w:rsidRPr="00BC2F9E">
              <w:rPr>
                <w:rFonts w:eastAsia="Times New Roman" w:cs="Calibri"/>
                <w:b/>
                <w:bCs/>
                <w:color w:val="FFFFFF" w:themeColor="background1"/>
                <w:lang w:val="es" w:eastAsia="en-AU"/>
              </w:rPr>
              <w:t>Completada</w:t>
            </w:r>
          </w:p>
        </w:tc>
        <w:tc>
          <w:tcPr>
            <w:tcW w:w="683" w:type="pct"/>
            <w:tcBorders>
              <w:top w:val="nil"/>
              <w:left w:val="single" w:sz="4" w:space="0" w:color="FFFFFF" w:themeColor="background1"/>
              <w:bottom w:val="single" w:sz="4" w:space="0" w:color="auto"/>
              <w:right w:val="single" w:sz="4" w:space="0" w:color="FFFFFF" w:themeColor="background1"/>
            </w:tcBorders>
            <w:shd w:val="clear" w:color="auto" w:fill="6C1740"/>
          </w:tcPr>
          <w:p w14:paraId="04273644" w14:textId="20B312F0" w:rsidR="00A90356" w:rsidRPr="003E3C14" w:rsidRDefault="00A90356" w:rsidP="00A85829">
            <w:pPr>
              <w:jc w:val="right"/>
              <w:rPr>
                <w:b/>
                <w:sz w:val="20"/>
                <w:szCs w:val="20"/>
              </w:rPr>
            </w:pPr>
            <w:r w:rsidRPr="00BC2F9E">
              <w:rPr>
                <w:rFonts w:eastAsia="Times New Roman" w:cs="Calibri"/>
                <w:b/>
                <w:bCs/>
                <w:color w:val="FFFFFF" w:themeColor="background1"/>
                <w:lang w:val="es" w:eastAsia="en-AU"/>
              </w:rPr>
              <w:t>En curso</w:t>
            </w:r>
          </w:p>
        </w:tc>
        <w:tc>
          <w:tcPr>
            <w:tcW w:w="683" w:type="pct"/>
            <w:tcBorders>
              <w:top w:val="nil"/>
              <w:left w:val="single" w:sz="4" w:space="0" w:color="FFFFFF" w:themeColor="background1"/>
              <w:bottom w:val="single" w:sz="4" w:space="0" w:color="auto"/>
              <w:right w:val="single" w:sz="4" w:space="0" w:color="FFFFFF" w:themeColor="background1"/>
            </w:tcBorders>
            <w:shd w:val="clear" w:color="auto" w:fill="6C1740"/>
          </w:tcPr>
          <w:p w14:paraId="6F598194" w14:textId="05ADDB84" w:rsidR="00A90356" w:rsidRPr="003E3C14" w:rsidRDefault="00A90356" w:rsidP="00A85829">
            <w:pPr>
              <w:jc w:val="right"/>
              <w:rPr>
                <w:b/>
                <w:sz w:val="20"/>
                <w:szCs w:val="20"/>
              </w:rPr>
            </w:pPr>
            <w:r w:rsidRPr="00BC2F9E">
              <w:rPr>
                <w:rFonts w:eastAsia="Times New Roman" w:cs="Calibri"/>
                <w:b/>
                <w:bCs/>
                <w:color w:val="FFFFFF" w:themeColor="background1"/>
                <w:lang w:val="es" w:eastAsia="en-AU"/>
              </w:rPr>
              <w:t>Algunas demoras</w:t>
            </w:r>
          </w:p>
        </w:tc>
        <w:tc>
          <w:tcPr>
            <w:tcW w:w="684" w:type="pct"/>
            <w:tcBorders>
              <w:top w:val="nil"/>
              <w:left w:val="single" w:sz="4" w:space="0" w:color="FFFFFF" w:themeColor="background1"/>
              <w:bottom w:val="single" w:sz="4" w:space="0" w:color="auto"/>
              <w:right w:val="single" w:sz="4" w:space="0" w:color="FFFFFF" w:themeColor="background1"/>
            </w:tcBorders>
            <w:shd w:val="clear" w:color="auto" w:fill="6C1740"/>
          </w:tcPr>
          <w:p w14:paraId="57CCF16B" w14:textId="7FEB5225" w:rsidR="00A90356" w:rsidRPr="003E3C14" w:rsidRDefault="00A90356" w:rsidP="00A85829">
            <w:pPr>
              <w:jc w:val="right"/>
              <w:rPr>
                <w:b/>
                <w:sz w:val="20"/>
                <w:szCs w:val="20"/>
              </w:rPr>
            </w:pPr>
            <w:r w:rsidRPr="00BC2F9E">
              <w:rPr>
                <w:rFonts w:eastAsia="Times New Roman" w:cs="Calibri"/>
                <w:b/>
                <w:bCs/>
                <w:color w:val="FFFFFF" w:themeColor="background1"/>
                <w:lang w:val="es" w:eastAsia="en-AU"/>
              </w:rPr>
              <w:t>En pausa</w:t>
            </w:r>
          </w:p>
        </w:tc>
        <w:tc>
          <w:tcPr>
            <w:tcW w:w="684" w:type="pct"/>
            <w:tcBorders>
              <w:top w:val="nil"/>
              <w:left w:val="single" w:sz="4" w:space="0" w:color="FFFFFF" w:themeColor="background1"/>
              <w:bottom w:val="single" w:sz="4" w:space="0" w:color="auto"/>
              <w:right w:val="single" w:sz="4" w:space="0" w:color="FFFFFF" w:themeColor="background1"/>
            </w:tcBorders>
            <w:shd w:val="clear" w:color="auto" w:fill="6C1740"/>
          </w:tcPr>
          <w:p w14:paraId="6C566A03" w14:textId="07EBCE0F" w:rsidR="00A90356" w:rsidRPr="003E3C14" w:rsidRDefault="00A90356" w:rsidP="00A85829">
            <w:pPr>
              <w:jc w:val="right"/>
              <w:rPr>
                <w:b/>
                <w:sz w:val="20"/>
                <w:szCs w:val="20"/>
              </w:rPr>
            </w:pPr>
            <w:r w:rsidRPr="00BC2F9E">
              <w:rPr>
                <w:rFonts w:eastAsia="Times New Roman" w:cs="Calibri"/>
                <w:b/>
                <w:bCs/>
                <w:color w:val="FFFFFF" w:themeColor="background1"/>
                <w:lang w:val="es" w:eastAsia="en-AU"/>
              </w:rPr>
              <w:t>Inicio futuro</w:t>
            </w:r>
          </w:p>
        </w:tc>
        <w:tc>
          <w:tcPr>
            <w:tcW w:w="684" w:type="pct"/>
            <w:tcBorders>
              <w:top w:val="nil"/>
              <w:left w:val="single" w:sz="4" w:space="0" w:color="FFFFFF" w:themeColor="background1"/>
              <w:bottom w:val="single" w:sz="4" w:space="0" w:color="auto"/>
            </w:tcBorders>
            <w:shd w:val="clear" w:color="auto" w:fill="6C1740"/>
          </w:tcPr>
          <w:p w14:paraId="4A2DF49E" w14:textId="281B7C65" w:rsidR="00A90356" w:rsidRPr="003E3C14" w:rsidRDefault="00A90356" w:rsidP="00A85829">
            <w:pPr>
              <w:jc w:val="right"/>
              <w:rPr>
                <w:b/>
                <w:sz w:val="20"/>
                <w:szCs w:val="20"/>
              </w:rPr>
            </w:pPr>
            <w:r w:rsidRPr="00BC2F9E">
              <w:rPr>
                <w:b/>
                <w:color w:val="FFFFFF" w:themeColor="background1"/>
                <w:sz w:val="20"/>
                <w:szCs w:val="20"/>
              </w:rPr>
              <w:t>Total</w:t>
            </w:r>
          </w:p>
        </w:tc>
      </w:tr>
      <w:tr w:rsidR="00A90356" w:rsidRPr="003E3C14" w14:paraId="53AC3D9D" w14:textId="77777777" w:rsidTr="00A90356">
        <w:trPr>
          <w:jc w:val="right"/>
        </w:trPr>
        <w:tc>
          <w:tcPr>
            <w:tcW w:w="783" w:type="pct"/>
            <w:tcBorders>
              <w:top w:val="single" w:sz="4" w:space="0" w:color="auto"/>
            </w:tcBorders>
            <w:vAlign w:val="bottom"/>
          </w:tcPr>
          <w:p w14:paraId="1B838A7D" w14:textId="34AF0001" w:rsidR="00A90356" w:rsidRPr="003E3C14" w:rsidRDefault="00A90356" w:rsidP="008F6E78">
            <w:pPr>
              <w:rPr>
                <w:sz w:val="20"/>
                <w:szCs w:val="20"/>
              </w:rPr>
            </w:pPr>
            <w:r w:rsidRPr="004810AC">
              <w:rPr>
                <w:rFonts w:eastAsia="Times New Roman" w:cs="Calibri"/>
                <w:color w:val="000000"/>
                <w:lang w:val="es" w:eastAsia="en-AU"/>
              </w:rPr>
              <w:t>Objetivo 1</w:t>
            </w:r>
          </w:p>
        </w:tc>
        <w:tc>
          <w:tcPr>
            <w:tcW w:w="799" w:type="pct"/>
            <w:tcBorders>
              <w:top w:val="single" w:sz="4" w:space="0" w:color="auto"/>
            </w:tcBorders>
          </w:tcPr>
          <w:p w14:paraId="2064A006" w14:textId="00D053BC" w:rsidR="00A90356" w:rsidRPr="003E3C14" w:rsidRDefault="00A90356" w:rsidP="00A85829">
            <w:pPr>
              <w:jc w:val="right"/>
              <w:rPr>
                <w:sz w:val="20"/>
                <w:szCs w:val="20"/>
              </w:rPr>
            </w:pPr>
            <w:r w:rsidRPr="003E3C14">
              <w:rPr>
                <w:sz w:val="20"/>
                <w:szCs w:val="20"/>
              </w:rPr>
              <w:t>12</w:t>
            </w:r>
          </w:p>
        </w:tc>
        <w:tc>
          <w:tcPr>
            <w:tcW w:w="683" w:type="pct"/>
            <w:tcBorders>
              <w:top w:val="single" w:sz="4" w:space="0" w:color="auto"/>
            </w:tcBorders>
          </w:tcPr>
          <w:p w14:paraId="4F5BCC03" w14:textId="7509CE67" w:rsidR="00A90356" w:rsidRPr="003E3C14" w:rsidRDefault="00A90356" w:rsidP="00A85829">
            <w:pPr>
              <w:jc w:val="right"/>
              <w:rPr>
                <w:sz w:val="20"/>
                <w:szCs w:val="20"/>
              </w:rPr>
            </w:pPr>
            <w:r w:rsidRPr="003E3C14">
              <w:rPr>
                <w:sz w:val="20"/>
                <w:szCs w:val="20"/>
              </w:rPr>
              <w:t>28</w:t>
            </w:r>
          </w:p>
        </w:tc>
        <w:tc>
          <w:tcPr>
            <w:tcW w:w="683" w:type="pct"/>
            <w:tcBorders>
              <w:top w:val="single" w:sz="4" w:space="0" w:color="auto"/>
            </w:tcBorders>
          </w:tcPr>
          <w:p w14:paraId="0FAE7406" w14:textId="14404D31" w:rsidR="00A90356" w:rsidRPr="003E3C14" w:rsidRDefault="00A90356" w:rsidP="00A85829">
            <w:pPr>
              <w:jc w:val="right"/>
              <w:rPr>
                <w:sz w:val="20"/>
                <w:szCs w:val="20"/>
              </w:rPr>
            </w:pPr>
            <w:r w:rsidRPr="003E3C14">
              <w:rPr>
                <w:sz w:val="20"/>
                <w:szCs w:val="20"/>
              </w:rPr>
              <w:t>8</w:t>
            </w:r>
          </w:p>
        </w:tc>
        <w:tc>
          <w:tcPr>
            <w:tcW w:w="684" w:type="pct"/>
            <w:tcBorders>
              <w:top w:val="single" w:sz="4" w:space="0" w:color="auto"/>
            </w:tcBorders>
          </w:tcPr>
          <w:p w14:paraId="32A5B0FE" w14:textId="56C5D29D" w:rsidR="00A90356" w:rsidRPr="003E3C14" w:rsidRDefault="00A90356" w:rsidP="00A85829">
            <w:pPr>
              <w:jc w:val="right"/>
              <w:rPr>
                <w:sz w:val="20"/>
                <w:szCs w:val="20"/>
              </w:rPr>
            </w:pPr>
            <w:r w:rsidRPr="003E3C14">
              <w:rPr>
                <w:sz w:val="20"/>
                <w:szCs w:val="20"/>
              </w:rPr>
              <w:t>0</w:t>
            </w:r>
          </w:p>
        </w:tc>
        <w:tc>
          <w:tcPr>
            <w:tcW w:w="684" w:type="pct"/>
            <w:tcBorders>
              <w:top w:val="single" w:sz="4" w:space="0" w:color="auto"/>
            </w:tcBorders>
          </w:tcPr>
          <w:p w14:paraId="1983DD90" w14:textId="0A4D66D0" w:rsidR="00A90356" w:rsidRPr="003E3C14" w:rsidRDefault="00A90356" w:rsidP="00A85829">
            <w:pPr>
              <w:jc w:val="right"/>
              <w:rPr>
                <w:sz w:val="20"/>
                <w:szCs w:val="20"/>
              </w:rPr>
            </w:pPr>
            <w:r w:rsidRPr="003E3C14">
              <w:rPr>
                <w:sz w:val="20"/>
                <w:szCs w:val="20"/>
              </w:rPr>
              <w:t>0</w:t>
            </w:r>
          </w:p>
        </w:tc>
        <w:tc>
          <w:tcPr>
            <w:tcW w:w="684" w:type="pct"/>
            <w:tcBorders>
              <w:top w:val="single" w:sz="4" w:space="0" w:color="auto"/>
            </w:tcBorders>
          </w:tcPr>
          <w:p w14:paraId="72D79641" w14:textId="5828EE3D" w:rsidR="00A90356" w:rsidRPr="003E3C14" w:rsidRDefault="00A90356" w:rsidP="00A85829">
            <w:pPr>
              <w:jc w:val="right"/>
              <w:rPr>
                <w:sz w:val="20"/>
                <w:szCs w:val="20"/>
              </w:rPr>
            </w:pPr>
            <w:r w:rsidRPr="003E3C14">
              <w:rPr>
                <w:sz w:val="20"/>
                <w:szCs w:val="20"/>
              </w:rPr>
              <w:t>48</w:t>
            </w:r>
          </w:p>
        </w:tc>
      </w:tr>
      <w:tr w:rsidR="00A90356" w:rsidRPr="003E3C14" w14:paraId="0E42F2F1" w14:textId="77777777" w:rsidTr="00A90356">
        <w:trPr>
          <w:jc w:val="right"/>
        </w:trPr>
        <w:tc>
          <w:tcPr>
            <w:tcW w:w="783" w:type="pct"/>
            <w:shd w:val="clear" w:color="auto" w:fill="FAF9F8"/>
            <w:vAlign w:val="bottom"/>
          </w:tcPr>
          <w:p w14:paraId="11C48F92" w14:textId="6C1DC91B" w:rsidR="00A90356" w:rsidRPr="003E3C14" w:rsidRDefault="00A90356" w:rsidP="008F6E78">
            <w:pPr>
              <w:rPr>
                <w:sz w:val="20"/>
                <w:szCs w:val="20"/>
              </w:rPr>
            </w:pPr>
            <w:r w:rsidRPr="004810AC">
              <w:rPr>
                <w:rFonts w:eastAsia="Times New Roman" w:cs="Calibri"/>
                <w:color w:val="000000"/>
                <w:lang w:val="es" w:eastAsia="en-AU"/>
              </w:rPr>
              <w:t>Objetivo 2</w:t>
            </w:r>
          </w:p>
        </w:tc>
        <w:tc>
          <w:tcPr>
            <w:tcW w:w="799" w:type="pct"/>
            <w:shd w:val="clear" w:color="auto" w:fill="FAF9F8"/>
          </w:tcPr>
          <w:p w14:paraId="3CC49E38" w14:textId="641DB4B4" w:rsidR="00A90356" w:rsidRPr="003E3C14" w:rsidRDefault="00A90356" w:rsidP="00A85829">
            <w:pPr>
              <w:jc w:val="right"/>
              <w:rPr>
                <w:sz w:val="20"/>
                <w:szCs w:val="20"/>
              </w:rPr>
            </w:pPr>
            <w:r w:rsidRPr="003E3C14">
              <w:rPr>
                <w:sz w:val="20"/>
                <w:szCs w:val="20"/>
              </w:rPr>
              <w:t>5</w:t>
            </w:r>
          </w:p>
        </w:tc>
        <w:tc>
          <w:tcPr>
            <w:tcW w:w="683" w:type="pct"/>
            <w:shd w:val="clear" w:color="auto" w:fill="FAF9F8"/>
          </w:tcPr>
          <w:p w14:paraId="5DF69D70" w14:textId="7963C340" w:rsidR="00A90356" w:rsidRPr="003E3C14" w:rsidRDefault="00A90356" w:rsidP="00A85829">
            <w:pPr>
              <w:jc w:val="right"/>
              <w:rPr>
                <w:sz w:val="20"/>
                <w:szCs w:val="20"/>
              </w:rPr>
            </w:pPr>
            <w:r w:rsidRPr="003E3C14">
              <w:rPr>
                <w:sz w:val="20"/>
                <w:szCs w:val="20"/>
              </w:rPr>
              <w:t>19</w:t>
            </w:r>
          </w:p>
        </w:tc>
        <w:tc>
          <w:tcPr>
            <w:tcW w:w="683" w:type="pct"/>
            <w:shd w:val="clear" w:color="auto" w:fill="FAF9F8"/>
          </w:tcPr>
          <w:p w14:paraId="5902BC62" w14:textId="3140F7EF" w:rsidR="00A90356" w:rsidRPr="003E3C14" w:rsidRDefault="00A90356" w:rsidP="00A85829">
            <w:pPr>
              <w:jc w:val="right"/>
              <w:rPr>
                <w:sz w:val="20"/>
                <w:szCs w:val="20"/>
              </w:rPr>
            </w:pPr>
            <w:r w:rsidRPr="003E3C14">
              <w:rPr>
                <w:sz w:val="20"/>
                <w:szCs w:val="20"/>
              </w:rPr>
              <w:t>1</w:t>
            </w:r>
          </w:p>
        </w:tc>
        <w:tc>
          <w:tcPr>
            <w:tcW w:w="684" w:type="pct"/>
            <w:shd w:val="clear" w:color="auto" w:fill="FAF9F8"/>
          </w:tcPr>
          <w:p w14:paraId="5901EE9E" w14:textId="0A8DF466" w:rsidR="00A90356" w:rsidRPr="003E3C14" w:rsidRDefault="00A90356" w:rsidP="00A85829">
            <w:pPr>
              <w:jc w:val="right"/>
              <w:rPr>
                <w:sz w:val="20"/>
                <w:szCs w:val="20"/>
              </w:rPr>
            </w:pPr>
            <w:r w:rsidRPr="003E3C14">
              <w:rPr>
                <w:sz w:val="20"/>
                <w:szCs w:val="20"/>
              </w:rPr>
              <w:t>0</w:t>
            </w:r>
          </w:p>
        </w:tc>
        <w:tc>
          <w:tcPr>
            <w:tcW w:w="684" w:type="pct"/>
            <w:shd w:val="clear" w:color="auto" w:fill="FAF9F8"/>
          </w:tcPr>
          <w:p w14:paraId="3A2BF645" w14:textId="55E3E6FD" w:rsidR="00A90356" w:rsidRPr="003E3C14" w:rsidRDefault="00A90356" w:rsidP="00A85829">
            <w:pPr>
              <w:jc w:val="right"/>
              <w:rPr>
                <w:sz w:val="20"/>
                <w:szCs w:val="20"/>
              </w:rPr>
            </w:pPr>
            <w:r w:rsidRPr="003E3C14">
              <w:rPr>
                <w:sz w:val="20"/>
                <w:szCs w:val="20"/>
              </w:rPr>
              <w:t>0</w:t>
            </w:r>
          </w:p>
        </w:tc>
        <w:tc>
          <w:tcPr>
            <w:tcW w:w="684" w:type="pct"/>
            <w:shd w:val="clear" w:color="auto" w:fill="FAF9F8"/>
          </w:tcPr>
          <w:p w14:paraId="43938ADC" w14:textId="56102FA3" w:rsidR="00A90356" w:rsidRPr="003E3C14" w:rsidRDefault="00A90356" w:rsidP="00A85829">
            <w:pPr>
              <w:jc w:val="right"/>
              <w:rPr>
                <w:sz w:val="20"/>
                <w:szCs w:val="20"/>
              </w:rPr>
            </w:pPr>
            <w:r w:rsidRPr="003E3C14">
              <w:rPr>
                <w:sz w:val="20"/>
                <w:szCs w:val="20"/>
              </w:rPr>
              <w:t>25</w:t>
            </w:r>
          </w:p>
        </w:tc>
      </w:tr>
      <w:tr w:rsidR="00FD75A9" w:rsidRPr="003E3C14" w14:paraId="339FBA49" w14:textId="77777777" w:rsidTr="00A90356">
        <w:trPr>
          <w:jc w:val="right"/>
        </w:trPr>
        <w:tc>
          <w:tcPr>
            <w:tcW w:w="783" w:type="pct"/>
            <w:shd w:val="clear" w:color="auto" w:fill="E4E9F3"/>
          </w:tcPr>
          <w:p w14:paraId="396EB2EF" w14:textId="1BC47E58" w:rsidR="008F6E78" w:rsidRPr="003E3C14" w:rsidRDefault="00A90356" w:rsidP="008F6E78">
            <w:pPr>
              <w:rPr>
                <w:b/>
                <w:sz w:val="20"/>
                <w:szCs w:val="20"/>
              </w:rPr>
            </w:pPr>
            <w:r w:rsidRPr="004810AC">
              <w:rPr>
                <w:rFonts w:eastAsia="Times New Roman" w:cs="Calibri"/>
                <w:b/>
                <w:bCs/>
                <w:color w:val="000000"/>
                <w:lang w:val="es" w:eastAsia="en-AU"/>
              </w:rPr>
              <w:t>Total</w:t>
            </w:r>
          </w:p>
        </w:tc>
        <w:tc>
          <w:tcPr>
            <w:tcW w:w="799" w:type="pct"/>
            <w:shd w:val="clear" w:color="auto" w:fill="E4E9F3"/>
          </w:tcPr>
          <w:p w14:paraId="66D35B2E" w14:textId="6C1F6670" w:rsidR="008F6E78" w:rsidRPr="003E3C14" w:rsidRDefault="002D06EB" w:rsidP="00A85829">
            <w:pPr>
              <w:jc w:val="right"/>
              <w:rPr>
                <w:b/>
                <w:sz w:val="20"/>
                <w:szCs w:val="20"/>
              </w:rPr>
            </w:pPr>
            <w:r w:rsidRPr="003E3C14">
              <w:rPr>
                <w:b/>
                <w:sz w:val="20"/>
                <w:szCs w:val="20"/>
              </w:rPr>
              <w:t>17</w:t>
            </w:r>
          </w:p>
        </w:tc>
        <w:tc>
          <w:tcPr>
            <w:tcW w:w="683" w:type="pct"/>
            <w:shd w:val="clear" w:color="auto" w:fill="E4E9F3"/>
          </w:tcPr>
          <w:p w14:paraId="555DE42D" w14:textId="01DE0960" w:rsidR="008F6E78" w:rsidRPr="003E3C14" w:rsidRDefault="00E732EA" w:rsidP="00A85829">
            <w:pPr>
              <w:jc w:val="right"/>
              <w:rPr>
                <w:b/>
                <w:sz w:val="20"/>
                <w:szCs w:val="20"/>
              </w:rPr>
            </w:pPr>
            <w:r w:rsidRPr="003E3C14">
              <w:rPr>
                <w:b/>
                <w:sz w:val="20"/>
                <w:szCs w:val="20"/>
              </w:rPr>
              <w:t>47</w:t>
            </w:r>
          </w:p>
        </w:tc>
        <w:tc>
          <w:tcPr>
            <w:tcW w:w="683" w:type="pct"/>
            <w:shd w:val="clear" w:color="auto" w:fill="E4E9F3"/>
          </w:tcPr>
          <w:p w14:paraId="0E0784D7" w14:textId="3E1A60AC" w:rsidR="008F6E78" w:rsidRPr="003E3C14" w:rsidRDefault="00E732EA" w:rsidP="00A85829">
            <w:pPr>
              <w:jc w:val="right"/>
              <w:rPr>
                <w:b/>
                <w:sz w:val="20"/>
                <w:szCs w:val="20"/>
              </w:rPr>
            </w:pPr>
            <w:r w:rsidRPr="003E3C14">
              <w:rPr>
                <w:b/>
                <w:sz w:val="20"/>
                <w:szCs w:val="20"/>
              </w:rPr>
              <w:t>9</w:t>
            </w:r>
          </w:p>
        </w:tc>
        <w:tc>
          <w:tcPr>
            <w:tcW w:w="684" w:type="pct"/>
            <w:shd w:val="clear" w:color="auto" w:fill="E4E9F3"/>
          </w:tcPr>
          <w:p w14:paraId="517FF48F" w14:textId="794A6643" w:rsidR="008F6E78" w:rsidRPr="003E3C14" w:rsidRDefault="002D06EB" w:rsidP="00A85829">
            <w:pPr>
              <w:jc w:val="right"/>
              <w:rPr>
                <w:b/>
                <w:sz w:val="20"/>
                <w:szCs w:val="20"/>
              </w:rPr>
            </w:pPr>
            <w:r w:rsidRPr="003E3C14">
              <w:rPr>
                <w:b/>
                <w:sz w:val="20"/>
                <w:szCs w:val="20"/>
              </w:rPr>
              <w:t>0</w:t>
            </w:r>
          </w:p>
        </w:tc>
        <w:tc>
          <w:tcPr>
            <w:tcW w:w="684" w:type="pct"/>
            <w:shd w:val="clear" w:color="auto" w:fill="E4E9F3"/>
          </w:tcPr>
          <w:p w14:paraId="34D60497" w14:textId="77327FCE" w:rsidR="008F6E78" w:rsidRPr="003E3C14" w:rsidRDefault="002D06EB" w:rsidP="00A85829">
            <w:pPr>
              <w:jc w:val="right"/>
              <w:rPr>
                <w:b/>
                <w:sz w:val="20"/>
                <w:szCs w:val="20"/>
              </w:rPr>
            </w:pPr>
            <w:r w:rsidRPr="003E3C14">
              <w:rPr>
                <w:b/>
                <w:sz w:val="20"/>
                <w:szCs w:val="20"/>
              </w:rPr>
              <w:t>0</w:t>
            </w:r>
          </w:p>
        </w:tc>
        <w:tc>
          <w:tcPr>
            <w:tcW w:w="684" w:type="pct"/>
            <w:shd w:val="clear" w:color="auto" w:fill="E4E9F3"/>
          </w:tcPr>
          <w:p w14:paraId="117AEB40" w14:textId="77777777" w:rsidR="008F6E78" w:rsidRPr="003E3C14" w:rsidRDefault="00BF0891" w:rsidP="00A85829">
            <w:pPr>
              <w:jc w:val="right"/>
              <w:rPr>
                <w:b/>
                <w:sz w:val="20"/>
                <w:szCs w:val="20"/>
              </w:rPr>
            </w:pPr>
            <w:r w:rsidRPr="003E3C14">
              <w:rPr>
                <w:b/>
                <w:sz w:val="20"/>
                <w:szCs w:val="20"/>
              </w:rPr>
              <w:t>73</w:t>
            </w:r>
          </w:p>
        </w:tc>
      </w:tr>
    </w:tbl>
    <w:p w14:paraId="0A14190C" w14:textId="77777777" w:rsidR="008E35C9" w:rsidRPr="003E3C14" w:rsidRDefault="008E35C9">
      <w:r w:rsidRPr="003E3C14">
        <w:br w:type="page"/>
      </w:r>
    </w:p>
    <w:p w14:paraId="3CBA0824" w14:textId="7CBE757E" w:rsidR="008E35C9" w:rsidRPr="003E3C14" w:rsidRDefault="004F66DF" w:rsidP="0094489E">
      <w:pPr>
        <w:pStyle w:val="Heading1"/>
      </w:pPr>
      <w:bookmarkStart w:id="11" w:name="_Toc153314032"/>
      <w:r w:rsidRPr="00501ED4">
        <w:rPr>
          <w:rFonts w:cs="Arial"/>
          <w:lang w:val="es-ES"/>
        </w:rPr>
        <w:lastRenderedPageBreak/>
        <w:t>Plan de Acción Específica de Actitudes en la Comunidad</w:t>
      </w:r>
      <w:bookmarkEnd w:id="11"/>
    </w:p>
    <w:p w14:paraId="25168A5F" w14:textId="365F8B45" w:rsidR="00DA227A" w:rsidRPr="003E3C14" w:rsidRDefault="004F66DF" w:rsidP="00515A1C">
      <w:pPr>
        <w:pStyle w:val="Heading2"/>
        <w:pBdr>
          <w:top w:val="none" w:sz="0" w:space="0" w:color="auto"/>
        </w:pBdr>
      </w:pPr>
      <w:bookmarkStart w:id="12" w:name="_Toc153314033"/>
      <w:r w:rsidRPr="00501ED4">
        <w:rPr>
          <w:rFonts w:cs="Arial"/>
          <w:lang w:val="es-ES"/>
        </w:rPr>
        <w:t>Introducción</w:t>
      </w:r>
      <w:bookmarkEnd w:id="12"/>
      <w:r w:rsidR="008E35C9" w:rsidRPr="003E3C14">
        <w:t xml:space="preserve"> </w:t>
      </w:r>
    </w:p>
    <w:p w14:paraId="651A1034" w14:textId="77777777" w:rsidR="004F6E5B" w:rsidRPr="00501ED4" w:rsidRDefault="004F6E5B" w:rsidP="004F6E5B">
      <w:pPr>
        <w:spacing w:before="240" w:after="240" w:line="240" w:lineRule="auto"/>
        <w:rPr>
          <w:rFonts w:cs="Arial"/>
          <w:lang w:val="es-ES"/>
        </w:rPr>
      </w:pPr>
      <w:r w:rsidRPr="00501ED4">
        <w:rPr>
          <w:rFonts w:cs="Arial"/>
          <w:lang w:val="es-ES"/>
        </w:rPr>
        <w:t xml:space="preserve">El TAP de Actitudes en la Comunidad está diseñado para impulsar el progreso conforme al Área de Resultados de Actitudes en la Comunidad de la ADS. </w:t>
      </w:r>
    </w:p>
    <w:p w14:paraId="33EC8A3C" w14:textId="77777777" w:rsidR="004F6E5B" w:rsidRPr="00501ED4" w:rsidRDefault="004F6E5B" w:rsidP="004F6E5B">
      <w:pPr>
        <w:spacing w:before="240" w:after="240" w:line="240" w:lineRule="auto"/>
        <w:rPr>
          <w:rFonts w:cs="Arial"/>
          <w:lang w:val="es-ES"/>
        </w:rPr>
      </w:pPr>
      <w:r w:rsidRPr="00501ED4">
        <w:rPr>
          <w:rFonts w:cs="Arial"/>
          <w:lang w:val="es-ES"/>
        </w:rPr>
        <w:t>Esta Área de Resultados tiene por objetivo garantizar que mejoren las actitudes en la comunidad y permitir que las personas con discapacidad tengan igualdad, inclusión y participación plenas en la sociedad.</w:t>
      </w:r>
    </w:p>
    <w:p w14:paraId="147FF67E" w14:textId="77777777" w:rsidR="004F6E5B" w:rsidRPr="00501ED4" w:rsidRDefault="004F6E5B" w:rsidP="004F6E5B">
      <w:pPr>
        <w:spacing w:before="240" w:after="240" w:line="240" w:lineRule="auto"/>
        <w:rPr>
          <w:rFonts w:cs="Arial"/>
          <w:lang w:val="es-ES"/>
        </w:rPr>
      </w:pPr>
      <w:r w:rsidRPr="00501ED4">
        <w:rPr>
          <w:rFonts w:cs="Arial"/>
          <w:lang w:val="es-ES"/>
        </w:rPr>
        <w:t xml:space="preserve">En el TAP de </w:t>
      </w:r>
      <w:r>
        <w:rPr>
          <w:rFonts w:cs="Arial"/>
          <w:lang w:val="es-ES"/>
        </w:rPr>
        <w:t>Actitudes en la Comunidad</w:t>
      </w:r>
      <w:r w:rsidRPr="00501ED4">
        <w:rPr>
          <w:rFonts w:cs="Arial"/>
          <w:lang w:val="es-ES"/>
        </w:rPr>
        <w:t>, hay 63 acciones sobre las que se informa en el gobierno australiano y los gobiernos estatales y territoriales para el período 2022-2023</w:t>
      </w:r>
      <w:r>
        <w:rPr>
          <w:rFonts w:cs="Arial"/>
          <w:lang w:val="es-ES"/>
        </w:rPr>
        <w:t>.</w:t>
      </w:r>
    </w:p>
    <w:p w14:paraId="1A3101AD" w14:textId="0C1FF952" w:rsidR="004F6E5B" w:rsidRPr="003E3C14" w:rsidRDefault="004F6E5B" w:rsidP="004F6E5B">
      <w:pPr>
        <w:spacing w:before="240" w:after="240" w:line="240" w:lineRule="auto"/>
      </w:pPr>
      <w:r w:rsidRPr="00501ED4">
        <w:rPr>
          <w:rFonts w:cs="Arial"/>
          <w:lang w:val="es-ES"/>
        </w:rPr>
        <w:t>Están incluidas acciones que desarrollarán confianza sobre la discapacidad en profesionales clave, brindarán participación y actividades educativas en la comunidad, y producirán recursos de capacitación para el personal en la primera línea, con el fin de mejorar su entendimiento sobre la discapacidad.</w:t>
      </w:r>
    </w:p>
    <w:p w14:paraId="02B52D26" w14:textId="3B3F79A8" w:rsidR="008E35C9" w:rsidRPr="003E3C14" w:rsidRDefault="004F66DF" w:rsidP="0039316A">
      <w:pPr>
        <w:pStyle w:val="Heading2"/>
      </w:pPr>
      <w:bookmarkStart w:id="13" w:name="_Toc153314034"/>
      <w:r w:rsidRPr="00501ED4">
        <w:rPr>
          <w:rFonts w:cs="Arial"/>
          <w:lang w:val="es-ES"/>
        </w:rPr>
        <w:t>Objetivos</w:t>
      </w:r>
      <w:bookmarkEnd w:id="13"/>
      <w:r w:rsidR="008E35C9" w:rsidRPr="003E3C14">
        <w:t xml:space="preserve"> </w:t>
      </w:r>
    </w:p>
    <w:p w14:paraId="2358098E" w14:textId="77777777" w:rsidR="004F6E5B" w:rsidRPr="004F6E5B" w:rsidRDefault="004F6E5B" w:rsidP="00B709F1">
      <w:pPr>
        <w:pStyle w:val="ListParagraph"/>
        <w:numPr>
          <w:ilvl w:val="0"/>
          <w:numId w:val="22"/>
        </w:numPr>
        <w:spacing w:before="120" w:after="120" w:line="240" w:lineRule="auto"/>
        <w:contextualSpacing w:val="0"/>
        <w:rPr>
          <w:rFonts w:cs="Arial"/>
          <w:lang w:val="es-ES"/>
        </w:rPr>
      </w:pPr>
      <w:r w:rsidRPr="004F6E5B">
        <w:rPr>
          <w:rFonts w:cs="Arial"/>
          <w:lang w:val="es-ES"/>
        </w:rPr>
        <w:t>Los empleadores valoran la contribución que las personas con discapacidad aportan a la fuerza laboral, y reconocen los beneficios de emplear personas con discapacidad.</w:t>
      </w:r>
    </w:p>
    <w:p w14:paraId="03734769" w14:textId="117D7D12" w:rsidR="004F6E5B" w:rsidRPr="004F6E5B" w:rsidRDefault="004F6E5B" w:rsidP="00B709F1">
      <w:pPr>
        <w:pStyle w:val="ListParagraph"/>
        <w:numPr>
          <w:ilvl w:val="0"/>
          <w:numId w:val="22"/>
        </w:numPr>
        <w:spacing w:before="120" w:after="120" w:line="240" w:lineRule="auto"/>
        <w:contextualSpacing w:val="0"/>
        <w:rPr>
          <w:rFonts w:cs="Arial"/>
          <w:lang w:val="es-ES"/>
        </w:rPr>
      </w:pPr>
      <w:r w:rsidRPr="004F6E5B">
        <w:rPr>
          <w:rFonts w:cs="Arial"/>
          <w:lang w:val="es-ES"/>
        </w:rPr>
        <w:t>Las fuerzas laborales profesionales clave pueden responder de manera segura y positiva a las personas con discapacidad.</w:t>
      </w:r>
    </w:p>
    <w:p w14:paraId="78872ACF" w14:textId="5C870EE8" w:rsidR="004F6E5B" w:rsidRPr="004F6E5B" w:rsidRDefault="004F6E5B" w:rsidP="00B709F1">
      <w:pPr>
        <w:pStyle w:val="ListParagraph"/>
        <w:numPr>
          <w:ilvl w:val="0"/>
          <w:numId w:val="22"/>
        </w:numPr>
        <w:spacing w:before="120" w:after="120" w:line="240" w:lineRule="auto"/>
        <w:contextualSpacing w:val="0"/>
        <w:rPr>
          <w:rFonts w:cs="Arial"/>
          <w:lang w:val="es-ES"/>
        </w:rPr>
      </w:pPr>
      <w:r w:rsidRPr="004F6E5B">
        <w:rPr>
          <w:rFonts w:cs="Arial"/>
          <w:lang w:val="es-ES"/>
        </w:rPr>
        <w:t>Aumento en la representación de personas con discapacidad en puestos de liderazgo.</w:t>
      </w:r>
    </w:p>
    <w:p w14:paraId="3804986B" w14:textId="7D9F14B7" w:rsidR="004F6E5B" w:rsidRPr="003E3C14" w:rsidRDefault="004F6E5B" w:rsidP="00B709F1">
      <w:pPr>
        <w:pStyle w:val="ListParagraph"/>
        <w:numPr>
          <w:ilvl w:val="0"/>
          <w:numId w:val="22"/>
        </w:numPr>
        <w:spacing w:before="120" w:after="120" w:line="240" w:lineRule="auto"/>
        <w:contextualSpacing w:val="0"/>
      </w:pPr>
      <w:r w:rsidRPr="00501ED4">
        <w:rPr>
          <w:rFonts w:cs="Arial"/>
          <w:lang w:val="es-ES"/>
        </w:rPr>
        <w:t xml:space="preserve">Mejora de las actitudes en la comunidad para que tengan un efecto positivo en las Prioridades </w:t>
      </w:r>
      <w:r>
        <w:rPr>
          <w:rFonts w:cs="Arial"/>
          <w:lang w:val="es-ES"/>
        </w:rPr>
        <w:t xml:space="preserve">de las </w:t>
      </w:r>
      <w:r w:rsidRPr="00501ED4">
        <w:rPr>
          <w:rFonts w:cs="Arial"/>
          <w:lang w:val="es-ES"/>
        </w:rPr>
        <w:t>políticas de la Estrategia.</w:t>
      </w:r>
    </w:p>
    <w:p w14:paraId="7D038539" w14:textId="194D456F" w:rsidR="008E35C9" w:rsidRPr="003E3C14" w:rsidRDefault="0042344E" w:rsidP="0066071F">
      <w:pPr>
        <w:rPr>
          <w:b/>
          <w:bCs/>
          <w:color w:val="6C1740"/>
          <w:sz w:val="94"/>
          <w:szCs w:val="94"/>
        </w:rPr>
      </w:pPr>
      <w:r w:rsidRPr="0042344E">
        <w:rPr>
          <w:b/>
          <w:bCs/>
          <w:color w:val="6C1740"/>
          <w:sz w:val="94"/>
          <w:szCs w:val="94"/>
        </w:rPr>
        <w:lastRenderedPageBreak/>
        <w:t>TAP de Actitudes en la Comunidad</w:t>
      </w:r>
    </w:p>
    <w:p w14:paraId="0F92551D" w14:textId="6B818427" w:rsidR="008E35C9" w:rsidRPr="003E3C14" w:rsidRDefault="009D524E" w:rsidP="00A64246">
      <w:pPr>
        <w:spacing w:before="240" w:after="240" w:line="240" w:lineRule="auto"/>
      </w:pPr>
      <w:r w:rsidRPr="00501ED4">
        <w:rPr>
          <w:rFonts w:cs="Arial"/>
          <w:lang w:val="es-ES"/>
        </w:rPr>
        <w:t>Tabl</w:t>
      </w:r>
      <w:r>
        <w:rPr>
          <w:rFonts w:cs="Arial"/>
          <w:lang w:val="es-ES"/>
        </w:rPr>
        <w:t>a</w:t>
      </w:r>
      <w:r w:rsidRPr="00501ED4">
        <w:rPr>
          <w:rFonts w:cs="Arial"/>
          <w:lang w:val="es-ES"/>
        </w:rPr>
        <w:t xml:space="preserve"> 5: TAP de Actitudes en la Comunidad: progreso de las acciones por gobierno en 2022-2023</w:t>
      </w:r>
    </w:p>
    <w:tbl>
      <w:tblPr>
        <w:tblW w:w="5000" w:type="pct"/>
        <w:tblBorders>
          <w:insideH w:val="single" w:sz="4" w:space="0" w:color="auto"/>
          <w:insideV w:val="single" w:sz="4" w:space="0" w:color="FFFFFF" w:themeColor="background1"/>
        </w:tblBorders>
        <w:tblLayout w:type="fixed"/>
        <w:tblCellMar>
          <w:top w:w="115" w:type="dxa"/>
          <w:bottom w:w="115" w:type="dxa"/>
        </w:tblCellMar>
        <w:tblLook w:val="04A0" w:firstRow="1" w:lastRow="0" w:firstColumn="1" w:lastColumn="0" w:noHBand="0" w:noVBand="1"/>
        <w:tblDescription w:val="Table 5: Community Attitudes TAP – progress of actions by governments in 2022-2023"/>
      </w:tblPr>
      <w:tblGrid>
        <w:gridCol w:w="1479"/>
        <w:gridCol w:w="1510"/>
        <w:gridCol w:w="1079"/>
        <w:gridCol w:w="1294"/>
        <w:gridCol w:w="1294"/>
        <w:gridCol w:w="1294"/>
        <w:gridCol w:w="1292"/>
      </w:tblGrid>
      <w:tr w:rsidR="007559E9" w:rsidRPr="003E3C14" w14:paraId="542AF0E4" w14:textId="77777777" w:rsidTr="00386338">
        <w:trPr>
          <w:cantSplit/>
        </w:trPr>
        <w:tc>
          <w:tcPr>
            <w:tcW w:w="800" w:type="pct"/>
            <w:tcBorders>
              <w:bottom w:val="single" w:sz="4" w:space="0" w:color="auto"/>
            </w:tcBorders>
            <w:shd w:val="clear" w:color="auto" w:fill="6C1740"/>
            <w:noWrap/>
            <w:hideMark/>
          </w:tcPr>
          <w:p w14:paraId="5325089D" w14:textId="3021DFEA" w:rsidR="007559E9" w:rsidRPr="003E3C14" w:rsidRDefault="007559E9" w:rsidP="00AF7CD8">
            <w:pPr>
              <w:spacing w:after="0" w:line="240" w:lineRule="auto"/>
              <w:rPr>
                <w:rFonts w:eastAsia="Times New Roman" w:cs="Arial"/>
                <w:b/>
                <w:color w:val="FFFFFF" w:themeColor="background1"/>
                <w:sz w:val="20"/>
                <w:szCs w:val="20"/>
                <w:lang w:eastAsia="en-AU"/>
              </w:rPr>
            </w:pPr>
            <w:bookmarkStart w:id="14" w:name="Title_05"/>
            <w:bookmarkEnd w:id="14"/>
            <w:r w:rsidRPr="00BC2F9E">
              <w:rPr>
                <w:rFonts w:eastAsia="Times New Roman" w:cs="Calibri"/>
                <w:b/>
                <w:bCs/>
                <w:color w:val="FFFFFF" w:themeColor="background1"/>
                <w:lang w:val="es" w:eastAsia="en-AU"/>
              </w:rPr>
              <w:t>Gobierno</w:t>
            </w:r>
          </w:p>
        </w:tc>
        <w:tc>
          <w:tcPr>
            <w:tcW w:w="817" w:type="pct"/>
            <w:tcBorders>
              <w:bottom w:val="single" w:sz="4" w:space="0" w:color="auto"/>
            </w:tcBorders>
            <w:shd w:val="clear" w:color="auto" w:fill="6C1740"/>
            <w:hideMark/>
          </w:tcPr>
          <w:p w14:paraId="4EC8608D" w14:textId="4597EEFD" w:rsidR="007559E9" w:rsidRPr="003E3C14" w:rsidRDefault="007559E9" w:rsidP="00464AAF">
            <w:pPr>
              <w:spacing w:after="0" w:line="240" w:lineRule="auto"/>
              <w:rPr>
                <w:rFonts w:eastAsia="Times New Roman" w:cs="Arial"/>
                <w:b/>
                <w:color w:val="FFFFFF" w:themeColor="background1"/>
                <w:sz w:val="20"/>
                <w:szCs w:val="20"/>
                <w:lang w:eastAsia="en-AU"/>
              </w:rPr>
            </w:pPr>
            <w:r w:rsidRPr="00BC2F9E">
              <w:rPr>
                <w:rFonts w:eastAsia="Times New Roman" w:cs="Calibri"/>
                <w:b/>
                <w:bCs/>
                <w:color w:val="FFFFFF" w:themeColor="background1"/>
                <w:lang w:val="es" w:eastAsia="en-AU"/>
              </w:rPr>
              <w:t>Completada</w:t>
            </w:r>
          </w:p>
        </w:tc>
        <w:tc>
          <w:tcPr>
            <w:tcW w:w="584" w:type="pct"/>
            <w:tcBorders>
              <w:bottom w:val="single" w:sz="4" w:space="0" w:color="auto"/>
            </w:tcBorders>
            <w:shd w:val="clear" w:color="auto" w:fill="6C1740"/>
            <w:noWrap/>
            <w:hideMark/>
          </w:tcPr>
          <w:p w14:paraId="782CE22D" w14:textId="6402A9A6" w:rsidR="007559E9" w:rsidRPr="003E3C14" w:rsidRDefault="007559E9" w:rsidP="00AF7CD8">
            <w:pPr>
              <w:spacing w:after="0" w:line="240" w:lineRule="auto"/>
              <w:rPr>
                <w:rFonts w:eastAsia="Times New Roman" w:cs="Arial"/>
                <w:b/>
                <w:color w:val="FFFFFF" w:themeColor="background1"/>
                <w:sz w:val="20"/>
                <w:szCs w:val="20"/>
                <w:lang w:eastAsia="en-AU"/>
              </w:rPr>
            </w:pPr>
            <w:r w:rsidRPr="00BC2F9E">
              <w:rPr>
                <w:rFonts w:eastAsia="Times New Roman" w:cs="Calibri"/>
                <w:b/>
                <w:bCs/>
                <w:color w:val="FFFFFF" w:themeColor="background1"/>
                <w:lang w:val="es" w:eastAsia="en-AU"/>
              </w:rPr>
              <w:t>En curso</w:t>
            </w:r>
          </w:p>
        </w:tc>
        <w:tc>
          <w:tcPr>
            <w:tcW w:w="700" w:type="pct"/>
            <w:tcBorders>
              <w:bottom w:val="single" w:sz="4" w:space="0" w:color="auto"/>
            </w:tcBorders>
            <w:shd w:val="clear" w:color="auto" w:fill="6C1740"/>
            <w:noWrap/>
            <w:hideMark/>
          </w:tcPr>
          <w:p w14:paraId="6CEDDA32" w14:textId="26C58E87" w:rsidR="007559E9" w:rsidRPr="003E3C14" w:rsidRDefault="007559E9" w:rsidP="00AF7CD8">
            <w:pPr>
              <w:spacing w:after="0" w:line="240" w:lineRule="auto"/>
              <w:rPr>
                <w:rFonts w:eastAsia="Times New Roman" w:cs="Arial"/>
                <w:b/>
                <w:color w:val="FFFFFF" w:themeColor="background1"/>
                <w:sz w:val="20"/>
                <w:szCs w:val="20"/>
                <w:lang w:eastAsia="en-AU"/>
              </w:rPr>
            </w:pPr>
            <w:r w:rsidRPr="00BC2F9E">
              <w:rPr>
                <w:rFonts w:eastAsia="Times New Roman" w:cs="Calibri"/>
                <w:b/>
                <w:bCs/>
                <w:color w:val="FFFFFF" w:themeColor="background1"/>
                <w:lang w:val="es" w:eastAsia="en-AU"/>
              </w:rPr>
              <w:t>Algunas demoras</w:t>
            </w:r>
          </w:p>
        </w:tc>
        <w:tc>
          <w:tcPr>
            <w:tcW w:w="700" w:type="pct"/>
            <w:tcBorders>
              <w:bottom w:val="single" w:sz="4" w:space="0" w:color="auto"/>
            </w:tcBorders>
            <w:shd w:val="clear" w:color="auto" w:fill="6C1740"/>
            <w:noWrap/>
            <w:hideMark/>
          </w:tcPr>
          <w:p w14:paraId="7BD8A81F" w14:textId="188B5AE7" w:rsidR="007559E9" w:rsidRPr="003E3C14" w:rsidRDefault="007559E9" w:rsidP="00AF7CD8">
            <w:pPr>
              <w:spacing w:after="0" w:line="240" w:lineRule="auto"/>
              <w:rPr>
                <w:rFonts w:eastAsia="Times New Roman" w:cs="Arial"/>
                <w:b/>
                <w:color w:val="FFFFFF" w:themeColor="background1"/>
                <w:sz w:val="20"/>
                <w:szCs w:val="20"/>
                <w:lang w:eastAsia="en-AU"/>
              </w:rPr>
            </w:pPr>
            <w:r w:rsidRPr="00BC2F9E">
              <w:rPr>
                <w:rFonts w:eastAsia="Times New Roman" w:cs="Calibri"/>
                <w:b/>
                <w:bCs/>
                <w:color w:val="FFFFFF" w:themeColor="background1"/>
                <w:lang w:val="es" w:eastAsia="en-AU"/>
              </w:rPr>
              <w:t>En pausa</w:t>
            </w:r>
          </w:p>
        </w:tc>
        <w:tc>
          <w:tcPr>
            <w:tcW w:w="700" w:type="pct"/>
            <w:tcBorders>
              <w:bottom w:val="single" w:sz="4" w:space="0" w:color="auto"/>
            </w:tcBorders>
            <w:shd w:val="clear" w:color="auto" w:fill="6C1740"/>
            <w:noWrap/>
            <w:hideMark/>
          </w:tcPr>
          <w:p w14:paraId="41B6A61F" w14:textId="4F088189" w:rsidR="007559E9" w:rsidRPr="003E3C14" w:rsidRDefault="007559E9" w:rsidP="00AF7CD8">
            <w:pPr>
              <w:spacing w:after="0" w:line="240" w:lineRule="auto"/>
              <w:rPr>
                <w:rFonts w:eastAsia="Times New Roman" w:cs="Arial"/>
                <w:b/>
                <w:color w:val="FFFFFF" w:themeColor="background1"/>
                <w:sz w:val="20"/>
                <w:szCs w:val="20"/>
                <w:lang w:eastAsia="en-AU"/>
              </w:rPr>
            </w:pPr>
            <w:r w:rsidRPr="00BC2F9E">
              <w:rPr>
                <w:rFonts w:eastAsia="Times New Roman" w:cs="Calibri"/>
                <w:b/>
                <w:bCs/>
                <w:color w:val="FFFFFF" w:themeColor="background1"/>
                <w:lang w:val="es" w:eastAsia="en-AU"/>
              </w:rPr>
              <w:t>Inicio futuro</w:t>
            </w:r>
          </w:p>
        </w:tc>
        <w:tc>
          <w:tcPr>
            <w:tcW w:w="699" w:type="pct"/>
            <w:tcBorders>
              <w:bottom w:val="single" w:sz="4" w:space="0" w:color="auto"/>
            </w:tcBorders>
            <w:shd w:val="clear" w:color="auto" w:fill="6C1740"/>
            <w:noWrap/>
            <w:hideMark/>
          </w:tcPr>
          <w:p w14:paraId="170FCCA7" w14:textId="7D9203FB" w:rsidR="007559E9" w:rsidRPr="003E3C14" w:rsidRDefault="007559E9" w:rsidP="00AF7CD8">
            <w:pPr>
              <w:spacing w:after="0" w:line="240" w:lineRule="auto"/>
              <w:rPr>
                <w:rFonts w:eastAsia="Times New Roman" w:cs="Arial"/>
                <w:b/>
                <w:color w:val="FFFFFF" w:themeColor="background1"/>
                <w:sz w:val="20"/>
                <w:szCs w:val="20"/>
                <w:lang w:eastAsia="en-AU"/>
              </w:rPr>
            </w:pPr>
            <w:r w:rsidRPr="00BC2F9E">
              <w:rPr>
                <w:b/>
                <w:color w:val="FFFFFF" w:themeColor="background1"/>
                <w:sz w:val="20"/>
                <w:szCs w:val="20"/>
              </w:rPr>
              <w:t>Total</w:t>
            </w:r>
          </w:p>
        </w:tc>
      </w:tr>
      <w:tr w:rsidR="007559E9" w:rsidRPr="003E3C14" w14:paraId="69141F84" w14:textId="77777777" w:rsidTr="00386338">
        <w:trPr>
          <w:cantSplit/>
        </w:trPr>
        <w:tc>
          <w:tcPr>
            <w:tcW w:w="800" w:type="pct"/>
            <w:tcBorders>
              <w:top w:val="single" w:sz="4" w:space="0" w:color="auto"/>
              <w:bottom w:val="single" w:sz="4" w:space="0" w:color="auto"/>
              <w:right w:val="single" w:sz="4" w:space="0" w:color="auto"/>
            </w:tcBorders>
            <w:noWrap/>
            <w:hideMark/>
          </w:tcPr>
          <w:p w14:paraId="0E684CF2" w14:textId="0CA32AA4" w:rsidR="007559E9" w:rsidRPr="003E3C14" w:rsidRDefault="007559E9" w:rsidP="002A249B">
            <w:pPr>
              <w:spacing w:after="0" w:line="240" w:lineRule="auto"/>
              <w:rPr>
                <w:rFonts w:eastAsia="Times New Roman" w:cs="Arial"/>
                <w:color w:val="000000"/>
                <w:sz w:val="20"/>
                <w:szCs w:val="20"/>
                <w:lang w:eastAsia="en-AU"/>
              </w:rPr>
            </w:pPr>
            <w:r w:rsidRPr="003E3C14">
              <w:rPr>
                <w:sz w:val="20"/>
                <w:szCs w:val="20"/>
              </w:rPr>
              <w:t>Australian Government</w:t>
            </w:r>
          </w:p>
        </w:tc>
        <w:tc>
          <w:tcPr>
            <w:tcW w:w="817" w:type="pct"/>
            <w:tcBorders>
              <w:top w:val="single" w:sz="4" w:space="0" w:color="auto"/>
              <w:left w:val="single" w:sz="4" w:space="0" w:color="auto"/>
              <w:bottom w:val="single" w:sz="4" w:space="0" w:color="auto"/>
              <w:right w:val="single" w:sz="4" w:space="0" w:color="auto"/>
            </w:tcBorders>
            <w:noWrap/>
            <w:hideMark/>
          </w:tcPr>
          <w:p w14:paraId="525CABE4" w14:textId="14FB7431"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2</w:t>
            </w:r>
          </w:p>
        </w:tc>
        <w:tc>
          <w:tcPr>
            <w:tcW w:w="584" w:type="pct"/>
            <w:tcBorders>
              <w:top w:val="single" w:sz="4" w:space="0" w:color="auto"/>
              <w:left w:val="single" w:sz="4" w:space="0" w:color="auto"/>
              <w:bottom w:val="single" w:sz="4" w:space="0" w:color="auto"/>
              <w:right w:val="single" w:sz="4" w:space="0" w:color="auto"/>
            </w:tcBorders>
            <w:noWrap/>
            <w:hideMark/>
          </w:tcPr>
          <w:p w14:paraId="483B2AB6" w14:textId="0DA52DC8"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20E25CA3" w14:textId="14DA0B0E"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2708AEDC"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1328F901"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699" w:type="pct"/>
            <w:tcBorders>
              <w:top w:val="single" w:sz="4" w:space="0" w:color="auto"/>
              <w:left w:val="single" w:sz="4" w:space="0" w:color="auto"/>
              <w:bottom w:val="single" w:sz="4" w:space="0" w:color="auto"/>
            </w:tcBorders>
            <w:noWrap/>
            <w:hideMark/>
          </w:tcPr>
          <w:p w14:paraId="25E54EFE" w14:textId="77777777" w:rsidR="007559E9" w:rsidRPr="003E3C14" w:rsidRDefault="007559E9"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3</w:t>
            </w:r>
          </w:p>
        </w:tc>
      </w:tr>
      <w:tr w:rsidR="007559E9" w:rsidRPr="003E3C14" w14:paraId="011FD45A" w14:textId="77777777" w:rsidTr="00386338">
        <w:trPr>
          <w:cantSplit/>
        </w:trPr>
        <w:tc>
          <w:tcPr>
            <w:tcW w:w="800" w:type="pct"/>
            <w:tcBorders>
              <w:top w:val="single" w:sz="4" w:space="0" w:color="auto"/>
              <w:bottom w:val="single" w:sz="4" w:space="0" w:color="auto"/>
              <w:right w:val="single" w:sz="4" w:space="0" w:color="auto"/>
            </w:tcBorders>
            <w:shd w:val="clear" w:color="auto" w:fill="FAF9F8"/>
            <w:noWrap/>
            <w:hideMark/>
          </w:tcPr>
          <w:p w14:paraId="440A0277" w14:textId="364D8643" w:rsidR="007559E9" w:rsidRPr="003E3C14" w:rsidRDefault="007559E9" w:rsidP="002A249B">
            <w:pPr>
              <w:spacing w:after="0" w:line="240" w:lineRule="auto"/>
              <w:rPr>
                <w:rFonts w:eastAsia="Times New Roman" w:cs="Arial"/>
                <w:color w:val="000000"/>
                <w:sz w:val="20"/>
                <w:szCs w:val="20"/>
                <w:lang w:eastAsia="en-AU"/>
              </w:rPr>
            </w:pPr>
            <w:r w:rsidRPr="003E3C14">
              <w:rPr>
                <w:sz w:val="20"/>
                <w:szCs w:val="20"/>
              </w:rPr>
              <w:t>NSW</w:t>
            </w:r>
          </w:p>
        </w:tc>
        <w:tc>
          <w:tcPr>
            <w:tcW w:w="817" w:type="pct"/>
            <w:tcBorders>
              <w:top w:val="single" w:sz="4" w:space="0" w:color="auto"/>
              <w:left w:val="single" w:sz="4" w:space="0" w:color="auto"/>
              <w:bottom w:val="single" w:sz="4" w:space="0" w:color="auto"/>
              <w:right w:val="single" w:sz="4" w:space="0" w:color="auto"/>
            </w:tcBorders>
            <w:shd w:val="clear" w:color="auto" w:fill="FAF9F8"/>
            <w:noWrap/>
            <w:hideMark/>
          </w:tcPr>
          <w:p w14:paraId="4F0D5E34"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584" w:type="pct"/>
            <w:tcBorders>
              <w:top w:val="single" w:sz="4" w:space="0" w:color="auto"/>
              <w:left w:val="single" w:sz="4" w:space="0" w:color="auto"/>
              <w:bottom w:val="single" w:sz="4" w:space="0" w:color="auto"/>
              <w:right w:val="single" w:sz="4" w:space="0" w:color="auto"/>
            </w:tcBorders>
            <w:shd w:val="clear" w:color="auto" w:fill="FAF9F8"/>
            <w:noWrap/>
            <w:hideMark/>
          </w:tcPr>
          <w:p w14:paraId="4EE3DBF6"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8</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167A5BDD"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F22EB8C"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29B357E4"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699" w:type="pct"/>
            <w:tcBorders>
              <w:top w:val="single" w:sz="4" w:space="0" w:color="auto"/>
              <w:left w:val="single" w:sz="4" w:space="0" w:color="auto"/>
              <w:bottom w:val="single" w:sz="4" w:space="0" w:color="auto"/>
            </w:tcBorders>
            <w:shd w:val="clear" w:color="auto" w:fill="FAF9F8"/>
            <w:noWrap/>
            <w:hideMark/>
          </w:tcPr>
          <w:p w14:paraId="603F8D62" w14:textId="77777777" w:rsidR="007559E9" w:rsidRPr="003E3C14" w:rsidRDefault="007559E9"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10</w:t>
            </w:r>
          </w:p>
        </w:tc>
      </w:tr>
      <w:tr w:rsidR="007559E9" w:rsidRPr="003E3C14" w14:paraId="3B34EBDC" w14:textId="77777777" w:rsidTr="00386338">
        <w:trPr>
          <w:cantSplit/>
        </w:trPr>
        <w:tc>
          <w:tcPr>
            <w:tcW w:w="800" w:type="pct"/>
            <w:tcBorders>
              <w:top w:val="single" w:sz="4" w:space="0" w:color="auto"/>
              <w:bottom w:val="single" w:sz="4" w:space="0" w:color="auto"/>
              <w:right w:val="single" w:sz="4" w:space="0" w:color="auto"/>
            </w:tcBorders>
            <w:noWrap/>
            <w:hideMark/>
          </w:tcPr>
          <w:p w14:paraId="3D223BD0" w14:textId="2F315598" w:rsidR="007559E9" w:rsidRPr="003E3C14" w:rsidRDefault="007559E9" w:rsidP="002A249B">
            <w:pPr>
              <w:spacing w:after="0" w:line="240" w:lineRule="auto"/>
              <w:rPr>
                <w:rFonts w:eastAsia="Times New Roman" w:cs="Arial"/>
                <w:color w:val="000000"/>
                <w:sz w:val="20"/>
                <w:szCs w:val="20"/>
                <w:lang w:eastAsia="en-AU"/>
              </w:rPr>
            </w:pPr>
            <w:r w:rsidRPr="003E3C14">
              <w:rPr>
                <w:sz w:val="20"/>
                <w:szCs w:val="20"/>
              </w:rPr>
              <w:t>VIC</w:t>
            </w:r>
          </w:p>
        </w:tc>
        <w:tc>
          <w:tcPr>
            <w:tcW w:w="817" w:type="pct"/>
            <w:tcBorders>
              <w:top w:val="single" w:sz="4" w:space="0" w:color="auto"/>
              <w:left w:val="single" w:sz="4" w:space="0" w:color="auto"/>
              <w:bottom w:val="single" w:sz="4" w:space="0" w:color="auto"/>
              <w:right w:val="single" w:sz="4" w:space="0" w:color="auto"/>
            </w:tcBorders>
            <w:noWrap/>
            <w:hideMark/>
          </w:tcPr>
          <w:p w14:paraId="655D8077"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3</w:t>
            </w:r>
          </w:p>
        </w:tc>
        <w:tc>
          <w:tcPr>
            <w:tcW w:w="584" w:type="pct"/>
            <w:tcBorders>
              <w:top w:val="single" w:sz="4" w:space="0" w:color="auto"/>
              <w:left w:val="single" w:sz="4" w:space="0" w:color="auto"/>
              <w:bottom w:val="single" w:sz="4" w:space="0" w:color="auto"/>
              <w:right w:val="single" w:sz="4" w:space="0" w:color="auto"/>
            </w:tcBorders>
            <w:noWrap/>
            <w:hideMark/>
          </w:tcPr>
          <w:p w14:paraId="4F163BBB"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6</w:t>
            </w:r>
          </w:p>
        </w:tc>
        <w:tc>
          <w:tcPr>
            <w:tcW w:w="700" w:type="pct"/>
            <w:tcBorders>
              <w:top w:val="single" w:sz="4" w:space="0" w:color="auto"/>
              <w:left w:val="single" w:sz="4" w:space="0" w:color="auto"/>
              <w:bottom w:val="single" w:sz="4" w:space="0" w:color="auto"/>
              <w:right w:val="single" w:sz="4" w:space="0" w:color="auto"/>
            </w:tcBorders>
            <w:noWrap/>
            <w:hideMark/>
          </w:tcPr>
          <w:p w14:paraId="22FE615B"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13E9B388"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07992939"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699" w:type="pct"/>
            <w:tcBorders>
              <w:top w:val="single" w:sz="4" w:space="0" w:color="auto"/>
              <w:left w:val="single" w:sz="4" w:space="0" w:color="auto"/>
              <w:bottom w:val="single" w:sz="4" w:space="0" w:color="auto"/>
            </w:tcBorders>
            <w:noWrap/>
            <w:hideMark/>
          </w:tcPr>
          <w:p w14:paraId="19CF27C2" w14:textId="77777777" w:rsidR="007559E9" w:rsidRPr="003E3C14" w:rsidRDefault="007559E9"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10</w:t>
            </w:r>
          </w:p>
        </w:tc>
      </w:tr>
      <w:tr w:rsidR="007559E9" w:rsidRPr="003E3C14" w14:paraId="34A542D6" w14:textId="77777777" w:rsidTr="00386338">
        <w:trPr>
          <w:cantSplit/>
        </w:trPr>
        <w:tc>
          <w:tcPr>
            <w:tcW w:w="800" w:type="pct"/>
            <w:tcBorders>
              <w:top w:val="single" w:sz="4" w:space="0" w:color="auto"/>
              <w:bottom w:val="single" w:sz="4" w:space="0" w:color="auto"/>
              <w:right w:val="single" w:sz="4" w:space="0" w:color="auto"/>
            </w:tcBorders>
            <w:shd w:val="clear" w:color="auto" w:fill="FAF9F8"/>
            <w:noWrap/>
            <w:hideMark/>
          </w:tcPr>
          <w:p w14:paraId="78491B1A" w14:textId="231EA53F" w:rsidR="007559E9" w:rsidRPr="003E3C14" w:rsidRDefault="007559E9" w:rsidP="002A249B">
            <w:pPr>
              <w:spacing w:after="0" w:line="240" w:lineRule="auto"/>
              <w:rPr>
                <w:rFonts w:eastAsia="Times New Roman" w:cs="Arial"/>
                <w:color w:val="000000"/>
                <w:sz w:val="20"/>
                <w:szCs w:val="20"/>
                <w:lang w:eastAsia="en-AU"/>
              </w:rPr>
            </w:pPr>
            <w:r w:rsidRPr="003E3C14">
              <w:rPr>
                <w:sz w:val="20"/>
                <w:szCs w:val="20"/>
              </w:rPr>
              <w:t>QLD</w:t>
            </w:r>
          </w:p>
        </w:tc>
        <w:tc>
          <w:tcPr>
            <w:tcW w:w="817" w:type="pct"/>
            <w:tcBorders>
              <w:top w:val="single" w:sz="4" w:space="0" w:color="auto"/>
              <w:left w:val="single" w:sz="4" w:space="0" w:color="auto"/>
              <w:bottom w:val="single" w:sz="4" w:space="0" w:color="auto"/>
              <w:right w:val="single" w:sz="4" w:space="0" w:color="auto"/>
            </w:tcBorders>
            <w:shd w:val="clear" w:color="auto" w:fill="FAF9F8"/>
            <w:noWrap/>
            <w:hideMark/>
          </w:tcPr>
          <w:p w14:paraId="27A1BFE4"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6</w:t>
            </w:r>
          </w:p>
        </w:tc>
        <w:tc>
          <w:tcPr>
            <w:tcW w:w="584" w:type="pct"/>
            <w:tcBorders>
              <w:top w:val="single" w:sz="4" w:space="0" w:color="auto"/>
              <w:left w:val="single" w:sz="4" w:space="0" w:color="auto"/>
              <w:bottom w:val="single" w:sz="4" w:space="0" w:color="auto"/>
              <w:right w:val="single" w:sz="4" w:space="0" w:color="auto"/>
            </w:tcBorders>
            <w:shd w:val="clear" w:color="auto" w:fill="FAF9F8"/>
            <w:noWrap/>
            <w:hideMark/>
          </w:tcPr>
          <w:p w14:paraId="034B42A8"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6</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7948DCAD"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7B46DB26"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8522CC6"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699" w:type="pct"/>
            <w:tcBorders>
              <w:top w:val="single" w:sz="4" w:space="0" w:color="auto"/>
              <w:left w:val="single" w:sz="4" w:space="0" w:color="auto"/>
              <w:bottom w:val="single" w:sz="4" w:space="0" w:color="auto"/>
            </w:tcBorders>
            <w:shd w:val="clear" w:color="auto" w:fill="FAF9F8"/>
            <w:noWrap/>
            <w:hideMark/>
          </w:tcPr>
          <w:p w14:paraId="338C9E64" w14:textId="77777777" w:rsidR="007559E9" w:rsidRPr="003E3C14" w:rsidRDefault="007559E9"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12</w:t>
            </w:r>
          </w:p>
        </w:tc>
      </w:tr>
      <w:tr w:rsidR="007559E9" w:rsidRPr="003E3C14" w14:paraId="0CFE8738" w14:textId="77777777" w:rsidTr="00386338">
        <w:trPr>
          <w:cantSplit/>
        </w:trPr>
        <w:tc>
          <w:tcPr>
            <w:tcW w:w="800" w:type="pct"/>
            <w:tcBorders>
              <w:top w:val="single" w:sz="4" w:space="0" w:color="auto"/>
              <w:bottom w:val="single" w:sz="4" w:space="0" w:color="auto"/>
              <w:right w:val="single" w:sz="4" w:space="0" w:color="auto"/>
            </w:tcBorders>
            <w:noWrap/>
            <w:hideMark/>
          </w:tcPr>
          <w:p w14:paraId="4301E3C8" w14:textId="0D5234F0" w:rsidR="007559E9" w:rsidRPr="003E3C14" w:rsidRDefault="007559E9" w:rsidP="002A249B">
            <w:pPr>
              <w:spacing w:after="0" w:line="240" w:lineRule="auto"/>
              <w:rPr>
                <w:rFonts w:eastAsia="Times New Roman" w:cs="Arial"/>
                <w:color w:val="000000"/>
                <w:sz w:val="20"/>
                <w:szCs w:val="20"/>
                <w:lang w:eastAsia="en-AU"/>
              </w:rPr>
            </w:pPr>
            <w:r w:rsidRPr="003E3C14">
              <w:rPr>
                <w:sz w:val="20"/>
                <w:szCs w:val="20"/>
              </w:rPr>
              <w:t>WA</w:t>
            </w:r>
          </w:p>
        </w:tc>
        <w:tc>
          <w:tcPr>
            <w:tcW w:w="817" w:type="pct"/>
            <w:tcBorders>
              <w:top w:val="single" w:sz="4" w:space="0" w:color="auto"/>
              <w:left w:val="single" w:sz="4" w:space="0" w:color="auto"/>
              <w:bottom w:val="single" w:sz="4" w:space="0" w:color="auto"/>
              <w:right w:val="single" w:sz="4" w:space="0" w:color="auto"/>
            </w:tcBorders>
            <w:noWrap/>
            <w:hideMark/>
          </w:tcPr>
          <w:p w14:paraId="3A8C59E8"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w:t>
            </w:r>
          </w:p>
        </w:tc>
        <w:tc>
          <w:tcPr>
            <w:tcW w:w="584" w:type="pct"/>
            <w:tcBorders>
              <w:top w:val="single" w:sz="4" w:space="0" w:color="auto"/>
              <w:left w:val="single" w:sz="4" w:space="0" w:color="auto"/>
              <w:bottom w:val="single" w:sz="4" w:space="0" w:color="auto"/>
              <w:right w:val="single" w:sz="4" w:space="0" w:color="auto"/>
            </w:tcBorders>
            <w:noWrap/>
            <w:hideMark/>
          </w:tcPr>
          <w:p w14:paraId="3561E27D"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noWrap/>
            <w:hideMark/>
          </w:tcPr>
          <w:p w14:paraId="073A9AA6"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6E4B7F7C"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6166A631"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699" w:type="pct"/>
            <w:tcBorders>
              <w:top w:val="single" w:sz="4" w:space="0" w:color="auto"/>
              <w:left w:val="single" w:sz="4" w:space="0" w:color="auto"/>
              <w:bottom w:val="single" w:sz="4" w:space="0" w:color="auto"/>
            </w:tcBorders>
            <w:noWrap/>
            <w:hideMark/>
          </w:tcPr>
          <w:p w14:paraId="3A02803D" w14:textId="77777777" w:rsidR="007559E9" w:rsidRPr="003E3C14" w:rsidRDefault="007559E9"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3</w:t>
            </w:r>
          </w:p>
        </w:tc>
      </w:tr>
      <w:tr w:rsidR="007559E9" w:rsidRPr="003E3C14" w14:paraId="570A6B8E" w14:textId="77777777" w:rsidTr="00386338">
        <w:trPr>
          <w:cantSplit/>
        </w:trPr>
        <w:tc>
          <w:tcPr>
            <w:tcW w:w="800" w:type="pct"/>
            <w:tcBorders>
              <w:top w:val="single" w:sz="4" w:space="0" w:color="auto"/>
              <w:bottom w:val="single" w:sz="4" w:space="0" w:color="auto"/>
              <w:right w:val="single" w:sz="4" w:space="0" w:color="auto"/>
            </w:tcBorders>
            <w:shd w:val="clear" w:color="auto" w:fill="FAF9F8"/>
            <w:noWrap/>
            <w:hideMark/>
          </w:tcPr>
          <w:p w14:paraId="1B9627C4" w14:textId="280195CB" w:rsidR="007559E9" w:rsidRPr="003E3C14" w:rsidRDefault="007559E9" w:rsidP="002A249B">
            <w:pPr>
              <w:spacing w:after="0" w:line="240" w:lineRule="auto"/>
              <w:rPr>
                <w:rFonts w:eastAsia="Times New Roman" w:cs="Arial"/>
                <w:color w:val="000000"/>
                <w:sz w:val="20"/>
                <w:szCs w:val="20"/>
                <w:lang w:eastAsia="en-AU"/>
              </w:rPr>
            </w:pPr>
            <w:r w:rsidRPr="003E3C14">
              <w:rPr>
                <w:sz w:val="20"/>
                <w:szCs w:val="20"/>
              </w:rPr>
              <w:t>SA</w:t>
            </w:r>
          </w:p>
        </w:tc>
        <w:tc>
          <w:tcPr>
            <w:tcW w:w="817" w:type="pct"/>
            <w:tcBorders>
              <w:top w:val="single" w:sz="4" w:space="0" w:color="auto"/>
              <w:left w:val="single" w:sz="4" w:space="0" w:color="auto"/>
              <w:bottom w:val="single" w:sz="4" w:space="0" w:color="auto"/>
              <w:right w:val="single" w:sz="4" w:space="0" w:color="auto"/>
            </w:tcBorders>
            <w:shd w:val="clear" w:color="auto" w:fill="FAF9F8"/>
            <w:noWrap/>
            <w:hideMark/>
          </w:tcPr>
          <w:p w14:paraId="6A805B6C"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w:t>
            </w:r>
          </w:p>
        </w:tc>
        <w:tc>
          <w:tcPr>
            <w:tcW w:w="584" w:type="pct"/>
            <w:tcBorders>
              <w:top w:val="single" w:sz="4" w:space="0" w:color="auto"/>
              <w:left w:val="single" w:sz="4" w:space="0" w:color="auto"/>
              <w:bottom w:val="single" w:sz="4" w:space="0" w:color="auto"/>
              <w:right w:val="single" w:sz="4" w:space="0" w:color="auto"/>
            </w:tcBorders>
            <w:shd w:val="clear" w:color="auto" w:fill="FAF9F8"/>
            <w:noWrap/>
            <w:hideMark/>
          </w:tcPr>
          <w:p w14:paraId="59403A8A"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3</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1012A716"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36A0C07F"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5005A93E"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699" w:type="pct"/>
            <w:tcBorders>
              <w:top w:val="single" w:sz="4" w:space="0" w:color="auto"/>
              <w:left w:val="single" w:sz="4" w:space="0" w:color="auto"/>
              <w:bottom w:val="single" w:sz="4" w:space="0" w:color="auto"/>
            </w:tcBorders>
            <w:shd w:val="clear" w:color="auto" w:fill="FAF9F8"/>
            <w:noWrap/>
            <w:hideMark/>
          </w:tcPr>
          <w:p w14:paraId="043A98F4" w14:textId="77777777" w:rsidR="007559E9" w:rsidRPr="003E3C14" w:rsidRDefault="007559E9"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5</w:t>
            </w:r>
          </w:p>
        </w:tc>
      </w:tr>
      <w:tr w:rsidR="007559E9" w:rsidRPr="003E3C14" w14:paraId="4497C1F9" w14:textId="77777777" w:rsidTr="00386338">
        <w:trPr>
          <w:cantSplit/>
        </w:trPr>
        <w:tc>
          <w:tcPr>
            <w:tcW w:w="800" w:type="pct"/>
            <w:tcBorders>
              <w:top w:val="single" w:sz="4" w:space="0" w:color="auto"/>
              <w:bottom w:val="single" w:sz="4" w:space="0" w:color="auto"/>
              <w:right w:val="single" w:sz="4" w:space="0" w:color="auto"/>
            </w:tcBorders>
            <w:noWrap/>
            <w:hideMark/>
          </w:tcPr>
          <w:p w14:paraId="45CD1927" w14:textId="2170072C" w:rsidR="007559E9" w:rsidRPr="003E3C14" w:rsidRDefault="007559E9" w:rsidP="002A249B">
            <w:pPr>
              <w:spacing w:after="0" w:line="240" w:lineRule="auto"/>
              <w:rPr>
                <w:rFonts w:eastAsia="Times New Roman" w:cs="Arial"/>
                <w:color w:val="000000"/>
                <w:sz w:val="20"/>
                <w:szCs w:val="20"/>
                <w:lang w:eastAsia="en-AU"/>
              </w:rPr>
            </w:pPr>
            <w:r w:rsidRPr="003E3C14">
              <w:rPr>
                <w:sz w:val="20"/>
                <w:szCs w:val="20"/>
              </w:rPr>
              <w:t>TAS</w:t>
            </w:r>
          </w:p>
        </w:tc>
        <w:tc>
          <w:tcPr>
            <w:tcW w:w="817" w:type="pct"/>
            <w:tcBorders>
              <w:top w:val="single" w:sz="4" w:space="0" w:color="auto"/>
              <w:left w:val="single" w:sz="4" w:space="0" w:color="auto"/>
              <w:bottom w:val="single" w:sz="4" w:space="0" w:color="auto"/>
              <w:right w:val="single" w:sz="4" w:space="0" w:color="auto"/>
            </w:tcBorders>
            <w:noWrap/>
            <w:hideMark/>
          </w:tcPr>
          <w:p w14:paraId="684ABC97"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w:t>
            </w:r>
          </w:p>
        </w:tc>
        <w:tc>
          <w:tcPr>
            <w:tcW w:w="584" w:type="pct"/>
            <w:tcBorders>
              <w:top w:val="single" w:sz="4" w:space="0" w:color="auto"/>
              <w:left w:val="single" w:sz="4" w:space="0" w:color="auto"/>
              <w:bottom w:val="single" w:sz="4" w:space="0" w:color="auto"/>
              <w:right w:val="single" w:sz="4" w:space="0" w:color="auto"/>
            </w:tcBorders>
            <w:noWrap/>
            <w:hideMark/>
          </w:tcPr>
          <w:p w14:paraId="1631DB61"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11B9C8A5"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4</w:t>
            </w:r>
          </w:p>
        </w:tc>
        <w:tc>
          <w:tcPr>
            <w:tcW w:w="700" w:type="pct"/>
            <w:tcBorders>
              <w:top w:val="single" w:sz="4" w:space="0" w:color="auto"/>
              <w:left w:val="single" w:sz="4" w:space="0" w:color="auto"/>
              <w:bottom w:val="single" w:sz="4" w:space="0" w:color="auto"/>
              <w:right w:val="single" w:sz="4" w:space="0" w:color="auto"/>
            </w:tcBorders>
            <w:noWrap/>
            <w:hideMark/>
          </w:tcPr>
          <w:p w14:paraId="1F532275"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535DA50A"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699" w:type="pct"/>
            <w:tcBorders>
              <w:top w:val="single" w:sz="4" w:space="0" w:color="auto"/>
              <w:left w:val="single" w:sz="4" w:space="0" w:color="auto"/>
              <w:bottom w:val="single" w:sz="4" w:space="0" w:color="auto"/>
            </w:tcBorders>
            <w:noWrap/>
            <w:hideMark/>
          </w:tcPr>
          <w:p w14:paraId="4A9155DC" w14:textId="77777777" w:rsidR="007559E9" w:rsidRPr="003E3C14" w:rsidRDefault="007559E9"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5</w:t>
            </w:r>
          </w:p>
        </w:tc>
      </w:tr>
      <w:tr w:rsidR="007559E9" w:rsidRPr="003E3C14" w14:paraId="13025BEA" w14:textId="77777777" w:rsidTr="00386338">
        <w:trPr>
          <w:cantSplit/>
        </w:trPr>
        <w:tc>
          <w:tcPr>
            <w:tcW w:w="800" w:type="pct"/>
            <w:tcBorders>
              <w:top w:val="single" w:sz="4" w:space="0" w:color="auto"/>
              <w:bottom w:val="single" w:sz="4" w:space="0" w:color="auto"/>
              <w:right w:val="single" w:sz="4" w:space="0" w:color="auto"/>
            </w:tcBorders>
            <w:shd w:val="clear" w:color="auto" w:fill="FAF9F8"/>
            <w:noWrap/>
            <w:hideMark/>
          </w:tcPr>
          <w:p w14:paraId="0CF93A43" w14:textId="7F8565F7" w:rsidR="007559E9" w:rsidRPr="003E3C14" w:rsidRDefault="007559E9" w:rsidP="002A249B">
            <w:pPr>
              <w:spacing w:after="0" w:line="240" w:lineRule="auto"/>
              <w:rPr>
                <w:rFonts w:eastAsia="Times New Roman" w:cs="Arial"/>
                <w:color w:val="000000"/>
                <w:sz w:val="20"/>
                <w:szCs w:val="20"/>
                <w:lang w:eastAsia="en-AU"/>
              </w:rPr>
            </w:pPr>
            <w:r w:rsidRPr="003E3C14">
              <w:rPr>
                <w:sz w:val="20"/>
                <w:szCs w:val="20"/>
              </w:rPr>
              <w:t>ACT</w:t>
            </w:r>
          </w:p>
        </w:tc>
        <w:tc>
          <w:tcPr>
            <w:tcW w:w="817" w:type="pct"/>
            <w:tcBorders>
              <w:top w:val="single" w:sz="4" w:space="0" w:color="auto"/>
              <w:left w:val="single" w:sz="4" w:space="0" w:color="auto"/>
              <w:bottom w:val="single" w:sz="4" w:space="0" w:color="auto"/>
              <w:right w:val="single" w:sz="4" w:space="0" w:color="auto"/>
            </w:tcBorders>
            <w:shd w:val="clear" w:color="auto" w:fill="FAF9F8"/>
            <w:noWrap/>
            <w:hideMark/>
          </w:tcPr>
          <w:p w14:paraId="503CD6C9"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5</w:t>
            </w:r>
          </w:p>
        </w:tc>
        <w:tc>
          <w:tcPr>
            <w:tcW w:w="584" w:type="pct"/>
            <w:tcBorders>
              <w:top w:val="single" w:sz="4" w:space="0" w:color="auto"/>
              <w:left w:val="single" w:sz="4" w:space="0" w:color="auto"/>
              <w:bottom w:val="single" w:sz="4" w:space="0" w:color="auto"/>
              <w:right w:val="single" w:sz="4" w:space="0" w:color="auto"/>
            </w:tcBorders>
            <w:shd w:val="clear" w:color="auto" w:fill="FAF9F8"/>
            <w:noWrap/>
            <w:hideMark/>
          </w:tcPr>
          <w:p w14:paraId="4908AA92"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3</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C847CCD"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31B4B58A"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7CA54CB7"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699" w:type="pct"/>
            <w:tcBorders>
              <w:top w:val="single" w:sz="4" w:space="0" w:color="auto"/>
              <w:left w:val="single" w:sz="4" w:space="0" w:color="auto"/>
              <w:bottom w:val="single" w:sz="4" w:space="0" w:color="auto"/>
            </w:tcBorders>
            <w:shd w:val="clear" w:color="auto" w:fill="FAF9F8"/>
            <w:noWrap/>
            <w:hideMark/>
          </w:tcPr>
          <w:p w14:paraId="6C7D03A9" w14:textId="77777777" w:rsidR="007559E9" w:rsidRPr="003E3C14" w:rsidRDefault="007559E9"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10</w:t>
            </w:r>
          </w:p>
        </w:tc>
      </w:tr>
      <w:tr w:rsidR="007559E9" w:rsidRPr="003E3C14" w14:paraId="26A1A333" w14:textId="77777777" w:rsidTr="00386338">
        <w:trPr>
          <w:cantSplit/>
        </w:trPr>
        <w:tc>
          <w:tcPr>
            <w:tcW w:w="800" w:type="pct"/>
            <w:tcBorders>
              <w:top w:val="single" w:sz="4" w:space="0" w:color="auto"/>
              <w:bottom w:val="single" w:sz="4" w:space="0" w:color="auto"/>
              <w:right w:val="single" w:sz="4" w:space="0" w:color="auto"/>
            </w:tcBorders>
            <w:noWrap/>
            <w:hideMark/>
          </w:tcPr>
          <w:p w14:paraId="5C8CDAAD" w14:textId="5CAE2281" w:rsidR="007559E9" w:rsidRPr="003E3C14" w:rsidRDefault="007559E9" w:rsidP="002A249B">
            <w:pPr>
              <w:spacing w:after="0" w:line="240" w:lineRule="auto"/>
              <w:rPr>
                <w:rFonts w:eastAsia="Times New Roman" w:cs="Arial"/>
                <w:color w:val="000000"/>
                <w:sz w:val="20"/>
                <w:szCs w:val="20"/>
                <w:lang w:eastAsia="en-AU"/>
              </w:rPr>
            </w:pPr>
            <w:r w:rsidRPr="003E3C14">
              <w:rPr>
                <w:sz w:val="20"/>
                <w:szCs w:val="20"/>
              </w:rPr>
              <w:t>NT</w:t>
            </w:r>
          </w:p>
        </w:tc>
        <w:tc>
          <w:tcPr>
            <w:tcW w:w="817" w:type="pct"/>
            <w:tcBorders>
              <w:top w:val="single" w:sz="4" w:space="0" w:color="auto"/>
              <w:left w:val="single" w:sz="4" w:space="0" w:color="auto"/>
              <w:bottom w:val="single" w:sz="4" w:space="0" w:color="auto"/>
              <w:right w:val="single" w:sz="4" w:space="0" w:color="auto"/>
            </w:tcBorders>
            <w:noWrap/>
            <w:hideMark/>
          </w:tcPr>
          <w:p w14:paraId="22AE014E"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w:t>
            </w:r>
          </w:p>
        </w:tc>
        <w:tc>
          <w:tcPr>
            <w:tcW w:w="584" w:type="pct"/>
            <w:tcBorders>
              <w:top w:val="single" w:sz="4" w:space="0" w:color="auto"/>
              <w:left w:val="single" w:sz="4" w:space="0" w:color="auto"/>
              <w:bottom w:val="single" w:sz="4" w:space="0" w:color="auto"/>
              <w:right w:val="single" w:sz="4" w:space="0" w:color="auto"/>
            </w:tcBorders>
            <w:noWrap/>
            <w:hideMark/>
          </w:tcPr>
          <w:p w14:paraId="0874DABE"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4</w:t>
            </w:r>
          </w:p>
        </w:tc>
        <w:tc>
          <w:tcPr>
            <w:tcW w:w="700" w:type="pct"/>
            <w:tcBorders>
              <w:top w:val="single" w:sz="4" w:space="0" w:color="auto"/>
              <w:left w:val="single" w:sz="4" w:space="0" w:color="auto"/>
              <w:bottom w:val="single" w:sz="4" w:space="0" w:color="auto"/>
              <w:right w:val="single" w:sz="4" w:space="0" w:color="auto"/>
            </w:tcBorders>
            <w:noWrap/>
            <w:hideMark/>
          </w:tcPr>
          <w:p w14:paraId="05F8507E"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22349E5C"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57ABE5D2"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699" w:type="pct"/>
            <w:tcBorders>
              <w:top w:val="single" w:sz="4" w:space="0" w:color="auto"/>
              <w:left w:val="single" w:sz="4" w:space="0" w:color="auto"/>
              <w:bottom w:val="single" w:sz="4" w:space="0" w:color="auto"/>
            </w:tcBorders>
            <w:noWrap/>
            <w:hideMark/>
          </w:tcPr>
          <w:p w14:paraId="789C7E2E" w14:textId="77777777" w:rsidR="007559E9" w:rsidRPr="003E3C14" w:rsidRDefault="007559E9"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5</w:t>
            </w:r>
          </w:p>
        </w:tc>
      </w:tr>
      <w:tr w:rsidR="007559E9" w:rsidRPr="003E3C14" w14:paraId="15E63C6A" w14:textId="77777777" w:rsidTr="00386338">
        <w:trPr>
          <w:cantSplit/>
        </w:trPr>
        <w:tc>
          <w:tcPr>
            <w:tcW w:w="800" w:type="pct"/>
            <w:tcBorders>
              <w:top w:val="single" w:sz="4" w:space="0" w:color="auto"/>
              <w:bottom w:val="nil"/>
              <w:right w:val="single" w:sz="4" w:space="0" w:color="auto"/>
            </w:tcBorders>
            <w:shd w:val="clear" w:color="auto" w:fill="E4E9F3"/>
            <w:noWrap/>
            <w:hideMark/>
          </w:tcPr>
          <w:p w14:paraId="21FE9201" w14:textId="70A43A5C" w:rsidR="007559E9" w:rsidRPr="003E3C14" w:rsidRDefault="007559E9" w:rsidP="002A249B">
            <w:pPr>
              <w:spacing w:after="0" w:line="240" w:lineRule="auto"/>
              <w:rPr>
                <w:rFonts w:eastAsia="Times New Roman" w:cs="Arial"/>
                <w:b/>
                <w:color w:val="000000"/>
                <w:sz w:val="20"/>
                <w:szCs w:val="20"/>
                <w:lang w:eastAsia="en-AU"/>
              </w:rPr>
            </w:pPr>
            <w:r w:rsidRPr="003E3C14">
              <w:rPr>
                <w:b/>
                <w:sz w:val="20"/>
                <w:szCs w:val="20"/>
              </w:rPr>
              <w:t>National Total</w:t>
            </w:r>
          </w:p>
        </w:tc>
        <w:tc>
          <w:tcPr>
            <w:tcW w:w="817" w:type="pct"/>
            <w:tcBorders>
              <w:top w:val="single" w:sz="4" w:space="0" w:color="auto"/>
              <w:left w:val="single" w:sz="4" w:space="0" w:color="auto"/>
              <w:bottom w:val="nil"/>
              <w:right w:val="single" w:sz="4" w:space="0" w:color="auto"/>
            </w:tcBorders>
            <w:shd w:val="clear" w:color="auto" w:fill="E4E9F3"/>
            <w:noWrap/>
            <w:hideMark/>
          </w:tcPr>
          <w:p w14:paraId="3E33E5DD" w14:textId="0BE6D0CF" w:rsidR="007559E9" w:rsidRPr="003E3C14" w:rsidRDefault="007559E9" w:rsidP="002A249B">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20</w:t>
            </w:r>
          </w:p>
        </w:tc>
        <w:tc>
          <w:tcPr>
            <w:tcW w:w="584" w:type="pct"/>
            <w:tcBorders>
              <w:top w:val="single" w:sz="4" w:space="0" w:color="auto"/>
              <w:left w:val="single" w:sz="4" w:space="0" w:color="auto"/>
              <w:bottom w:val="nil"/>
              <w:right w:val="single" w:sz="4" w:space="0" w:color="auto"/>
            </w:tcBorders>
            <w:shd w:val="clear" w:color="auto" w:fill="E4E9F3"/>
            <w:noWrap/>
            <w:hideMark/>
          </w:tcPr>
          <w:p w14:paraId="68061D49" w14:textId="30E55BEF" w:rsidR="007559E9" w:rsidRPr="003E3C14" w:rsidRDefault="007559E9" w:rsidP="002A249B">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33</w:t>
            </w:r>
          </w:p>
        </w:tc>
        <w:tc>
          <w:tcPr>
            <w:tcW w:w="700" w:type="pct"/>
            <w:tcBorders>
              <w:top w:val="single" w:sz="4" w:space="0" w:color="auto"/>
              <w:left w:val="single" w:sz="4" w:space="0" w:color="auto"/>
              <w:bottom w:val="nil"/>
              <w:right w:val="single" w:sz="4" w:space="0" w:color="auto"/>
            </w:tcBorders>
            <w:shd w:val="clear" w:color="auto" w:fill="E4E9F3"/>
            <w:noWrap/>
            <w:hideMark/>
          </w:tcPr>
          <w:p w14:paraId="4D9E56BB" w14:textId="6A04A548" w:rsidR="007559E9" w:rsidRPr="003E3C14" w:rsidRDefault="007559E9" w:rsidP="002A249B">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10</w:t>
            </w:r>
          </w:p>
        </w:tc>
        <w:tc>
          <w:tcPr>
            <w:tcW w:w="700" w:type="pct"/>
            <w:tcBorders>
              <w:top w:val="single" w:sz="4" w:space="0" w:color="auto"/>
              <w:left w:val="single" w:sz="4" w:space="0" w:color="auto"/>
              <w:bottom w:val="nil"/>
              <w:right w:val="single" w:sz="4" w:space="0" w:color="auto"/>
            </w:tcBorders>
            <w:shd w:val="clear" w:color="auto" w:fill="E4E9F3"/>
            <w:noWrap/>
            <w:hideMark/>
          </w:tcPr>
          <w:p w14:paraId="4E721C46" w14:textId="77777777" w:rsidR="007559E9" w:rsidRPr="003E3C14" w:rsidRDefault="007559E9" w:rsidP="002A249B">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0</w:t>
            </w:r>
          </w:p>
        </w:tc>
        <w:tc>
          <w:tcPr>
            <w:tcW w:w="700" w:type="pct"/>
            <w:tcBorders>
              <w:top w:val="single" w:sz="4" w:space="0" w:color="auto"/>
              <w:left w:val="single" w:sz="4" w:space="0" w:color="auto"/>
              <w:bottom w:val="nil"/>
              <w:right w:val="single" w:sz="4" w:space="0" w:color="auto"/>
            </w:tcBorders>
            <w:shd w:val="clear" w:color="auto" w:fill="E4E9F3"/>
            <w:noWrap/>
            <w:hideMark/>
          </w:tcPr>
          <w:p w14:paraId="0AB38931" w14:textId="77777777" w:rsidR="007559E9" w:rsidRPr="003E3C14" w:rsidRDefault="007559E9" w:rsidP="002A249B">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0</w:t>
            </w:r>
          </w:p>
        </w:tc>
        <w:tc>
          <w:tcPr>
            <w:tcW w:w="699" w:type="pct"/>
            <w:tcBorders>
              <w:top w:val="single" w:sz="4" w:space="0" w:color="auto"/>
              <w:left w:val="single" w:sz="4" w:space="0" w:color="auto"/>
              <w:bottom w:val="nil"/>
            </w:tcBorders>
            <w:shd w:val="clear" w:color="auto" w:fill="E4E9F3"/>
            <w:noWrap/>
            <w:hideMark/>
          </w:tcPr>
          <w:p w14:paraId="24A2D586" w14:textId="77777777" w:rsidR="007559E9" w:rsidRPr="003E3C14" w:rsidRDefault="007559E9" w:rsidP="002A249B">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63</w:t>
            </w:r>
          </w:p>
        </w:tc>
      </w:tr>
    </w:tbl>
    <w:p w14:paraId="2DDB32D0" w14:textId="15F5CB0E" w:rsidR="008E35C9" w:rsidRPr="003E3C14" w:rsidRDefault="009D524E" w:rsidP="00F52039">
      <w:pPr>
        <w:spacing w:before="240" w:after="240" w:line="240" w:lineRule="auto"/>
      </w:pPr>
      <w:r w:rsidRPr="00501ED4">
        <w:rPr>
          <w:rFonts w:cs="Arial"/>
          <w:lang w:val="es-ES"/>
        </w:rPr>
        <w:t>Tabl</w:t>
      </w:r>
      <w:r>
        <w:rPr>
          <w:rFonts w:cs="Arial"/>
          <w:lang w:val="es-ES"/>
        </w:rPr>
        <w:t>a</w:t>
      </w:r>
      <w:r w:rsidRPr="00501ED4">
        <w:rPr>
          <w:rFonts w:cs="Arial"/>
          <w:lang w:val="es-ES"/>
        </w:rPr>
        <w:t xml:space="preserve"> 6: Actitudes en la Comunidad: progreso de las acciones por objetivo en 2022-2023</w:t>
      </w:r>
    </w:p>
    <w:tbl>
      <w:tblPr>
        <w:tblW w:w="5000" w:type="pct"/>
        <w:tblBorders>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6: Community Attitudes – progress of actions by objective in 2022-2023"/>
      </w:tblPr>
      <w:tblGrid>
        <w:gridCol w:w="1478"/>
        <w:gridCol w:w="1510"/>
        <w:gridCol w:w="1078"/>
        <w:gridCol w:w="1294"/>
        <w:gridCol w:w="1294"/>
        <w:gridCol w:w="1294"/>
        <w:gridCol w:w="1294"/>
      </w:tblGrid>
      <w:tr w:rsidR="007559E9" w:rsidRPr="003E3C14" w14:paraId="4DE237A4" w14:textId="77777777" w:rsidTr="00386338">
        <w:tc>
          <w:tcPr>
            <w:tcW w:w="800" w:type="pct"/>
            <w:tcBorders>
              <w:top w:val="nil"/>
              <w:bottom w:val="single" w:sz="4" w:space="0" w:color="auto"/>
              <w:right w:val="single" w:sz="4" w:space="0" w:color="FFFFFF" w:themeColor="background1"/>
            </w:tcBorders>
            <w:shd w:val="clear" w:color="auto" w:fill="6C1740"/>
            <w:noWrap/>
            <w:hideMark/>
          </w:tcPr>
          <w:p w14:paraId="1D46DBEB" w14:textId="29FD7C65" w:rsidR="007559E9" w:rsidRPr="003E3C14" w:rsidRDefault="007559E9" w:rsidP="002A249B">
            <w:pPr>
              <w:spacing w:after="0" w:line="240" w:lineRule="auto"/>
              <w:rPr>
                <w:rFonts w:eastAsia="Times New Roman" w:cs="Arial"/>
                <w:b/>
                <w:color w:val="FFFFFF" w:themeColor="background1"/>
                <w:sz w:val="20"/>
                <w:szCs w:val="20"/>
                <w:lang w:eastAsia="en-AU"/>
              </w:rPr>
            </w:pPr>
            <w:bookmarkStart w:id="15" w:name="Title_06"/>
            <w:bookmarkEnd w:id="15"/>
            <w:r w:rsidRPr="00A90356">
              <w:rPr>
                <w:rFonts w:eastAsia="Times New Roman" w:cs="Calibri"/>
                <w:b/>
                <w:bCs/>
                <w:color w:val="FFFFFF" w:themeColor="background1"/>
                <w:lang w:val="es" w:eastAsia="en-AU"/>
              </w:rPr>
              <w:t>Objetivo</w:t>
            </w:r>
          </w:p>
        </w:tc>
        <w:tc>
          <w:tcPr>
            <w:tcW w:w="817" w:type="pct"/>
            <w:tcBorders>
              <w:top w:val="nil"/>
              <w:left w:val="single" w:sz="4" w:space="0" w:color="FFFFFF" w:themeColor="background1"/>
              <w:bottom w:val="single" w:sz="4" w:space="0" w:color="auto"/>
              <w:right w:val="single" w:sz="4" w:space="0" w:color="FFFFFF" w:themeColor="background1"/>
            </w:tcBorders>
            <w:shd w:val="clear" w:color="auto" w:fill="6C1740"/>
            <w:hideMark/>
          </w:tcPr>
          <w:p w14:paraId="426F768D" w14:textId="3C93B796" w:rsidR="007559E9" w:rsidRPr="003E3C14" w:rsidRDefault="007559E9" w:rsidP="00464AAF">
            <w:pPr>
              <w:spacing w:after="0" w:line="240" w:lineRule="auto"/>
              <w:rPr>
                <w:rFonts w:eastAsia="Times New Roman" w:cs="Arial"/>
                <w:b/>
                <w:color w:val="FFFFFF" w:themeColor="background1"/>
                <w:sz w:val="20"/>
                <w:szCs w:val="20"/>
                <w:lang w:eastAsia="en-AU"/>
              </w:rPr>
            </w:pPr>
            <w:r w:rsidRPr="00BC2F9E">
              <w:rPr>
                <w:rFonts w:eastAsia="Times New Roman" w:cs="Calibri"/>
                <w:b/>
                <w:bCs/>
                <w:color w:val="FFFFFF" w:themeColor="background1"/>
                <w:lang w:val="es" w:eastAsia="en-AU"/>
              </w:rPr>
              <w:t>Completada</w:t>
            </w:r>
          </w:p>
        </w:tc>
        <w:tc>
          <w:tcPr>
            <w:tcW w:w="583"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4923D132" w14:textId="5D00FB9A" w:rsidR="007559E9" w:rsidRPr="003E3C14" w:rsidRDefault="007559E9" w:rsidP="002A249B">
            <w:pPr>
              <w:spacing w:after="0" w:line="240" w:lineRule="auto"/>
              <w:rPr>
                <w:rFonts w:eastAsia="Times New Roman" w:cs="Arial"/>
                <w:b/>
                <w:color w:val="FFFFFF" w:themeColor="background1"/>
                <w:sz w:val="20"/>
                <w:szCs w:val="20"/>
                <w:lang w:eastAsia="en-AU"/>
              </w:rPr>
            </w:pPr>
            <w:r w:rsidRPr="00BC2F9E">
              <w:rPr>
                <w:rFonts w:eastAsia="Times New Roman" w:cs="Calibri"/>
                <w:b/>
                <w:bCs/>
                <w:color w:val="FFFFFF" w:themeColor="background1"/>
                <w:lang w:val="es" w:eastAsia="en-AU"/>
              </w:rPr>
              <w:t>En curso</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7E1D3A0F" w14:textId="50BF1996" w:rsidR="007559E9" w:rsidRPr="003E3C14" w:rsidRDefault="007559E9" w:rsidP="002A249B">
            <w:pPr>
              <w:spacing w:after="0" w:line="240" w:lineRule="auto"/>
              <w:rPr>
                <w:rFonts w:eastAsia="Times New Roman" w:cs="Arial"/>
                <w:b/>
                <w:color w:val="FFFFFF" w:themeColor="background1"/>
                <w:sz w:val="20"/>
                <w:szCs w:val="20"/>
                <w:lang w:eastAsia="en-AU"/>
              </w:rPr>
            </w:pPr>
            <w:r w:rsidRPr="00BC2F9E">
              <w:rPr>
                <w:rFonts w:eastAsia="Times New Roman" w:cs="Calibri"/>
                <w:b/>
                <w:bCs/>
                <w:color w:val="FFFFFF" w:themeColor="background1"/>
                <w:lang w:val="es" w:eastAsia="en-AU"/>
              </w:rPr>
              <w:t>Algunas demoras</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42495BEB" w14:textId="5A425864" w:rsidR="007559E9" w:rsidRPr="003E3C14" w:rsidRDefault="007559E9" w:rsidP="002A249B">
            <w:pPr>
              <w:spacing w:after="0" w:line="240" w:lineRule="auto"/>
              <w:rPr>
                <w:rFonts w:eastAsia="Times New Roman" w:cs="Arial"/>
                <w:b/>
                <w:color w:val="FFFFFF" w:themeColor="background1"/>
                <w:sz w:val="20"/>
                <w:szCs w:val="20"/>
                <w:lang w:eastAsia="en-AU"/>
              </w:rPr>
            </w:pPr>
            <w:r w:rsidRPr="00BC2F9E">
              <w:rPr>
                <w:rFonts w:eastAsia="Times New Roman" w:cs="Calibri"/>
                <w:b/>
                <w:bCs/>
                <w:color w:val="FFFFFF" w:themeColor="background1"/>
                <w:lang w:val="es" w:eastAsia="en-AU"/>
              </w:rPr>
              <w:t>En pausa</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135813A0" w14:textId="197B7CD8" w:rsidR="007559E9" w:rsidRPr="003E3C14" w:rsidRDefault="007559E9" w:rsidP="002A249B">
            <w:pPr>
              <w:spacing w:after="0" w:line="240" w:lineRule="auto"/>
              <w:rPr>
                <w:rFonts w:eastAsia="Times New Roman" w:cs="Arial"/>
                <w:b/>
                <w:color w:val="FFFFFF" w:themeColor="background1"/>
                <w:sz w:val="20"/>
                <w:szCs w:val="20"/>
                <w:lang w:eastAsia="en-AU"/>
              </w:rPr>
            </w:pPr>
            <w:r w:rsidRPr="00BC2F9E">
              <w:rPr>
                <w:rFonts w:eastAsia="Times New Roman" w:cs="Calibri"/>
                <w:b/>
                <w:bCs/>
                <w:color w:val="FFFFFF" w:themeColor="background1"/>
                <w:lang w:val="es" w:eastAsia="en-AU"/>
              </w:rPr>
              <w:t>Inicio futuro</w:t>
            </w:r>
          </w:p>
        </w:tc>
        <w:tc>
          <w:tcPr>
            <w:tcW w:w="700" w:type="pct"/>
            <w:tcBorders>
              <w:top w:val="nil"/>
              <w:left w:val="single" w:sz="4" w:space="0" w:color="FFFFFF" w:themeColor="background1"/>
              <w:bottom w:val="single" w:sz="4" w:space="0" w:color="auto"/>
            </w:tcBorders>
            <w:shd w:val="clear" w:color="auto" w:fill="6C1740"/>
            <w:noWrap/>
            <w:hideMark/>
          </w:tcPr>
          <w:p w14:paraId="34F59F04" w14:textId="5DA1C70C" w:rsidR="007559E9" w:rsidRPr="003E3C14" w:rsidRDefault="007559E9" w:rsidP="002A249B">
            <w:pPr>
              <w:spacing w:after="0" w:line="240" w:lineRule="auto"/>
              <w:rPr>
                <w:rFonts w:eastAsia="Times New Roman" w:cs="Arial"/>
                <w:b/>
                <w:color w:val="FFFFFF" w:themeColor="background1"/>
                <w:sz w:val="20"/>
                <w:szCs w:val="20"/>
                <w:lang w:eastAsia="en-AU"/>
              </w:rPr>
            </w:pPr>
            <w:r w:rsidRPr="00BC2F9E">
              <w:rPr>
                <w:b/>
                <w:color w:val="FFFFFF" w:themeColor="background1"/>
                <w:sz w:val="20"/>
                <w:szCs w:val="20"/>
              </w:rPr>
              <w:t>Total</w:t>
            </w:r>
          </w:p>
        </w:tc>
      </w:tr>
      <w:tr w:rsidR="007559E9" w:rsidRPr="003E3C14" w14:paraId="3B1F9CDC" w14:textId="77777777" w:rsidTr="00386338">
        <w:tc>
          <w:tcPr>
            <w:tcW w:w="800" w:type="pct"/>
            <w:tcBorders>
              <w:top w:val="single" w:sz="4" w:space="0" w:color="auto"/>
            </w:tcBorders>
            <w:shd w:val="clear" w:color="auto" w:fill="auto"/>
            <w:noWrap/>
            <w:vAlign w:val="bottom"/>
            <w:hideMark/>
          </w:tcPr>
          <w:p w14:paraId="7A7D6A96" w14:textId="7484AE32" w:rsidR="007559E9" w:rsidRPr="003E3C14" w:rsidRDefault="007559E9" w:rsidP="002A249B">
            <w:pPr>
              <w:spacing w:after="0" w:line="240" w:lineRule="auto"/>
              <w:rPr>
                <w:rFonts w:eastAsia="Times New Roman" w:cs="Arial"/>
                <w:color w:val="000000"/>
                <w:sz w:val="20"/>
                <w:szCs w:val="20"/>
                <w:lang w:eastAsia="en-AU"/>
              </w:rPr>
            </w:pPr>
            <w:r w:rsidRPr="004810AC">
              <w:rPr>
                <w:rFonts w:eastAsia="Times New Roman" w:cs="Calibri"/>
                <w:color w:val="000000"/>
                <w:lang w:val="es" w:eastAsia="en-AU"/>
              </w:rPr>
              <w:t>Objetivo 1</w:t>
            </w:r>
          </w:p>
        </w:tc>
        <w:tc>
          <w:tcPr>
            <w:tcW w:w="817" w:type="pct"/>
            <w:tcBorders>
              <w:top w:val="single" w:sz="4" w:space="0" w:color="auto"/>
            </w:tcBorders>
            <w:shd w:val="clear" w:color="auto" w:fill="auto"/>
            <w:noWrap/>
            <w:vAlign w:val="bottom"/>
            <w:hideMark/>
          </w:tcPr>
          <w:p w14:paraId="386EFECB"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2</w:t>
            </w:r>
          </w:p>
        </w:tc>
        <w:tc>
          <w:tcPr>
            <w:tcW w:w="583" w:type="pct"/>
            <w:tcBorders>
              <w:top w:val="single" w:sz="4" w:space="0" w:color="auto"/>
            </w:tcBorders>
            <w:shd w:val="clear" w:color="auto" w:fill="auto"/>
            <w:noWrap/>
            <w:vAlign w:val="bottom"/>
            <w:hideMark/>
          </w:tcPr>
          <w:p w14:paraId="153186CB"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5</w:t>
            </w:r>
          </w:p>
        </w:tc>
        <w:tc>
          <w:tcPr>
            <w:tcW w:w="700" w:type="pct"/>
            <w:tcBorders>
              <w:top w:val="single" w:sz="4" w:space="0" w:color="auto"/>
            </w:tcBorders>
            <w:shd w:val="clear" w:color="auto" w:fill="auto"/>
            <w:noWrap/>
            <w:vAlign w:val="bottom"/>
            <w:hideMark/>
          </w:tcPr>
          <w:p w14:paraId="280CD371"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0F186AA6" w14:textId="77777777" w:rsidR="007559E9" w:rsidRPr="003E3C14" w:rsidRDefault="007559E9"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0</w:t>
            </w:r>
          </w:p>
        </w:tc>
        <w:tc>
          <w:tcPr>
            <w:tcW w:w="700" w:type="pct"/>
            <w:tcBorders>
              <w:top w:val="single" w:sz="4" w:space="0" w:color="auto"/>
            </w:tcBorders>
            <w:shd w:val="clear" w:color="auto" w:fill="auto"/>
            <w:noWrap/>
            <w:vAlign w:val="bottom"/>
            <w:hideMark/>
          </w:tcPr>
          <w:p w14:paraId="36C0188E"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027AC68C" w14:textId="77777777" w:rsidR="007559E9" w:rsidRPr="003E3C14" w:rsidRDefault="007559E9"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7</w:t>
            </w:r>
          </w:p>
        </w:tc>
      </w:tr>
      <w:tr w:rsidR="007559E9" w:rsidRPr="003E3C14" w14:paraId="5E690D40" w14:textId="77777777" w:rsidTr="00386338">
        <w:tc>
          <w:tcPr>
            <w:tcW w:w="800" w:type="pct"/>
            <w:shd w:val="clear" w:color="auto" w:fill="FAF9F8"/>
            <w:noWrap/>
            <w:vAlign w:val="bottom"/>
            <w:hideMark/>
          </w:tcPr>
          <w:p w14:paraId="46D18003" w14:textId="3DFA764C" w:rsidR="007559E9" w:rsidRPr="003E3C14" w:rsidRDefault="007559E9" w:rsidP="002A249B">
            <w:pPr>
              <w:spacing w:after="0" w:line="240" w:lineRule="auto"/>
              <w:rPr>
                <w:rFonts w:eastAsia="Times New Roman" w:cs="Arial"/>
                <w:color w:val="000000"/>
                <w:sz w:val="20"/>
                <w:szCs w:val="20"/>
                <w:lang w:eastAsia="en-AU"/>
              </w:rPr>
            </w:pPr>
            <w:r w:rsidRPr="004810AC">
              <w:rPr>
                <w:rFonts w:eastAsia="Times New Roman" w:cs="Calibri"/>
                <w:color w:val="000000"/>
                <w:lang w:val="es" w:eastAsia="en-AU"/>
              </w:rPr>
              <w:t>Objetivo 2</w:t>
            </w:r>
          </w:p>
        </w:tc>
        <w:tc>
          <w:tcPr>
            <w:tcW w:w="817" w:type="pct"/>
            <w:shd w:val="clear" w:color="auto" w:fill="FAF9F8"/>
            <w:noWrap/>
            <w:vAlign w:val="bottom"/>
            <w:hideMark/>
          </w:tcPr>
          <w:p w14:paraId="6E28C6A2"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4</w:t>
            </w:r>
          </w:p>
        </w:tc>
        <w:tc>
          <w:tcPr>
            <w:tcW w:w="583" w:type="pct"/>
            <w:shd w:val="clear" w:color="auto" w:fill="FAF9F8"/>
            <w:noWrap/>
            <w:vAlign w:val="bottom"/>
            <w:hideMark/>
          </w:tcPr>
          <w:p w14:paraId="2D5922FF" w14:textId="4F45A39B"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10</w:t>
            </w:r>
          </w:p>
        </w:tc>
        <w:tc>
          <w:tcPr>
            <w:tcW w:w="700" w:type="pct"/>
            <w:shd w:val="clear" w:color="auto" w:fill="FAF9F8"/>
            <w:noWrap/>
            <w:vAlign w:val="bottom"/>
            <w:hideMark/>
          </w:tcPr>
          <w:p w14:paraId="4FA06B13" w14:textId="3DA2531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4</w:t>
            </w:r>
          </w:p>
        </w:tc>
        <w:tc>
          <w:tcPr>
            <w:tcW w:w="700" w:type="pct"/>
            <w:shd w:val="clear" w:color="auto" w:fill="FAF9F8"/>
            <w:noWrap/>
            <w:vAlign w:val="bottom"/>
            <w:hideMark/>
          </w:tcPr>
          <w:p w14:paraId="58389AF5"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FAF9F8"/>
            <w:noWrap/>
            <w:vAlign w:val="bottom"/>
            <w:hideMark/>
          </w:tcPr>
          <w:p w14:paraId="0E9D87CB" w14:textId="77777777" w:rsidR="007559E9" w:rsidRPr="003E3C14" w:rsidRDefault="007559E9"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FAF9F8"/>
            <w:noWrap/>
            <w:vAlign w:val="bottom"/>
            <w:hideMark/>
          </w:tcPr>
          <w:p w14:paraId="4C6F219B" w14:textId="77777777" w:rsidR="007559E9" w:rsidRPr="003E3C14" w:rsidRDefault="007559E9"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18</w:t>
            </w:r>
          </w:p>
        </w:tc>
      </w:tr>
      <w:tr w:rsidR="001B610F" w:rsidRPr="003E3C14" w14:paraId="18C80F20" w14:textId="77777777" w:rsidTr="00386338">
        <w:tc>
          <w:tcPr>
            <w:tcW w:w="800" w:type="pct"/>
            <w:shd w:val="clear" w:color="auto" w:fill="auto"/>
            <w:noWrap/>
            <w:vAlign w:val="bottom"/>
            <w:hideMark/>
          </w:tcPr>
          <w:p w14:paraId="7F2E3733" w14:textId="3F603C8D" w:rsidR="00AF7CD8" w:rsidRPr="003E3C14" w:rsidRDefault="007559E9" w:rsidP="002A249B">
            <w:pPr>
              <w:spacing w:after="0" w:line="240" w:lineRule="auto"/>
              <w:rPr>
                <w:rFonts w:eastAsia="Times New Roman" w:cs="Arial"/>
                <w:color w:val="000000"/>
                <w:sz w:val="20"/>
                <w:szCs w:val="20"/>
                <w:lang w:eastAsia="en-AU"/>
              </w:rPr>
            </w:pPr>
            <w:r w:rsidRPr="004810AC">
              <w:rPr>
                <w:rFonts w:eastAsia="Times New Roman" w:cs="Calibri"/>
                <w:color w:val="000000"/>
                <w:lang w:val="es" w:eastAsia="en-AU"/>
              </w:rPr>
              <w:t>Objetivo</w:t>
            </w:r>
            <w:r w:rsidR="00AF7CD8" w:rsidRPr="003E3C14">
              <w:rPr>
                <w:rFonts w:eastAsia="Times New Roman" w:cs="Arial"/>
                <w:color w:val="000000"/>
                <w:sz w:val="20"/>
                <w:szCs w:val="20"/>
                <w:lang w:eastAsia="en-AU"/>
              </w:rPr>
              <w:t xml:space="preserve"> 3</w:t>
            </w:r>
          </w:p>
        </w:tc>
        <w:tc>
          <w:tcPr>
            <w:tcW w:w="817" w:type="pct"/>
            <w:shd w:val="clear" w:color="auto" w:fill="auto"/>
            <w:noWrap/>
            <w:vAlign w:val="bottom"/>
            <w:hideMark/>
          </w:tcPr>
          <w:p w14:paraId="2B088F66" w14:textId="175A74C5" w:rsidR="00AF7CD8" w:rsidRPr="003E3C14" w:rsidRDefault="00E732EA"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4</w:t>
            </w:r>
          </w:p>
        </w:tc>
        <w:tc>
          <w:tcPr>
            <w:tcW w:w="583" w:type="pct"/>
            <w:shd w:val="clear" w:color="auto" w:fill="auto"/>
            <w:noWrap/>
            <w:vAlign w:val="bottom"/>
            <w:hideMark/>
          </w:tcPr>
          <w:p w14:paraId="0271F6E1" w14:textId="77777777" w:rsidR="00AF7CD8" w:rsidRPr="003E3C14" w:rsidRDefault="00AF7CD8"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3</w:t>
            </w:r>
          </w:p>
        </w:tc>
        <w:tc>
          <w:tcPr>
            <w:tcW w:w="700" w:type="pct"/>
            <w:shd w:val="clear" w:color="auto" w:fill="auto"/>
            <w:noWrap/>
            <w:vAlign w:val="bottom"/>
            <w:hideMark/>
          </w:tcPr>
          <w:p w14:paraId="6918B967" w14:textId="043E7420" w:rsidR="00AF7CD8" w:rsidRPr="003E3C14" w:rsidRDefault="00E732EA"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auto"/>
            <w:noWrap/>
            <w:vAlign w:val="bottom"/>
            <w:hideMark/>
          </w:tcPr>
          <w:p w14:paraId="748D8FF1" w14:textId="77777777" w:rsidR="00AF7CD8" w:rsidRPr="003E3C14" w:rsidRDefault="00AF7CD8"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0</w:t>
            </w:r>
          </w:p>
        </w:tc>
        <w:tc>
          <w:tcPr>
            <w:tcW w:w="700" w:type="pct"/>
            <w:shd w:val="clear" w:color="auto" w:fill="auto"/>
            <w:noWrap/>
            <w:vAlign w:val="bottom"/>
            <w:hideMark/>
          </w:tcPr>
          <w:p w14:paraId="75D7F421" w14:textId="77777777" w:rsidR="00AF7CD8" w:rsidRPr="003E3C14" w:rsidRDefault="00AF7CD8"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0</w:t>
            </w:r>
          </w:p>
        </w:tc>
        <w:tc>
          <w:tcPr>
            <w:tcW w:w="700" w:type="pct"/>
            <w:shd w:val="clear" w:color="auto" w:fill="auto"/>
            <w:noWrap/>
            <w:vAlign w:val="bottom"/>
            <w:hideMark/>
          </w:tcPr>
          <w:p w14:paraId="78BD7F42" w14:textId="77777777" w:rsidR="00AF7CD8" w:rsidRPr="003E3C14" w:rsidRDefault="00AF7CD8"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7</w:t>
            </w:r>
          </w:p>
        </w:tc>
      </w:tr>
      <w:tr w:rsidR="001B610F" w:rsidRPr="003E3C14" w14:paraId="43038C41" w14:textId="77777777" w:rsidTr="00386338">
        <w:tc>
          <w:tcPr>
            <w:tcW w:w="800" w:type="pct"/>
            <w:shd w:val="clear" w:color="auto" w:fill="FAF9F8"/>
            <w:noWrap/>
            <w:vAlign w:val="bottom"/>
            <w:hideMark/>
          </w:tcPr>
          <w:p w14:paraId="4DF8F3C0" w14:textId="155938EB" w:rsidR="00AF7CD8" w:rsidRPr="003E3C14" w:rsidRDefault="007559E9" w:rsidP="002A249B">
            <w:pPr>
              <w:spacing w:after="0" w:line="240" w:lineRule="auto"/>
              <w:rPr>
                <w:rFonts w:eastAsia="Times New Roman" w:cs="Arial"/>
                <w:color w:val="000000"/>
                <w:sz w:val="20"/>
                <w:szCs w:val="20"/>
                <w:lang w:eastAsia="en-AU"/>
              </w:rPr>
            </w:pPr>
            <w:r w:rsidRPr="004810AC">
              <w:rPr>
                <w:rFonts w:eastAsia="Times New Roman" w:cs="Calibri"/>
                <w:color w:val="000000"/>
                <w:lang w:val="es" w:eastAsia="en-AU"/>
              </w:rPr>
              <w:t>Objetivo</w:t>
            </w:r>
            <w:r w:rsidR="00AF7CD8" w:rsidRPr="003E3C14">
              <w:rPr>
                <w:rFonts w:eastAsia="Times New Roman" w:cs="Arial"/>
                <w:color w:val="000000"/>
                <w:sz w:val="20"/>
                <w:szCs w:val="20"/>
                <w:lang w:eastAsia="en-AU"/>
              </w:rPr>
              <w:t xml:space="preserve"> 4</w:t>
            </w:r>
          </w:p>
        </w:tc>
        <w:tc>
          <w:tcPr>
            <w:tcW w:w="817" w:type="pct"/>
            <w:shd w:val="clear" w:color="auto" w:fill="FAF9F8"/>
            <w:noWrap/>
            <w:vAlign w:val="bottom"/>
            <w:hideMark/>
          </w:tcPr>
          <w:p w14:paraId="62ABDE45" w14:textId="77777777" w:rsidR="00AF7CD8" w:rsidRPr="003E3C14" w:rsidRDefault="00AF7CD8"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10</w:t>
            </w:r>
          </w:p>
        </w:tc>
        <w:tc>
          <w:tcPr>
            <w:tcW w:w="583" w:type="pct"/>
            <w:shd w:val="clear" w:color="auto" w:fill="FAF9F8"/>
            <w:noWrap/>
            <w:vAlign w:val="bottom"/>
            <w:hideMark/>
          </w:tcPr>
          <w:p w14:paraId="767AEEE1" w14:textId="77777777" w:rsidR="00AF7CD8" w:rsidRPr="003E3C14" w:rsidRDefault="00AF7CD8"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15</w:t>
            </w:r>
          </w:p>
        </w:tc>
        <w:tc>
          <w:tcPr>
            <w:tcW w:w="700" w:type="pct"/>
            <w:shd w:val="clear" w:color="auto" w:fill="FAF9F8"/>
            <w:noWrap/>
            <w:vAlign w:val="bottom"/>
            <w:hideMark/>
          </w:tcPr>
          <w:p w14:paraId="652B2A91" w14:textId="77777777" w:rsidR="00AF7CD8" w:rsidRPr="003E3C14" w:rsidRDefault="00AF7CD8"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6</w:t>
            </w:r>
          </w:p>
        </w:tc>
        <w:tc>
          <w:tcPr>
            <w:tcW w:w="700" w:type="pct"/>
            <w:shd w:val="clear" w:color="auto" w:fill="FAF9F8"/>
            <w:noWrap/>
            <w:vAlign w:val="bottom"/>
            <w:hideMark/>
          </w:tcPr>
          <w:p w14:paraId="440CEE31" w14:textId="77777777" w:rsidR="00AF7CD8" w:rsidRPr="003E3C14" w:rsidRDefault="00AF7CD8"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FAF9F8"/>
            <w:noWrap/>
            <w:vAlign w:val="bottom"/>
            <w:hideMark/>
          </w:tcPr>
          <w:p w14:paraId="3F1AAEC2" w14:textId="77777777" w:rsidR="00AF7CD8" w:rsidRPr="003E3C14" w:rsidRDefault="00AF7CD8"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FAF9F8"/>
            <w:noWrap/>
            <w:vAlign w:val="bottom"/>
            <w:hideMark/>
          </w:tcPr>
          <w:p w14:paraId="7DAF23F6" w14:textId="77777777" w:rsidR="00AF7CD8" w:rsidRPr="003E3C14" w:rsidRDefault="00AF7CD8"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31</w:t>
            </w:r>
          </w:p>
        </w:tc>
      </w:tr>
      <w:tr w:rsidR="001B610F" w:rsidRPr="003E3C14" w14:paraId="511AF1A6" w14:textId="77777777" w:rsidTr="00386338">
        <w:trPr>
          <w:trHeight w:val="199"/>
        </w:trPr>
        <w:tc>
          <w:tcPr>
            <w:tcW w:w="800" w:type="pct"/>
            <w:shd w:val="clear" w:color="auto" w:fill="E4E9F3"/>
            <w:noWrap/>
            <w:vAlign w:val="bottom"/>
            <w:hideMark/>
          </w:tcPr>
          <w:p w14:paraId="7A286510" w14:textId="1FC655E6" w:rsidR="00AF7CD8" w:rsidRPr="003E3C14" w:rsidRDefault="007559E9" w:rsidP="002A249B">
            <w:pPr>
              <w:spacing w:after="0" w:line="240" w:lineRule="auto"/>
              <w:rPr>
                <w:rFonts w:eastAsia="Times New Roman" w:cs="Arial"/>
                <w:b/>
                <w:color w:val="000000"/>
                <w:sz w:val="20"/>
                <w:szCs w:val="20"/>
                <w:lang w:eastAsia="en-AU"/>
              </w:rPr>
            </w:pPr>
            <w:r w:rsidRPr="003E3C14">
              <w:rPr>
                <w:b/>
                <w:sz w:val="20"/>
                <w:szCs w:val="20"/>
              </w:rPr>
              <w:t>Total</w:t>
            </w:r>
          </w:p>
        </w:tc>
        <w:tc>
          <w:tcPr>
            <w:tcW w:w="817" w:type="pct"/>
            <w:shd w:val="clear" w:color="auto" w:fill="E4E9F3"/>
            <w:noWrap/>
            <w:vAlign w:val="bottom"/>
            <w:hideMark/>
          </w:tcPr>
          <w:p w14:paraId="7ABA13A4" w14:textId="6AF998D5" w:rsidR="00AF7CD8" w:rsidRPr="003E3C14" w:rsidRDefault="00E732EA" w:rsidP="002A249B">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20</w:t>
            </w:r>
          </w:p>
        </w:tc>
        <w:tc>
          <w:tcPr>
            <w:tcW w:w="583" w:type="pct"/>
            <w:shd w:val="clear" w:color="auto" w:fill="E4E9F3"/>
            <w:noWrap/>
            <w:vAlign w:val="bottom"/>
            <w:hideMark/>
          </w:tcPr>
          <w:p w14:paraId="4F906C18" w14:textId="04691FD7" w:rsidR="00AF7CD8" w:rsidRPr="003E3C14" w:rsidRDefault="00E732EA" w:rsidP="002A249B">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33</w:t>
            </w:r>
          </w:p>
        </w:tc>
        <w:tc>
          <w:tcPr>
            <w:tcW w:w="700" w:type="pct"/>
            <w:shd w:val="clear" w:color="auto" w:fill="E4E9F3"/>
            <w:noWrap/>
            <w:vAlign w:val="bottom"/>
            <w:hideMark/>
          </w:tcPr>
          <w:p w14:paraId="728FB5C0" w14:textId="4FF72357" w:rsidR="00AF7CD8" w:rsidRPr="003E3C14" w:rsidRDefault="00E732EA" w:rsidP="002A249B">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10</w:t>
            </w:r>
          </w:p>
        </w:tc>
        <w:tc>
          <w:tcPr>
            <w:tcW w:w="700" w:type="pct"/>
            <w:shd w:val="clear" w:color="auto" w:fill="E4E9F3"/>
            <w:noWrap/>
            <w:vAlign w:val="bottom"/>
            <w:hideMark/>
          </w:tcPr>
          <w:p w14:paraId="0E3C6936" w14:textId="77777777" w:rsidR="00AF7CD8" w:rsidRPr="003E3C14" w:rsidRDefault="00AF7CD8" w:rsidP="002A249B">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0</w:t>
            </w:r>
          </w:p>
        </w:tc>
        <w:tc>
          <w:tcPr>
            <w:tcW w:w="700" w:type="pct"/>
            <w:shd w:val="clear" w:color="auto" w:fill="E4E9F3"/>
            <w:noWrap/>
            <w:vAlign w:val="bottom"/>
            <w:hideMark/>
          </w:tcPr>
          <w:p w14:paraId="3E9CE3CE" w14:textId="77777777" w:rsidR="00AF7CD8" w:rsidRPr="003E3C14" w:rsidRDefault="00AF7CD8" w:rsidP="002A249B">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0</w:t>
            </w:r>
          </w:p>
        </w:tc>
        <w:tc>
          <w:tcPr>
            <w:tcW w:w="700" w:type="pct"/>
            <w:shd w:val="clear" w:color="auto" w:fill="E4E9F3"/>
            <w:noWrap/>
            <w:vAlign w:val="bottom"/>
            <w:hideMark/>
          </w:tcPr>
          <w:p w14:paraId="23DC2F9A" w14:textId="77777777" w:rsidR="00AF7CD8" w:rsidRPr="003E3C14" w:rsidRDefault="00AF7CD8" w:rsidP="002A249B">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63</w:t>
            </w:r>
          </w:p>
        </w:tc>
      </w:tr>
    </w:tbl>
    <w:p w14:paraId="68EBE025" w14:textId="77777777" w:rsidR="008E35C9" w:rsidRPr="003E3C14" w:rsidRDefault="008E35C9">
      <w:r w:rsidRPr="003E3C14">
        <w:br w:type="page"/>
      </w:r>
    </w:p>
    <w:p w14:paraId="7E6FCA5D" w14:textId="3FC54E6A" w:rsidR="00C62233" w:rsidRPr="003E3C14" w:rsidRDefault="00B709F1" w:rsidP="00DA227A">
      <w:pPr>
        <w:pStyle w:val="Heading1"/>
      </w:pPr>
      <w:bookmarkStart w:id="16" w:name="_Toc153314035"/>
      <w:r w:rsidRPr="00501ED4">
        <w:rPr>
          <w:rFonts w:cs="Arial"/>
          <w:lang w:val="es-ES"/>
        </w:rPr>
        <w:lastRenderedPageBreak/>
        <w:t>Plan de Acción Específica de la Primera Infancia</w:t>
      </w:r>
      <w:bookmarkEnd w:id="16"/>
    </w:p>
    <w:p w14:paraId="78711C3D" w14:textId="033F9436" w:rsidR="00DA227A" w:rsidRPr="003E3C14" w:rsidRDefault="00B709F1" w:rsidP="00515A1C">
      <w:pPr>
        <w:pStyle w:val="Heading2"/>
        <w:pBdr>
          <w:top w:val="none" w:sz="0" w:space="0" w:color="auto"/>
        </w:pBdr>
      </w:pPr>
      <w:bookmarkStart w:id="17" w:name="_Toc153314036"/>
      <w:r w:rsidRPr="00501ED4">
        <w:rPr>
          <w:rFonts w:cs="Arial"/>
          <w:lang w:val="es-ES"/>
        </w:rPr>
        <w:t>Introducción</w:t>
      </w:r>
      <w:bookmarkEnd w:id="17"/>
    </w:p>
    <w:p w14:paraId="67237B56" w14:textId="77777777" w:rsidR="00B709F1" w:rsidRPr="00501ED4" w:rsidRDefault="00B709F1" w:rsidP="00B709F1">
      <w:pPr>
        <w:spacing w:before="240" w:after="240" w:line="240" w:lineRule="auto"/>
        <w:rPr>
          <w:rFonts w:cs="Arial"/>
          <w:lang w:val="es-ES"/>
        </w:rPr>
      </w:pPr>
      <w:r w:rsidRPr="00501ED4">
        <w:rPr>
          <w:rFonts w:cs="Arial"/>
          <w:lang w:val="es-ES"/>
        </w:rPr>
        <w:t>El TAP de la Primera Infancia está diseñado para impulsar el progreso conforme a las Áreas de Resultados de Salud y Bienestar; Educación y Aprendizaje; Hogares y Comunidades Inclusivos; y Ayuda Personal y de la Comunidad de la ADS.</w:t>
      </w:r>
    </w:p>
    <w:p w14:paraId="573F7C44" w14:textId="77777777" w:rsidR="00B709F1" w:rsidRPr="00501ED4" w:rsidRDefault="00B709F1" w:rsidP="00B709F1">
      <w:pPr>
        <w:spacing w:before="240" w:after="240" w:line="240" w:lineRule="auto"/>
        <w:rPr>
          <w:rFonts w:cs="Arial"/>
          <w:lang w:val="es-ES"/>
        </w:rPr>
      </w:pPr>
      <w:r w:rsidRPr="00501ED4">
        <w:rPr>
          <w:rFonts w:cs="Arial"/>
          <w:lang w:val="es-ES"/>
        </w:rPr>
        <w:t>Respectivamente, estas Áreas de Resultados tienen por objetivo garantizar que las personas con discapacidad alcancen los mejores resultados posibles relacionados con la salud y el bienestar a lo largo de sus vidas; logren su máximo potencial a través de la educación y el aprendizaje; vivan en hogares y comunidades inclusivos, accesibles y bien diseñados; y tengan acceso a una gama de apoyos para ayudarlas a que vivan de forma independiente y a participar en sus comunidades.</w:t>
      </w:r>
    </w:p>
    <w:p w14:paraId="398F175E" w14:textId="77777777" w:rsidR="00B709F1" w:rsidRPr="00501ED4" w:rsidRDefault="00B709F1" w:rsidP="00B709F1">
      <w:pPr>
        <w:spacing w:before="240" w:after="240" w:line="240" w:lineRule="auto"/>
        <w:rPr>
          <w:rFonts w:cs="Arial"/>
          <w:lang w:val="es-ES"/>
        </w:rPr>
      </w:pPr>
      <w:r w:rsidRPr="00501ED4">
        <w:rPr>
          <w:rFonts w:cs="Arial"/>
          <w:lang w:val="es-ES"/>
        </w:rPr>
        <w:t xml:space="preserve">En el TAP de </w:t>
      </w:r>
      <w:r>
        <w:rPr>
          <w:rFonts w:cs="Arial"/>
          <w:lang w:val="es-ES"/>
        </w:rPr>
        <w:t xml:space="preserve">la </w:t>
      </w:r>
      <w:r w:rsidRPr="00501ED4">
        <w:rPr>
          <w:rFonts w:cs="Arial"/>
          <w:lang w:val="es-ES"/>
        </w:rPr>
        <w:t>Primera Infancia, hay 74 acciones sobre las que se informa en el gobierno australiano y los gobiernos estatales y territoriales para el período 2022-2023.</w:t>
      </w:r>
    </w:p>
    <w:p w14:paraId="1CF110F0" w14:textId="418042BF" w:rsidR="00B709F1" w:rsidRPr="003E3C14" w:rsidRDefault="00B709F1" w:rsidP="00B709F1">
      <w:pPr>
        <w:spacing w:before="240" w:after="240" w:line="240" w:lineRule="auto"/>
      </w:pPr>
      <w:r w:rsidRPr="00501ED4">
        <w:rPr>
          <w:rFonts w:cs="Arial"/>
          <w:lang w:val="es-ES"/>
        </w:rPr>
        <w:t>Están incluidas acciones que desarrollarán recursos, establecerán grupos de apoyo entre pares, apoyarán a padres y cuidadores, y promoverán prácticas inclusivas en la educación y cuidados en el jardín de infantes y la primera infancia.</w:t>
      </w:r>
    </w:p>
    <w:p w14:paraId="25AA41AC" w14:textId="65E6A7F0" w:rsidR="00C62233" w:rsidRPr="003E3C14" w:rsidRDefault="00B709F1" w:rsidP="00F52039">
      <w:pPr>
        <w:pStyle w:val="Heading2"/>
      </w:pPr>
      <w:bookmarkStart w:id="18" w:name="_Toc153314037"/>
      <w:r w:rsidRPr="00501ED4">
        <w:rPr>
          <w:rFonts w:cs="Arial"/>
          <w:lang w:val="es-ES"/>
        </w:rPr>
        <w:t>Objetivos:</w:t>
      </w:r>
      <w:bookmarkEnd w:id="18"/>
      <w:r w:rsidR="00C62233" w:rsidRPr="003E3C14">
        <w:t xml:space="preserve"> </w:t>
      </w:r>
    </w:p>
    <w:p w14:paraId="6E2629E9" w14:textId="77777777" w:rsidR="00B709F1" w:rsidRPr="00B709F1" w:rsidRDefault="00B709F1" w:rsidP="00B709F1">
      <w:pPr>
        <w:pStyle w:val="ListParagraph"/>
        <w:numPr>
          <w:ilvl w:val="0"/>
          <w:numId w:val="23"/>
        </w:numPr>
        <w:spacing w:before="240" w:after="240" w:line="240" w:lineRule="auto"/>
        <w:rPr>
          <w:rFonts w:cs="Arial"/>
          <w:lang w:val="es-ES"/>
        </w:rPr>
      </w:pPr>
      <w:r w:rsidRPr="00B709F1">
        <w:rPr>
          <w:rFonts w:cs="Arial"/>
          <w:lang w:val="es-ES"/>
        </w:rPr>
        <w:t xml:space="preserve">Permitir la identificación temprana de la discapacidad o de problemas de desarrollo y crear vías más claras y un acceso oportuno para apoyos apropiados. </w:t>
      </w:r>
    </w:p>
    <w:p w14:paraId="4922C116" w14:textId="270340D7" w:rsidR="00B709F1" w:rsidRPr="00B709F1" w:rsidRDefault="00B709F1" w:rsidP="00B709F1">
      <w:pPr>
        <w:pStyle w:val="ListParagraph"/>
        <w:numPr>
          <w:ilvl w:val="0"/>
          <w:numId w:val="23"/>
        </w:numPr>
        <w:spacing w:before="240" w:after="240" w:line="240" w:lineRule="auto"/>
        <w:rPr>
          <w:rFonts w:cs="Arial"/>
          <w:lang w:val="es-ES"/>
        </w:rPr>
      </w:pPr>
      <w:r w:rsidRPr="00B709F1">
        <w:rPr>
          <w:rFonts w:cs="Arial"/>
          <w:lang w:val="es-ES"/>
        </w:rPr>
        <w:t>Fortalecer la capacidad y la competencia de servicios y sistemas clave para apoyar a padres/madres y cuidadores a la hora de tomar decisiones informadas sobre sus hijos.</w:t>
      </w:r>
    </w:p>
    <w:p w14:paraId="54A23709" w14:textId="3E75AD91" w:rsidR="00B709F1" w:rsidRPr="003E3C14" w:rsidRDefault="00B709F1" w:rsidP="00B709F1">
      <w:pPr>
        <w:pStyle w:val="ListParagraph"/>
        <w:numPr>
          <w:ilvl w:val="0"/>
          <w:numId w:val="23"/>
        </w:numPr>
        <w:spacing w:before="240" w:after="240" w:line="240" w:lineRule="auto"/>
        <w:contextualSpacing w:val="0"/>
      </w:pPr>
      <w:r w:rsidRPr="00501ED4">
        <w:rPr>
          <w:rFonts w:cs="Arial"/>
          <w:lang w:val="es-ES"/>
        </w:rPr>
        <w:t>Fomentar un sentido más arraigado de inclusión y proporcionar oportunidades para que padres/madres, cuidadores y niños generen redes de pares, incluidos padres/madres y cuidadores aborígenes y de las islas del Estrecho de Torres, y de orígenes culturales y lingüísticos diversos.</w:t>
      </w:r>
    </w:p>
    <w:p w14:paraId="5D34BF7B" w14:textId="77777777" w:rsidR="00C62233" w:rsidRPr="003E3C14" w:rsidRDefault="00C62233">
      <w:r w:rsidRPr="003E3C14">
        <w:br w:type="page"/>
      </w:r>
    </w:p>
    <w:p w14:paraId="4BA2C9CB" w14:textId="60912898" w:rsidR="00C62233" w:rsidRPr="003E3C14" w:rsidRDefault="00AB0E3D" w:rsidP="0066071F">
      <w:pPr>
        <w:rPr>
          <w:b/>
          <w:bCs/>
          <w:color w:val="6C1740"/>
          <w:sz w:val="94"/>
          <w:szCs w:val="94"/>
        </w:rPr>
      </w:pPr>
      <w:r w:rsidRPr="00AB0E3D">
        <w:rPr>
          <w:b/>
          <w:bCs/>
          <w:color w:val="6C1740"/>
          <w:sz w:val="94"/>
          <w:szCs w:val="94"/>
        </w:rPr>
        <w:lastRenderedPageBreak/>
        <w:t>TAP de la Primera Infancia</w:t>
      </w:r>
    </w:p>
    <w:p w14:paraId="6F4842E9" w14:textId="33D145C3" w:rsidR="00C62233" w:rsidRPr="003E3C14" w:rsidRDefault="00AB0E3D" w:rsidP="0008481A">
      <w:pPr>
        <w:spacing w:before="240" w:after="240" w:line="240" w:lineRule="auto"/>
      </w:pPr>
      <w:r w:rsidRPr="00501ED4">
        <w:rPr>
          <w:rFonts w:cs="Arial"/>
          <w:lang w:val="es-ES"/>
        </w:rPr>
        <w:t>Tabla 7: TAP de la Primera Infancia: progreso de las acciones por gobierno en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7: Early Childhood TAP – progress of actions by government in 2022-2023"/>
      </w:tblPr>
      <w:tblGrid>
        <w:gridCol w:w="1478"/>
        <w:gridCol w:w="1510"/>
        <w:gridCol w:w="1078"/>
        <w:gridCol w:w="1294"/>
        <w:gridCol w:w="1294"/>
        <w:gridCol w:w="1294"/>
        <w:gridCol w:w="1294"/>
      </w:tblGrid>
      <w:tr w:rsidR="00ED3E3E" w:rsidRPr="003E3C14" w14:paraId="0F859A2B" w14:textId="77777777" w:rsidTr="00386338">
        <w:trPr>
          <w:cantSplit/>
        </w:trPr>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1CAD6546" w14:textId="50E3B107" w:rsidR="00ED3E3E" w:rsidRPr="003E3C14" w:rsidRDefault="00ED3E3E" w:rsidP="002A249B">
            <w:pPr>
              <w:spacing w:after="0" w:line="240" w:lineRule="auto"/>
              <w:rPr>
                <w:rFonts w:eastAsia="Times New Roman" w:cs="Arial"/>
                <w:b/>
                <w:color w:val="FFFFFF" w:themeColor="background1"/>
                <w:sz w:val="20"/>
                <w:szCs w:val="20"/>
                <w:lang w:eastAsia="en-AU"/>
              </w:rPr>
            </w:pPr>
            <w:bookmarkStart w:id="19" w:name="Title_07"/>
            <w:bookmarkEnd w:id="19"/>
            <w:r w:rsidRPr="00BC2F9E">
              <w:rPr>
                <w:rFonts w:eastAsia="Times New Roman" w:cs="Calibri"/>
                <w:b/>
                <w:bCs/>
                <w:color w:val="FFFFFF" w:themeColor="background1"/>
                <w:lang w:val="es" w:eastAsia="en-AU"/>
              </w:rPr>
              <w:t>Gobierno</w:t>
            </w:r>
          </w:p>
        </w:tc>
        <w:tc>
          <w:tcPr>
            <w:tcW w:w="817"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4313020D" w14:textId="28E79D7C" w:rsidR="00ED3E3E" w:rsidRPr="003E3C14" w:rsidRDefault="00ED3E3E" w:rsidP="00464AAF">
            <w:pPr>
              <w:spacing w:after="0" w:line="240" w:lineRule="auto"/>
              <w:rPr>
                <w:rFonts w:eastAsia="Times New Roman" w:cs="Arial"/>
                <w:b/>
                <w:color w:val="FFFFFF" w:themeColor="background1"/>
                <w:sz w:val="20"/>
                <w:szCs w:val="20"/>
                <w:lang w:eastAsia="en-AU"/>
              </w:rPr>
            </w:pPr>
            <w:r w:rsidRPr="00BC2F9E">
              <w:rPr>
                <w:rFonts w:eastAsia="Times New Roman" w:cs="Calibri"/>
                <w:b/>
                <w:bCs/>
                <w:color w:val="FFFFFF" w:themeColor="background1"/>
                <w:lang w:val="es" w:eastAsia="en-AU"/>
              </w:rPr>
              <w:t>Completada</w:t>
            </w:r>
          </w:p>
        </w:tc>
        <w:tc>
          <w:tcPr>
            <w:tcW w:w="583"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4B427B79" w14:textId="5D6C6B42" w:rsidR="00ED3E3E" w:rsidRPr="003E3C14" w:rsidRDefault="00ED3E3E" w:rsidP="002A249B">
            <w:pPr>
              <w:spacing w:after="0" w:line="240" w:lineRule="auto"/>
              <w:rPr>
                <w:rFonts w:eastAsia="Times New Roman" w:cs="Arial"/>
                <w:b/>
                <w:color w:val="FFFFFF" w:themeColor="background1"/>
                <w:sz w:val="20"/>
                <w:szCs w:val="20"/>
                <w:lang w:eastAsia="en-AU"/>
              </w:rPr>
            </w:pPr>
            <w:r w:rsidRPr="00BC2F9E">
              <w:rPr>
                <w:rFonts w:eastAsia="Times New Roman" w:cs="Calibri"/>
                <w:b/>
                <w:bCs/>
                <w:color w:val="FFFFFF" w:themeColor="background1"/>
                <w:lang w:val="es" w:eastAsia="en-AU"/>
              </w:rPr>
              <w:t>En curso</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5087A720" w14:textId="108FA214" w:rsidR="00ED3E3E" w:rsidRPr="003E3C14" w:rsidRDefault="00ED3E3E" w:rsidP="002A249B">
            <w:pPr>
              <w:spacing w:after="0" w:line="240" w:lineRule="auto"/>
              <w:rPr>
                <w:rFonts w:eastAsia="Times New Roman" w:cs="Arial"/>
                <w:b/>
                <w:color w:val="FFFFFF" w:themeColor="background1"/>
                <w:sz w:val="20"/>
                <w:szCs w:val="20"/>
                <w:lang w:eastAsia="en-AU"/>
              </w:rPr>
            </w:pPr>
            <w:r w:rsidRPr="00BC2F9E">
              <w:rPr>
                <w:rFonts w:eastAsia="Times New Roman" w:cs="Calibri"/>
                <w:b/>
                <w:bCs/>
                <w:color w:val="FFFFFF" w:themeColor="background1"/>
                <w:lang w:val="es" w:eastAsia="en-AU"/>
              </w:rPr>
              <w:t>Algunas demoras</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F234C1D" w14:textId="2EABDB0F" w:rsidR="00ED3E3E" w:rsidRPr="003E3C14" w:rsidRDefault="00ED3E3E" w:rsidP="002A249B">
            <w:pPr>
              <w:spacing w:after="0" w:line="240" w:lineRule="auto"/>
              <w:rPr>
                <w:rFonts w:eastAsia="Times New Roman" w:cs="Arial"/>
                <w:b/>
                <w:color w:val="FFFFFF" w:themeColor="background1"/>
                <w:sz w:val="20"/>
                <w:szCs w:val="20"/>
                <w:lang w:eastAsia="en-AU"/>
              </w:rPr>
            </w:pPr>
            <w:r w:rsidRPr="00BC2F9E">
              <w:rPr>
                <w:rFonts w:eastAsia="Times New Roman" w:cs="Calibri"/>
                <w:b/>
                <w:bCs/>
                <w:color w:val="FFFFFF" w:themeColor="background1"/>
                <w:lang w:val="es" w:eastAsia="en-AU"/>
              </w:rPr>
              <w:t>En pausa</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082BFE68" w14:textId="13FF9D90" w:rsidR="00ED3E3E" w:rsidRPr="003E3C14" w:rsidRDefault="00ED3E3E" w:rsidP="002A249B">
            <w:pPr>
              <w:spacing w:after="0" w:line="240" w:lineRule="auto"/>
              <w:rPr>
                <w:rFonts w:eastAsia="Times New Roman" w:cs="Arial"/>
                <w:b/>
                <w:color w:val="FFFFFF" w:themeColor="background1"/>
                <w:sz w:val="20"/>
                <w:szCs w:val="20"/>
                <w:lang w:eastAsia="en-AU"/>
              </w:rPr>
            </w:pPr>
            <w:r w:rsidRPr="00BC2F9E">
              <w:rPr>
                <w:rFonts w:eastAsia="Times New Roman" w:cs="Calibri"/>
                <w:b/>
                <w:bCs/>
                <w:color w:val="FFFFFF" w:themeColor="background1"/>
                <w:lang w:val="es" w:eastAsia="en-AU"/>
              </w:rPr>
              <w:t>Inicio futuro</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1ACB97A7" w14:textId="1CE64E7C" w:rsidR="00ED3E3E" w:rsidRPr="003E3C14" w:rsidRDefault="00ED3E3E" w:rsidP="002A249B">
            <w:pPr>
              <w:spacing w:after="0" w:line="240" w:lineRule="auto"/>
              <w:rPr>
                <w:rFonts w:eastAsia="Times New Roman" w:cs="Arial"/>
                <w:b/>
                <w:color w:val="FFFFFF" w:themeColor="background1"/>
                <w:sz w:val="20"/>
                <w:szCs w:val="20"/>
                <w:lang w:eastAsia="en-AU"/>
              </w:rPr>
            </w:pPr>
            <w:r w:rsidRPr="00BC2F9E">
              <w:rPr>
                <w:b/>
                <w:color w:val="FFFFFF" w:themeColor="background1"/>
                <w:sz w:val="20"/>
                <w:szCs w:val="20"/>
              </w:rPr>
              <w:t>Total</w:t>
            </w:r>
          </w:p>
        </w:tc>
      </w:tr>
      <w:tr w:rsidR="00ED3E3E" w:rsidRPr="003E3C14" w14:paraId="7BBDA31B" w14:textId="77777777" w:rsidTr="00386338">
        <w:trPr>
          <w:cantSplit/>
        </w:trPr>
        <w:tc>
          <w:tcPr>
            <w:tcW w:w="800" w:type="pct"/>
            <w:tcBorders>
              <w:top w:val="single" w:sz="4" w:space="0" w:color="auto"/>
            </w:tcBorders>
            <w:shd w:val="clear" w:color="auto" w:fill="auto"/>
            <w:noWrap/>
            <w:hideMark/>
          </w:tcPr>
          <w:p w14:paraId="13781574" w14:textId="1D3D4D3F" w:rsidR="00ED3E3E" w:rsidRPr="003E3C14" w:rsidRDefault="00ED3E3E" w:rsidP="002A249B">
            <w:pPr>
              <w:spacing w:after="0" w:line="240" w:lineRule="auto"/>
              <w:rPr>
                <w:rFonts w:eastAsia="Times New Roman" w:cs="Arial"/>
                <w:color w:val="000000"/>
                <w:sz w:val="20"/>
                <w:szCs w:val="20"/>
                <w:lang w:eastAsia="en-AU"/>
              </w:rPr>
            </w:pPr>
            <w:r w:rsidRPr="003E3C14">
              <w:rPr>
                <w:sz w:val="20"/>
                <w:szCs w:val="20"/>
              </w:rPr>
              <w:t>Australian Government</w:t>
            </w:r>
          </w:p>
        </w:tc>
        <w:tc>
          <w:tcPr>
            <w:tcW w:w="817" w:type="pct"/>
            <w:tcBorders>
              <w:top w:val="single" w:sz="4" w:space="0" w:color="auto"/>
            </w:tcBorders>
            <w:shd w:val="clear" w:color="auto" w:fill="auto"/>
            <w:noWrap/>
            <w:vAlign w:val="bottom"/>
            <w:hideMark/>
          </w:tcPr>
          <w:p w14:paraId="00DBAE9A" w14:textId="28E7050E"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3</w:t>
            </w:r>
          </w:p>
        </w:tc>
        <w:tc>
          <w:tcPr>
            <w:tcW w:w="583" w:type="pct"/>
            <w:tcBorders>
              <w:top w:val="single" w:sz="4" w:space="0" w:color="auto"/>
            </w:tcBorders>
            <w:shd w:val="clear" w:color="auto" w:fill="auto"/>
            <w:noWrap/>
            <w:vAlign w:val="bottom"/>
            <w:hideMark/>
          </w:tcPr>
          <w:p w14:paraId="06C60AE9" w14:textId="36503EAE"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3</w:t>
            </w:r>
          </w:p>
        </w:tc>
        <w:tc>
          <w:tcPr>
            <w:tcW w:w="700" w:type="pct"/>
            <w:tcBorders>
              <w:top w:val="single" w:sz="4" w:space="0" w:color="auto"/>
            </w:tcBorders>
            <w:shd w:val="clear" w:color="auto" w:fill="auto"/>
            <w:noWrap/>
            <w:vAlign w:val="bottom"/>
            <w:hideMark/>
          </w:tcPr>
          <w:p w14:paraId="769D52A0" w14:textId="3F81571A"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4</w:t>
            </w:r>
          </w:p>
        </w:tc>
        <w:tc>
          <w:tcPr>
            <w:tcW w:w="700" w:type="pct"/>
            <w:tcBorders>
              <w:top w:val="single" w:sz="4" w:space="0" w:color="auto"/>
            </w:tcBorders>
            <w:shd w:val="clear" w:color="auto" w:fill="auto"/>
            <w:noWrap/>
            <w:vAlign w:val="bottom"/>
            <w:hideMark/>
          </w:tcPr>
          <w:p w14:paraId="0C77C27F" w14:textId="77777777"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696D2F77" w14:textId="77777777"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1CC2E450" w14:textId="77777777" w:rsidR="00ED3E3E" w:rsidRPr="003E3C14" w:rsidRDefault="00ED3E3E"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11</w:t>
            </w:r>
          </w:p>
        </w:tc>
      </w:tr>
      <w:tr w:rsidR="00ED3E3E" w:rsidRPr="003E3C14" w14:paraId="3C414D09" w14:textId="77777777" w:rsidTr="00386338">
        <w:trPr>
          <w:cantSplit/>
        </w:trPr>
        <w:tc>
          <w:tcPr>
            <w:tcW w:w="800" w:type="pct"/>
            <w:shd w:val="clear" w:color="auto" w:fill="FAF9F8"/>
            <w:noWrap/>
            <w:hideMark/>
          </w:tcPr>
          <w:p w14:paraId="35273F0A" w14:textId="6597E908" w:rsidR="00ED3E3E" w:rsidRPr="003E3C14" w:rsidRDefault="00ED3E3E" w:rsidP="002A249B">
            <w:pPr>
              <w:spacing w:after="0" w:line="240" w:lineRule="auto"/>
              <w:rPr>
                <w:rFonts w:eastAsia="Times New Roman" w:cs="Arial"/>
                <w:color w:val="000000"/>
                <w:sz w:val="20"/>
                <w:szCs w:val="20"/>
                <w:lang w:eastAsia="en-AU"/>
              </w:rPr>
            </w:pPr>
            <w:r w:rsidRPr="003E3C14">
              <w:rPr>
                <w:sz w:val="20"/>
                <w:szCs w:val="20"/>
              </w:rPr>
              <w:t>NSW</w:t>
            </w:r>
          </w:p>
        </w:tc>
        <w:tc>
          <w:tcPr>
            <w:tcW w:w="817" w:type="pct"/>
            <w:shd w:val="clear" w:color="auto" w:fill="FAF9F8"/>
            <w:noWrap/>
            <w:vAlign w:val="bottom"/>
            <w:hideMark/>
          </w:tcPr>
          <w:p w14:paraId="3DAA42C4" w14:textId="77777777"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w:t>
            </w:r>
          </w:p>
        </w:tc>
        <w:tc>
          <w:tcPr>
            <w:tcW w:w="583" w:type="pct"/>
            <w:shd w:val="clear" w:color="auto" w:fill="FAF9F8"/>
            <w:noWrap/>
            <w:vAlign w:val="bottom"/>
            <w:hideMark/>
          </w:tcPr>
          <w:p w14:paraId="47D034C4" w14:textId="77777777"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2</w:t>
            </w:r>
          </w:p>
        </w:tc>
        <w:tc>
          <w:tcPr>
            <w:tcW w:w="700" w:type="pct"/>
            <w:shd w:val="clear" w:color="auto" w:fill="FAF9F8"/>
            <w:noWrap/>
            <w:vAlign w:val="bottom"/>
            <w:hideMark/>
          </w:tcPr>
          <w:p w14:paraId="19851BB2" w14:textId="77777777"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FAF9F8"/>
            <w:noWrap/>
            <w:vAlign w:val="bottom"/>
            <w:hideMark/>
          </w:tcPr>
          <w:p w14:paraId="228442FF" w14:textId="77777777"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2</w:t>
            </w:r>
          </w:p>
        </w:tc>
        <w:tc>
          <w:tcPr>
            <w:tcW w:w="700" w:type="pct"/>
            <w:shd w:val="clear" w:color="auto" w:fill="FAF9F8"/>
            <w:noWrap/>
            <w:vAlign w:val="bottom"/>
            <w:hideMark/>
          </w:tcPr>
          <w:p w14:paraId="470B077A" w14:textId="77777777"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FAF9F8"/>
            <w:noWrap/>
            <w:vAlign w:val="bottom"/>
            <w:hideMark/>
          </w:tcPr>
          <w:p w14:paraId="0D2AC12B" w14:textId="77777777" w:rsidR="00ED3E3E" w:rsidRPr="003E3C14" w:rsidRDefault="00ED3E3E"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5</w:t>
            </w:r>
          </w:p>
        </w:tc>
      </w:tr>
      <w:tr w:rsidR="00ED3E3E" w:rsidRPr="003E3C14" w14:paraId="4CF8F4ED" w14:textId="77777777" w:rsidTr="00386338">
        <w:trPr>
          <w:cantSplit/>
        </w:trPr>
        <w:tc>
          <w:tcPr>
            <w:tcW w:w="800" w:type="pct"/>
            <w:shd w:val="clear" w:color="auto" w:fill="auto"/>
            <w:noWrap/>
            <w:hideMark/>
          </w:tcPr>
          <w:p w14:paraId="303537E0" w14:textId="4BF9E8A6" w:rsidR="00ED3E3E" w:rsidRPr="003E3C14" w:rsidRDefault="00ED3E3E" w:rsidP="002A249B">
            <w:pPr>
              <w:spacing w:after="0" w:line="240" w:lineRule="auto"/>
              <w:rPr>
                <w:rFonts w:eastAsia="Times New Roman" w:cs="Arial"/>
                <w:color w:val="000000"/>
                <w:sz w:val="20"/>
                <w:szCs w:val="20"/>
                <w:lang w:eastAsia="en-AU"/>
              </w:rPr>
            </w:pPr>
            <w:r w:rsidRPr="003E3C14">
              <w:rPr>
                <w:sz w:val="20"/>
                <w:szCs w:val="20"/>
              </w:rPr>
              <w:t>VIC</w:t>
            </w:r>
          </w:p>
        </w:tc>
        <w:tc>
          <w:tcPr>
            <w:tcW w:w="817" w:type="pct"/>
            <w:shd w:val="clear" w:color="auto" w:fill="auto"/>
            <w:noWrap/>
            <w:vAlign w:val="bottom"/>
            <w:hideMark/>
          </w:tcPr>
          <w:p w14:paraId="04AD4B8B" w14:textId="77777777"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2</w:t>
            </w:r>
          </w:p>
        </w:tc>
        <w:tc>
          <w:tcPr>
            <w:tcW w:w="583" w:type="pct"/>
            <w:shd w:val="clear" w:color="auto" w:fill="auto"/>
            <w:noWrap/>
            <w:vAlign w:val="bottom"/>
            <w:hideMark/>
          </w:tcPr>
          <w:p w14:paraId="0737CBB2" w14:textId="77777777"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2</w:t>
            </w:r>
          </w:p>
        </w:tc>
        <w:tc>
          <w:tcPr>
            <w:tcW w:w="700" w:type="pct"/>
            <w:shd w:val="clear" w:color="auto" w:fill="auto"/>
            <w:noWrap/>
            <w:vAlign w:val="bottom"/>
            <w:hideMark/>
          </w:tcPr>
          <w:p w14:paraId="028E27FC" w14:textId="77777777"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auto"/>
            <w:noWrap/>
            <w:vAlign w:val="bottom"/>
            <w:hideMark/>
          </w:tcPr>
          <w:p w14:paraId="22A0AA7E" w14:textId="77777777"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auto"/>
            <w:noWrap/>
            <w:vAlign w:val="bottom"/>
            <w:hideMark/>
          </w:tcPr>
          <w:p w14:paraId="08B9633E" w14:textId="77777777"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auto"/>
            <w:noWrap/>
            <w:vAlign w:val="bottom"/>
            <w:hideMark/>
          </w:tcPr>
          <w:p w14:paraId="4B21063B" w14:textId="77777777" w:rsidR="00ED3E3E" w:rsidRPr="003E3C14" w:rsidRDefault="00ED3E3E"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4</w:t>
            </w:r>
          </w:p>
        </w:tc>
      </w:tr>
      <w:tr w:rsidR="00ED3E3E" w:rsidRPr="003E3C14" w14:paraId="73C88263" w14:textId="77777777" w:rsidTr="00386338">
        <w:trPr>
          <w:cantSplit/>
        </w:trPr>
        <w:tc>
          <w:tcPr>
            <w:tcW w:w="800" w:type="pct"/>
            <w:shd w:val="clear" w:color="auto" w:fill="FAF9F8"/>
            <w:noWrap/>
            <w:hideMark/>
          </w:tcPr>
          <w:p w14:paraId="05D90CBB" w14:textId="4EB75013" w:rsidR="00ED3E3E" w:rsidRPr="003E3C14" w:rsidRDefault="00ED3E3E" w:rsidP="002A249B">
            <w:pPr>
              <w:spacing w:after="0" w:line="240" w:lineRule="auto"/>
              <w:rPr>
                <w:rFonts w:eastAsia="Times New Roman" w:cs="Arial"/>
                <w:color w:val="000000"/>
                <w:sz w:val="20"/>
                <w:szCs w:val="20"/>
                <w:lang w:eastAsia="en-AU"/>
              </w:rPr>
            </w:pPr>
            <w:r w:rsidRPr="003E3C14">
              <w:rPr>
                <w:sz w:val="20"/>
                <w:szCs w:val="20"/>
              </w:rPr>
              <w:t>QLD</w:t>
            </w:r>
          </w:p>
        </w:tc>
        <w:tc>
          <w:tcPr>
            <w:tcW w:w="817" w:type="pct"/>
            <w:shd w:val="clear" w:color="auto" w:fill="FAF9F8"/>
            <w:noWrap/>
            <w:vAlign w:val="bottom"/>
            <w:hideMark/>
          </w:tcPr>
          <w:p w14:paraId="72CA133C" w14:textId="77777777"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2</w:t>
            </w:r>
          </w:p>
        </w:tc>
        <w:tc>
          <w:tcPr>
            <w:tcW w:w="583" w:type="pct"/>
            <w:shd w:val="clear" w:color="auto" w:fill="FAF9F8"/>
            <w:noWrap/>
            <w:vAlign w:val="bottom"/>
            <w:hideMark/>
          </w:tcPr>
          <w:p w14:paraId="4D50D291" w14:textId="77777777"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7</w:t>
            </w:r>
          </w:p>
        </w:tc>
        <w:tc>
          <w:tcPr>
            <w:tcW w:w="700" w:type="pct"/>
            <w:shd w:val="clear" w:color="auto" w:fill="FAF9F8"/>
            <w:noWrap/>
            <w:vAlign w:val="bottom"/>
            <w:hideMark/>
          </w:tcPr>
          <w:p w14:paraId="30AAE290" w14:textId="77777777"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FAF9F8"/>
            <w:noWrap/>
            <w:vAlign w:val="bottom"/>
            <w:hideMark/>
          </w:tcPr>
          <w:p w14:paraId="26C278A5" w14:textId="77777777"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FAF9F8"/>
            <w:noWrap/>
            <w:vAlign w:val="bottom"/>
            <w:hideMark/>
          </w:tcPr>
          <w:p w14:paraId="0D9B0C9D" w14:textId="77777777"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FAF9F8"/>
            <w:noWrap/>
            <w:vAlign w:val="bottom"/>
            <w:hideMark/>
          </w:tcPr>
          <w:p w14:paraId="103F9F22" w14:textId="77777777" w:rsidR="00ED3E3E" w:rsidRPr="003E3C14" w:rsidRDefault="00ED3E3E"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9</w:t>
            </w:r>
          </w:p>
        </w:tc>
      </w:tr>
      <w:tr w:rsidR="00ED3E3E" w:rsidRPr="003E3C14" w14:paraId="3C10E678" w14:textId="77777777" w:rsidTr="00386338">
        <w:trPr>
          <w:cantSplit/>
        </w:trPr>
        <w:tc>
          <w:tcPr>
            <w:tcW w:w="800" w:type="pct"/>
            <w:shd w:val="clear" w:color="auto" w:fill="auto"/>
            <w:noWrap/>
            <w:hideMark/>
          </w:tcPr>
          <w:p w14:paraId="6E3F0227" w14:textId="16ABB731" w:rsidR="00ED3E3E" w:rsidRPr="003E3C14" w:rsidRDefault="00ED3E3E" w:rsidP="002A249B">
            <w:pPr>
              <w:spacing w:after="0" w:line="240" w:lineRule="auto"/>
              <w:rPr>
                <w:rFonts w:eastAsia="Times New Roman" w:cs="Arial"/>
                <w:color w:val="000000"/>
                <w:sz w:val="20"/>
                <w:szCs w:val="20"/>
                <w:lang w:eastAsia="en-AU"/>
              </w:rPr>
            </w:pPr>
            <w:r w:rsidRPr="003E3C14">
              <w:rPr>
                <w:sz w:val="20"/>
                <w:szCs w:val="20"/>
              </w:rPr>
              <w:t>WA</w:t>
            </w:r>
          </w:p>
        </w:tc>
        <w:tc>
          <w:tcPr>
            <w:tcW w:w="817" w:type="pct"/>
            <w:shd w:val="clear" w:color="auto" w:fill="auto"/>
            <w:noWrap/>
            <w:vAlign w:val="bottom"/>
            <w:hideMark/>
          </w:tcPr>
          <w:p w14:paraId="02428B7B" w14:textId="77777777"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w:t>
            </w:r>
          </w:p>
        </w:tc>
        <w:tc>
          <w:tcPr>
            <w:tcW w:w="583" w:type="pct"/>
            <w:shd w:val="clear" w:color="auto" w:fill="auto"/>
            <w:noWrap/>
            <w:vAlign w:val="bottom"/>
            <w:hideMark/>
          </w:tcPr>
          <w:p w14:paraId="4DEDA428" w14:textId="77777777"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4</w:t>
            </w:r>
          </w:p>
        </w:tc>
        <w:tc>
          <w:tcPr>
            <w:tcW w:w="700" w:type="pct"/>
            <w:shd w:val="clear" w:color="auto" w:fill="auto"/>
            <w:noWrap/>
            <w:vAlign w:val="bottom"/>
            <w:hideMark/>
          </w:tcPr>
          <w:p w14:paraId="30BF6E66" w14:textId="77777777"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auto"/>
            <w:noWrap/>
            <w:vAlign w:val="bottom"/>
            <w:hideMark/>
          </w:tcPr>
          <w:p w14:paraId="3AFAFDB2" w14:textId="77777777"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auto"/>
            <w:noWrap/>
            <w:vAlign w:val="bottom"/>
            <w:hideMark/>
          </w:tcPr>
          <w:p w14:paraId="49E369CF" w14:textId="77777777"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auto"/>
            <w:noWrap/>
            <w:vAlign w:val="bottom"/>
            <w:hideMark/>
          </w:tcPr>
          <w:p w14:paraId="345F035D" w14:textId="77777777" w:rsidR="00ED3E3E" w:rsidRPr="003E3C14" w:rsidRDefault="00ED3E3E"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5</w:t>
            </w:r>
          </w:p>
        </w:tc>
      </w:tr>
      <w:tr w:rsidR="00ED3E3E" w:rsidRPr="003E3C14" w14:paraId="1E835043" w14:textId="77777777" w:rsidTr="00386338">
        <w:trPr>
          <w:cantSplit/>
        </w:trPr>
        <w:tc>
          <w:tcPr>
            <w:tcW w:w="800" w:type="pct"/>
            <w:shd w:val="clear" w:color="auto" w:fill="FAF9F8"/>
            <w:noWrap/>
            <w:hideMark/>
          </w:tcPr>
          <w:p w14:paraId="6F6661B5" w14:textId="08F1AC52" w:rsidR="00ED3E3E" w:rsidRPr="003E3C14" w:rsidRDefault="00ED3E3E" w:rsidP="002A249B">
            <w:pPr>
              <w:spacing w:after="0" w:line="240" w:lineRule="auto"/>
              <w:rPr>
                <w:rFonts w:eastAsia="Times New Roman" w:cs="Arial"/>
                <w:color w:val="000000"/>
                <w:sz w:val="20"/>
                <w:szCs w:val="20"/>
                <w:lang w:eastAsia="en-AU"/>
              </w:rPr>
            </w:pPr>
            <w:r w:rsidRPr="003E3C14">
              <w:rPr>
                <w:sz w:val="20"/>
                <w:szCs w:val="20"/>
              </w:rPr>
              <w:t>SA</w:t>
            </w:r>
          </w:p>
        </w:tc>
        <w:tc>
          <w:tcPr>
            <w:tcW w:w="817" w:type="pct"/>
            <w:shd w:val="clear" w:color="auto" w:fill="FAF9F8"/>
            <w:noWrap/>
            <w:vAlign w:val="bottom"/>
            <w:hideMark/>
          </w:tcPr>
          <w:p w14:paraId="45BF4DF8" w14:textId="77777777"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7</w:t>
            </w:r>
          </w:p>
        </w:tc>
        <w:tc>
          <w:tcPr>
            <w:tcW w:w="583" w:type="pct"/>
            <w:shd w:val="clear" w:color="auto" w:fill="FAF9F8"/>
            <w:noWrap/>
            <w:vAlign w:val="bottom"/>
            <w:hideMark/>
          </w:tcPr>
          <w:p w14:paraId="571F0E9D" w14:textId="77777777"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6</w:t>
            </w:r>
          </w:p>
        </w:tc>
        <w:tc>
          <w:tcPr>
            <w:tcW w:w="700" w:type="pct"/>
            <w:shd w:val="clear" w:color="auto" w:fill="FAF9F8"/>
            <w:noWrap/>
            <w:vAlign w:val="bottom"/>
            <w:hideMark/>
          </w:tcPr>
          <w:p w14:paraId="5D808FF9" w14:textId="77777777"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w:t>
            </w:r>
          </w:p>
        </w:tc>
        <w:tc>
          <w:tcPr>
            <w:tcW w:w="700" w:type="pct"/>
            <w:shd w:val="clear" w:color="auto" w:fill="FAF9F8"/>
            <w:noWrap/>
            <w:vAlign w:val="bottom"/>
            <w:hideMark/>
          </w:tcPr>
          <w:p w14:paraId="282035B9" w14:textId="77777777"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FAF9F8"/>
            <w:noWrap/>
            <w:vAlign w:val="bottom"/>
            <w:hideMark/>
          </w:tcPr>
          <w:p w14:paraId="76B9D41E" w14:textId="77777777"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w:t>
            </w:r>
          </w:p>
        </w:tc>
        <w:tc>
          <w:tcPr>
            <w:tcW w:w="700" w:type="pct"/>
            <w:shd w:val="clear" w:color="auto" w:fill="FAF9F8"/>
            <w:noWrap/>
            <w:vAlign w:val="bottom"/>
            <w:hideMark/>
          </w:tcPr>
          <w:p w14:paraId="520B81E7" w14:textId="77777777" w:rsidR="00ED3E3E" w:rsidRPr="003E3C14" w:rsidRDefault="00ED3E3E"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15</w:t>
            </w:r>
          </w:p>
        </w:tc>
      </w:tr>
      <w:tr w:rsidR="00ED3E3E" w:rsidRPr="003E3C14" w14:paraId="0A629A38" w14:textId="77777777" w:rsidTr="00386338">
        <w:trPr>
          <w:cantSplit/>
        </w:trPr>
        <w:tc>
          <w:tcPr>
            <w:tcW w:w="800" w:type="pct"/>
            <w:shd w:val="clear" w:color="auto" w:fill="auto"/>
            <w:noWrap/>
            <w:hideMark/>
          </w:tcPr>
          <w:p w14:paraId="2EAAEFE9" w14:textId="6D136748" w:rsidR="00ED3E3E" w:rsidRPr="003E3C14" w:rsidRDefault="00ED3E3E" w:rsidP="002A249B">
            <w:pPr>
              <w:spacing w:after="0" w:line="240" w:lineRule="auto"/>
              <w:rPr>
                <w:rFonts w:eastAsia="Times New Roman" w:cs="Arial"/>
                <w:color w:val="000000"/>
                <w:sz w:val="20"/>
                <w:szCs w:val="20"/>
                <w:lang w:eastAsia="en-AU"/>
              </w:rPr>
            </w:pPr>
            <w:r w:rsidRPr="003E3C14">
              <w:rPr>
                <w:sz w:val="20"/>
                <w:szCs w:val="20"/>
              </w:rPr>
              <w:t>TAS</w:t>
            </w:r>
          </w:p>
        </w:tc>
        <w:tc>
          <w:tcPr>
            <w:tcW w:w="817" w:type="pct"/>
            <w:shd w:val="clear" w:color="auto" w:fill="auto"/>
            <w:noWrap/>
            <w:vAlign w:val="bottom"/>
            <w:hideMark/>
          </w:tcPr>
          <w:p w14:paraId="6EC281C0" w14:textId="77777777"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w:t>
            </w:r>
          </w:p>
        </w:tc>
        <w:tc>
          <w:tcPr>
            <w:tcW w:w="583" w:type="pct"/>
            <w:shd w:val="clear" w:color="auto" w:fill="auto"/>
            <w:noWrap/>
            <w:vAlign w:val="bottom"/>
            <w:hideMark/>
          </w:tcPr>
          <w:p w14:paraId="36F8A739" w14:textId="77777777"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3</w:t>
            </w:r>
          </w:p>
        </w:tc>
        <w:tc>
          <w:tcPr>
            <w:tcW w:w="700" w:type="pct"/>
            <w:shd w:val="clear" w:color="auto" w:fill="auto"/>
            <w:noWrap/>
            <w:vAlign w:val="bottom"/>
            <w:hideMark/>
          </w:tcPr>
          <w:p w14:paraId="7C3414F0" w14:textId="77777777"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2</w:t>
            </w:r>
          </w:p>
        </w:tc>
        <w:tc>
          <w:tcPr>
            <w:tcW w:w="700" w:type="pct"/>
            <w:shd w:val="clear" w:color="auto" w:fill="auto"/>
            <w:noWrap/>
            <w:vAlign w:val="bottom"/>
            <w:hideMark/>
          </w:tcPr>
          <w:p w14:paraId="75143638" w14:textId="77777777"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auto"/>
            <w:noWrap/>
            <w:vAlign w:val="bottom"/>
            <w:hideMark/>
          </w:tcPr>
          <w:p w14:paraId="2370E613" w14:textId="77777777"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auto"/>
            <w:noWrap/>
            <w:vAlign w:val="bottom"/>
            <w:hideMark/>
          </w:tcPr>
          <w:p w14:paraId="3D3737C0" w14:textId="77777777" w:rsidR="00ED3E3E" w:rsidRPr="003E3C14" w:rsidRDefault="00ED3E3E"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6</w:t>
            </w:r>
          </w:p>
        </w:tc>
      </w:tr>
      <w:tr w:rsidR="00ED3E3E" w:rsidRPr="003E3C14" w14:paraId="13287316" w14:textId="77777777" w:rsidTr="00386338">
        <w:trPr>
          <w:cantSplit/>
        </w:trPr>
        <w:tc>
          <w:tcPr>
            <w:tcW w:w="800" w:type="pct"/>
            <w:shd w:val="clear" w:color="auto" w:fill="FAF9F8"/>
            <w:noWrap/>
            <w:hideMark/>
          </w:tcPr>
          <w:p w14:paraId="03C3052E" w14:textId="466A30FD" w:rsidR="00ED3E3E" w:rsidRPr="003E3C14" w:rsidRDefault="00ED3E3E" w:rsidP="002A249B">
            <w:pPr>
              <w:spacing w:after="0" w:line="240" w:lineRule="auto"/>
              <w:rPr>
                <w:rFonts w:eastAsia="Times New Roman" w:cs="Arial"/>
                <w:color w:val="000000"/>
                <w:sz w:val="20"/>
                <w:szCs w:val="20"/>
                <w:lang w:eastAsia="en-AU"/>
              </w:rPr>
            </w:pPr>
            <w:r w:rsidRPr="003E3C14">
              <w:rPr>
                <w:sz w:val="20"/>
                <w:szCs w:val="20"/>
              </w:rPr>
              <w:t>ACT</w:t>
            </w:r>
          </w:p>
        </w:tc>
        <w:tc>
          <w:tcPr>
            <w:tcW w:w="817" w:type="pct"/>
            <w:shd w:val="clear" w:color="auto" w:fill="FAF9F8"/>
            <w:noWrap/>
            <w:vAlign w:val="bottom"/>
            <w:hideMark/>
          </w:tcPr>
          <w:p w14:paraId="6BAA56FA" w14:textId="77777777" w:rsidR="00ED3E3E" w:rsidRPr="003E3C14" w:rsidRDefault="00ED3E3E"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2</w:t>
            </w:r>
          </w:p>
        </w:tc>
        <w:tc>
          <w:tcPr>
            <w:tcW w:w="583" w:type="pct"/>
            <w:shd w:val="clear" w:color="auto" w:fill="FAF9F8"/>
            <w:noWrap/>
            <w:vAlign w:val="bottom"/>
            <w:hideMark/>
          </w:tcPr>
          <w:p w14:paraId="00D7A78A" w14:textId="77777777" w:rsidR="00ED3E3E" w:rsidRPr="003E3C14" w:rsidRDefault="00ED3E3E"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3</w:t>
            </w:r>
          </w:p>
        </w:tc>
        <w:tc>
          <w:tcPr>
            <w:tcW w:w="700" w:type="pct"/>
            <w:shd w:val="clear" w:color="auto" w:fill="FAF9F8"/>
            <w:noWrap/>
            <w:vAlign w:val="bottom"/>
            <w:hideMark/>
          </w:tcPr>
          <w:p w14:paraId="6C431034" w14:textId="77777777" w:rsidR="00ED3E3E" w:rsidRPr="003E3C14" w:rsidRDefault="00ED3E3E"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0</w:t>
            </w:r>
          </w:p>
        </w:tc>
        <w:tc>
          <w:tcPr>
            <w:tcW w:w="700" w:type="pct"/>
            <w:shd w:val="clear" w:color="auto" w:fill="FAF9F8"/>
            <w:noWrap/>
            <w:vAlign w:val="bottom"/>
            <w:hideMark/>
          </w:tcPr>
          <w:p w14:paraId="63D18823" w14:textId="77777777" w:rsidR="00ED3E3E" w:rsidRPr="003E3C14" w:rsidRDefault="00ED3E3E"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0</w:t>
            </w:r>
          </w:p>
        </w:tc>
        <w:tc>
          <w:tcPr>
            <w:tcW w:w="700" w:type="pct"/>
            <w:shd w:val="clear" w:color="auto" w:fill="FAF9F8"/>
            <w:noWrap/>
            <w:vAlign w:val="bottom"/>
            <w:hideMark/>
          </w:tcPr>
          <w:p w14:paraId="786085A5" w14:textId="77777777" w:rsidR="00ED3E3E" w:rsidRPr="003E3C14" w:rsidRDefault="00ED3E3E"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0</w:t>
            </w:r>
          </w:p>
        </w:tc>
        <w:tc>
          <w:tcPr>
            <w:tcW w:w="700" w:type="pct"/>
            <w:shd w:val="clear" w:color="auto" w:fill="FAF9F8"/>
            <w:noWrap/>
            <w:vAlign w:val="bottom"/>
            <w:hideMark/>
          </w:tcPr>
          <w:p w14:paraId="29F41077" w14:textId="77777777" w:rsidR="00ED3E3E" w:rsidRPr="003E3C14" w:rsidRDefault="00ED3E3E"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5</w:t>
            </w:r>
          </w:p>
        </w:tc>
      </w:tr>
      <w:tr w:rsidR="00ED3E3E" w:rsidRPr="003E3C14" w14:paraId="3B706D58" w14:textId="77777777" w:rsidTr="00386338">
        <w:trPr>
          <w:cantSplit/>
        </w:trPr>
        <w:tc>
          <w:tcPr>
            <w:tcW w:w="800" w:type="pct"/>
            <w:shd w:val="clear" w:color="auto" w:fill="auto"/>
            <w:noWrap/>
            <w:hideMark/>
          </w:tcPr>
          <w:p w14:paraId="11D3BBE8" w14:textId="03EC0378" w:rsidR="00ED3E3E" w:rsidRPr="003E3C14" w:rsidRDefault="00ED3E3E" w:rsidP="002A249B">
            <w:pPr>
              <w:spacing w:after="0" w:line="240" w:lineRule="auto"/>
              <w:rPr>
                <w:rFonts w:eastAsia="Times New Roman" w:cs="Arial"/>
                <w:color w:val="000000"/>
                <w:sz w:val="20"/>
                <w:szCs w:val="20"/>
                <w:lang w:eastAsia="en-AU"/>
              </w:rPr>
            </w:pPr>
            <w:r w:rsidRPr="003E3C14">
              <w:rPr>
                <w:sz w:val="20"/>
                <w:szCs w:val="20"/>
              </w:rPr>
              <w:t>NT</w:t>
            </w:r>
          </w:p>
        </w:tc>
        <w:tc>
          <w:tcPr>
            <w:tcW w:w="817" w:type="pct"/>
            <w:shd w:val="clear" w:color="auto" w:fill="auto"/>
            <w:noWrap/>
            <w:vAlign w:val="bottom"/>
            <w:hideMark/>
          </w:tcPr>
          <w:p w14:paraId="02DC6D81" w14:textId="77777777"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w:t>
            </w:r>
          </w:p>
        </w:tc>
        <w:tc>
          <w:tcPr>
            <w:tcW w:w="583" w:type="pct"/>
            <w:shd w:val="clear" w:color="auto" w:fill="auto"/>
            <w:noWrap/>
            <w:vAlign w:val="bottom"/>
            <w:hideMark/>
          </w:tcPr>
          <w:p w14:paraId="5D61A682" w14:textId="77777777"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13</w:t>
            </w:r>
          </w:p>
        </w:tc>
        <w:tc>
          <w:tcPr>
            <w:tcW w:w="700" w:type="pct"/>
            <w:shd w:val="clear" w:color="auto" w:fill="auto"/>
            <w:noWrap/>
            <w:vAlign w:val="bottom"/>
            <w:hideMark/>
          </w:tcPr>
          <w:p w14:paraId="063DAF5C" w14:textId="77777777"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auto"/>
            <w:noWrap/>
            <w:vAlign w:val="bottom"/>
            <w:hideMark/>
          </w:tcPr>
          <w:p w14:paraId="077D16A5" w14:textId="77777777"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auto"/>
            <w:noWrap/>
            <w:vAlign w:val="bottom"/>
            <w:hideMark/>
          </w:tcPr>
          <w:p w14:paraId="64DA7096" w14:textId="77777777" w:rsidR="00ED3E3E" w:rsidRPr="003E3C14" w:rsidRDefault="00ED3E3E"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auto"/>
            <w:noWrap/>
            <w:vAlign w:val="bottom"/>
            <w:hideMark/>
          </w:tcPr>
          <w:p w14:paraId="2B1E109F" w14:textId="77777777" w:rsidR="00ED3E3E" w:rsidRPr="003E3C14" w:rsidRDefault="00ED3E3E"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14</w:t>
            </w:r>
          </w:p>
        </w:tc>
      </w:tr>
      <w:tr w:rsidR="00ED3E3E" w:rsidRPr="003E3C14" w14:paraId="638EE825" w14:textId="77777777" w:rsidTr="00386338">
        <w:trPr>
          <w:cantSplit/>
        </w:trPr>
        <w:tc>
          <w:tcPr>
            <w:tcW w:w="800" w:type="pct"/>
            <w:shd w:val="clear" w:color="auto" w:fill="E4E9F3"/>
            <w:noWrap/>
            <w:hideMark/>
          </w:tcPr>
          <w:p w14:paraId="631F8AAE" w14:textId="13BCE651" w:rsidR="00ED3E3E" w:rsidRPr="003E3C14" w:rsidRDefault="00ED3E3E" w:rsidP="002A249B">
            <w:pPr>
              <w:spacing w:after="0" w:line="240" w:lineRule="auto"/>
              <w:rPr>
                <w:rFonts w:eastAsia="Times New Roman" w:cs="Arial"/>
                <w:b/>
                <w:color w:val="000000"/>
                <w:sz w:val="20"/>
                <w:szCs w:val="20"/>
                <w:lang w:eastAsia="en-AU"/>
              </w:rPr>
            </w:pPr>
            <w:r w:rsidRPr="003E3C14">
              <w:rPr>
                <w:b/>
                <w:sz w:val="20"/>
                <w:szCs w:val="20"/>
              </w:rPr>
              <w:t>National Total</w:t>
            </w:r>
          </w:p>
        </w:tc>
        <w:tc>
          <w:tcPr>
            <w:tcW w:w="817" w:type="pct"/>
            <w:shd w:val="clear" w:color="auto" w:fill="E4E9F3"/>
            <w:noWrap/>
            <w:vAlign w:val="bottom"/>
            <w:hideMark/>
          </w:tcPr>
          <w:p w14:paraId="4C181A83" w14:textId="581FE8EF" w:rsidR="00ED3E3E" w:rsidRPr="003E3C14" w:rsidRDefault="00ED3E3E" w:rsidP="002A249B">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20</w:t>
            </w:r>
          </w:p>
        </w:tc>
        <w:tc>
          <w:tcPr>
            <w:tcW w:w="583" w:type="pct"/>
            <w:shd w:val="clear" w:color="auto" w:fill="E4E9F3"/>
            <w:noWrap/>
            <w:vAlign w:val="bottom"/>
            <w:hideMark/>
          </w:tcPr>
          <w:p w14:paraId="53BE039B" w14:textId="5FF75BA2" w:rsidR="00ED3E3E" w:rsidRPr="003E3C14" w:rsidRDefault="00ED3E3E" w:rsidP="003107A5">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43</w:t>
            </w:r>
          </w:p>
        </w:tc>
        <w:tc>
          <w:tcPr>
            <w:tcW w:w="700" w:type="pct"/>
            <w:shd w:val="clear" w:color="auto" w:fill="E4E9F3"/>
            <w:noWrap/>
            <w:vAlign w:val="bottom"/>
            <w:hideMark/>
          </w:tcPr>
          <w:p w14:paraId="3B9D405A" w14:textId="2F8331DD" w:rsidR="00ED3E3E" w:rsidRPr="003E3C14" w:rsidRDefault="00ED3E3E" w:rsidP="002A249B">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7</w:t>
            </w:r>
          </w:p>
        </w:tc>
        <w:tc>
          <w:tcPr>
            <w:tcW w:w="700" w:type="pct"/>
            <w:shd w:val="clear" w:color="auto" w:fill="E4E9F3"/>
            <w:noWrap/>
            <w:vAlign w:val="bottom"/>
            <w:hideMark/>
          </w:tcPr>
          <w:p w14:paraId="1ABA9DE1" w14:textId="77777777" w:rsidR="00ED3E3E" w:rsidRPr="003E3C14" w:rsidRDefault="00ED3E3E" w:rsidP="002A249B">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3</w:t>
            </w:r>
          </w:p>
        </w:tc>
        <w:tc>
          <w:tcPr>
            <w:tcW w:w="700" w:type="pct"/>
            <w:shd w:val="clear" w:color="auto" w:fill="E4E9F3"/>
            <w:noWrap/>
            <w:vAlign w:val="bottom"/>
            <w:hideMark/>
          </w:tcPr>
          <w:p w14:paraId="04478AC5" w14:textId="77777777" w:rsidR="00ED3E3E" w:rsidRPr="003E3C14" w:rsidRDefault="00ED3E3E" w:rsidP="002A249B">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1</w:t>
            </w:r>
          </w:p>
        </w:tc>
        <w:tc>
          <w:tcPr>
            <w:tcW w:w="700" w:type="pct"/>
            <w:shd w:val="clear" w:color="auto" w:fill="E4E9F3"/>
            <w:noWrap/>
            <w:vAlign w:val="bottom"/>
            <w:hideMark/>
          </w:tcPr>
          <w:p w14:paraId="47A36CBA" w14:textId="77777777" w:rsidR="00ED3E3E" w:rsidRPr="003E3C14" w:rsidRDefault="00ED3E3E" w:rsidP="002A249B">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74</w:t>
            </w:r>
          </w:p>
        </w:tc>
      </w:tr>
    </w:tbl>
    <w:p w14:paraId="1D6CC0D5" w14:textId="46CC50F1" w:rsidR="00C62233" w:rsidRPr="003E3C14" w:rsidRDefault="00AB0E3D" w:rsidP="0008481A">
      <w:pPr>
        <w:spacing w:before="240" w:after="240" w:line="240" w:lineRule="auto"/>
      </w:pPr>
      <w:r w:rsidRPr="00501ED4">
        <w:rPr>
          <w:rFonts w:cs="Arial"/>
          <w:lang w:val="es-ES"/>
        </w:rPr>
        <w:t>Tabla 8: TAP de la Primera Infancia: progreso de las acciones por objetivo en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8: Early Childhood TAP – progress of actions by objective in 2022-2023"/>
      </w:tblPr>
      <w:tblGrid>
        <w:gridCol w:w="1481"/>
        <w:gridCol w:w="1508"/>
        <w:gridCol w:w="1079"/>
        <w:gridCol w:w="1294"/>
        <w:gridCol w:w="1294"/>
        <w:gridCol w:w="1294"/>
        <w:gridCol w:w="1292"/>
      </w:tblGrid>
      <w:tr w:rsidR="00ED3E3E" w:rsidRPr="003E3C14" w14:paraId="48214A0A" w14:textId="77777777" w:rsidTr="00386338">
        <w:trPr>
          <w:cantSplit/>
        </w:trPr>
        <w:tc>
          <w:tcPr>
            <w:tcW w:w="801"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5AC75637" w14:textId="41A80750" w:rsidR="00ED3E3E" w:rsidRPr="003E3C14" w:rsidRDefault="00ED3E3E" w:rsidP="001850E8">
            <w:pPr>
              <w:spacing w:after="0" w:line="240" w:lineRule="auto"/>
              <w:rPr>
                <w:rFonts w:eastAsia="Times New Roman" w:cs="Arial"/>
                <w:b/>
                <w:bCs/>
                <w:color w:val="FFFFFF" w:themeColor="background1"/>
                <w:sz w:val="20"/>
                <w:szCs w:val="20"/>
                <w:lang w:eastAsia="en-AU"/>
              </w:rPr>
            </w:pPr>
            <w:bookmarkStart w:id="20" w:name="Title_08"/>
            <w:bookmarkEnd w:id="20"/>
            <w:r w:rsidRPr="00A90356">
              <w:rPr>
                <w:rFonts w:eastAsia="Times New Roman" w:cs="Calibri"/>
                <w:b/>
                <w:bCs/>
                <w:color w:val="FFFFFF" w:themeColor="background1"/>
                <w:lang w:val="es" w:eastAsia="en-AU"/>
              </w:rPr>
              <w:t>Objetivo</w:t>
            </w:r>
          </w:p>
        </w:tc>
        <w:tc>
          <w:tcPr>
            <w:tcW w:w="816"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2C437045" w14:textId="76F7A23E" w:rsidR="00ED3E3E" w:rsidRPr="003E3C14" w:rsidRDefault="00ED3E3E" w:rsidP="001850E8">
            <w:pPr>
              <w:spacing w:after="0" w:line="240" w:lineRule="auto"/>
              <w:rPr>
                <w:rFonts w:eastAsia="Times New Roman" w:cs="Arial"/>
                <w:b/>
                <w:bCs/>
                <w:color w:val="FFFFFF" w:themeColor="background1"/>
                <w:sz w:val="20"/>
                <w:szCs w:val="20"/>
                <w:lang w:eastAsia="en-AU"/>
              </w:rPr>
            </w:pPr>
            <w:r w:rsidRPr="00BC2F9E">
              <w:rPr>
                <w:rFonts w:eastAsia="Times New Roman" w:cs="Calibri"/>
                <w:b/>
                <w:bCs/>
                <w:color w:val="FFFFFF" w:themeColor="background1"/>
                <w:lang w:val="es" w:eastAsia="en-AU"/>
              </w:rPr>
              <w:t>Completada</w:t>
            </w:r>
          </w:p>
        </w:tc>
        <w:tc>
          <w:tcPr>
            <w:tcW w:w="584"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3236DD4F" w14:textId="56CAAD68" w:rsidR="00ED3E3E" w:rsidRPr="003E3C14" w:rsidRDefault="00ED3E3E" w:rsidP="001850E8">
            <w:pPr>
              <w:spacing w:after="0" w:line="240" w:lineRule="auto"/>
              <w:rPr>
                <w:rFonts w:eastAsia="Times New Roman" w:cs="Arial"/>
                <w:b/>
                <w:bCs/>
                <w:color w:val="FFFFFF" w:themeColor="background1"/>
                <w:sz w:val="20"/>
                <w:szCs w:val="20"/>
                <w:lang w:eastAsia="en-AU"/>
              </w:rPr>
            </w:pPr>
            <w:r w:rsidRPr="00BC2F9E">
              <w:rPr>
                <w:rFonts w:eastAsia="Times New Roman" w:cs="Calibri"/>
                <w:b/>
                <w:bCs/>
                <w:color w:val="FFFFFF" w:themeColor="background1"/>
                <w:lang w:val="es" w:eastAsia="en-AU"/>
              </w:rPr>
              <w:t>En curso</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DD4FC28" w14:textId="09828E45" w:rsidR="00ED3E3E" w:rsidRPr="003E3C14" w:rsidRDefault="00ED3E3E" w:rsidP="001850E8">
            <w:pPr>
              <w:spacing w:after="0" w:line="240" w:lineRule="auto"/>
              <w:rPr>
                <w:rFonts w:eastAsia="Times New Roman" w:cs="Arial"/>
                <w:b/>
                <w:bCs/>
                <w:color w:val="FFFFFF" w:themeColor="background1"/>
                <w:sz w:val="20"/>
                <w:szCs w:val="20"/>
                <w:lang w:eastAsia="en-AU"/>
              </w:rPr>
            </w:pPr>
            <w:r w:rsidRPr="00BC2F9E">
              <w:rPr>
                <w:rFonts w:eastAsia="Times New Roman" w:cs="Calibri"/>
                <w:b/>
                <w:bCs/>
                <w:color w:val="FFFFFF" w:themeColor="background1"/>
                <w:lang w:val="es" w:eastAsia="en-AU"/>
              </w:rPr>
              <w:t>Algunas demoras</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6EDA9047" w14:textId="2AE65F93" w:rsidR="00ED3E3E" w:rsidRPr="003E3C14" w:rsidRDefault="00ED3E3E" w:rsidP="001850E8">
            <w:pPr>
              <w:spacing w:after="0" w:line="240" w:lineRule="auto"/>
              <w:rPr>
                <w:rFonts w:eastAsia="Times New Roman" w:cs="Arial"/>
                <w:b/>
                <w:bCs/>
                <w:color w:val="FFFFFF" w:themeColor="background1"/>
                <w:sz w:val="20"/>
                <w:szCs w:val="20"/>
                <w:lang w:eastAsia="en-AU"/>
              </w:rPr>
            </w:pPr>
            <w:r w:rsidRPr="00BC2F9E">
              <w:rPr>
                <w:rFonts w:eastAsia="Times New Roman" w:cs="Calibri"/>
                <w:b/>
                <w:bCs/>
                <w:color w:val="FFFFFF" w:themeColor="background1"/>
                <w:lang w:val="es" w:eastAsia="en-AU"/>
              </w:rPr>
              <w:t>En pausa</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51DDD679" w14:textId="455CD087" w:rsidR="00ED3E3E" w:rsidRPr="003E3C14" w:rsidRDefault="00ED3E3E" w:rsidP="001850E8">
            <w:pPr>
              <w:spacing w:after="0" w:line="240" w:lineRule="auto"/>
              <w:rPr>
                <w:rFonts w:eastAsia="Times New Roman" w:cs="Arial"/>
                <w:b/>
                <w:bCs/>
                <w:color w:val="FFFFFF" w:themeColor="background1"/>
                <w:sz w:val="20"/>
                <w:szCs w:val="20"/>
                <w:lang w:eastAsia="en-AU"/>
              </w:rPr>
            </w:pPr>
            <w:r w:rsidRPr="00BC2F9E">
              <w:rPr>
                <w:rFonts w:eastAsia="Times New Roman" w:cs="Calibri"/>
                <w:b/>
                <w:bCs/>
                <w:color w:val="FFFFFF" w:themeColor="background1"/>
                <w:lang w:val="es" w:eastAsia="en-AU"/>
              </w:rPr>
              <w:t>Inicio futuro</w:t>
            </w:r>
          </w:p>
        </w:tc>
        <w:tc>
          <w:tcPr>
            <w:tcW w:w="699"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4679C256" w14:textId="09B44E20" w:rsidR="00ED3E3E" w:rsidRPr="003E3C14" w:rsidRDefault="00ED3E3E" w:rsidP="001850E8">
            <w:pPr>
              <w:spacing w:after="0" w:line="240" w:lineRule="auto"/>
              <w:rPr>
                <w:rFonts w:eastAsia="Times New Roman" w:cs="Arial"/>
                <w:b/>
                <w:color w:val="FFFFFF" w:themeColor="background1"/>
                <w:sz w:val="20"/>
                <w:szCs w:val="20"/>
                <w:lang w:eastAsia="en-AU"/>
              </w:rPr>
            </w:pPr>
            <w:r w:rsidRPr="00BC2F9E">
              <w:rPr>
                <w:b/>
                <w:color w:val="FFFFFF" w:themeColor="background1"/>
                <w:sz w:val="20"/>
                <w:szCs w:val="20"/>
              </w:rPr>
              <w:t>Total</w:t>
            </w:r>
          </w:p>
        </w:tc>
      </w:tr>
      <w:tr w:rsidR="00ED3E3E" w:rsidRPr="003E3C14" w14:paraId="1D2512DA" w14:textId="77777777" w:rsidTr="00386338">
        <w:trPr>
          <w:cantSplit/>
        </w:trPr>
        <w:tc>
          <w:tcPr>
            <w:tcW w:w="801" w:type="pct"/>
            <w:tcBorders>
              <w:top w:val="single" w:sz="4" w:space="0" w:color="auto"/>
            </w:tcBorders>
            <w:shd w:val="clear" w:color="auto" w:fill="auto"/>
            <w:noWrap/>
            <w:vAlign w:val="bottom"/>
            <w:hideMark/>
          </w:tcPr>
          <w:p w14:paraId="40223195" w14:textId="3AF71055" w:rsidR="00ED3E3E" w:rsidRPr="003E3C14" w:rsidRDefault="00ED3E3E" w:rsidP="00785761">
            <w:pPr>
              <w:spacing w:after="0" w:line="240" w:lineRule="auto"/>
              <w:rPr>
                <w:rFonts w:eastAsia="Times New Roman" w:cs="Arial"/>
                <w:sz w:val="20"/>
                <w:szCs w:val="20"/>
                <w:lang w:eastAsia="en-AU"/>
              </w:rPr>
            </w:pPr>
            <w:r w:rsidRPr="004810AC">
              <w:rPr>
                <w:rFonts w:eastAsia="Times New Roman" w:cs="Calibri"/>
                <w:color w:val="000000"/>
                <w:lang w:val="es" w:eastAsia="en-AU"/>
              </w:rPr>
              <w:t>Objetivo 1</w:t>
            </w:r>
          </w:p>
        </w:tc>
        <w:tc>
          <w:tcPr>
            <w:tcW w:w="816" w:type="pct"/>
            <w:tcBorders>
              <w:top w:val="single" w:sz="4" w:space="0" w:color="auto"/>
            </w:tcBorders>
            <w:shd w:val="clear" w:color="auto" w:fill="auto"/>
            <w:noWrap/>
            <w:vAlign w:val="bottom"/>
            <w:hideMark/>
          </w:tcPr>
          <w:p w14:paraId="7AD4F3B2" w14:textId="11F37C9F" w:rsidR="00ED3E3E" w:rsidRPr="003E3C14" w:rsidRDefault="00ED3E3E" w:rsidP="00785761">
            <w:pPr>
              <w:spacing w:after="0" w:line="240" w:lineRule="auto"/>
              <w:jc w:val="right"/>
              <w:rPr>
                <w:rFonts w:eastAsia="Times New Roman" w:cs="Arial"/>
                <w:sz w:val="20"/>
                <w:szCs w:val="20"/>
                <w:lang w:eastAsia="en-AU"/>
              </w:rPr>
            </w:pPr>
            <w:r w:rsidRPr="003E3C14">
              <w:rPr>
                <w:rFonts w:eastAsia="Times New Roman" w:cs="Arial"/>
                <w:sz w:val="20"/>
                <w:szCs w:val="20"/>
                <w:lang w:eastAsia="en-AU"/>
              </w:rPr>
              <w:t>9</w:t>
            </w:r>
          </w:p>
        </w:tc>
        <w:tc>
          <w:tcPr>
            <w:tcW w:w="584" w:type="pct"/>
            <w:tcBorders>
              <w:top w:val="single" w:sz="4" w:space="0" w:color="auto"/>
            </w:tcBorders>
            <w:shd w:val="clear" w:color="auto" w:fill="auto"/>
            <w:noWrap/>
            <w:vAlign w:val="bottom"/>
            <w:hideMark/>
          </w:tcPr>
          <w:p w14:paraId="5695FA4F" w14:textId="44C0DE71" w:rsidR="00ED3E3E" w:rsidRPr="003E3C14" w:rsidRDefault="00ED3E3E" w:rsidP="00785761">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17</w:t>
            </w:r>
          </w:p>
        </w:tc>
        <w:tc>
          <w:tcPr>
            <w:tcW w:w="700" w:type="pct"/>
            <w:tcBorders>
              <w:top w:val="single" w:sz="4" w:space="0" w:color="auto"/>
            </w:tcBorders>
            <w:shd w:val="clear" w:color="auto" w:fill="auto"/>
            <w:noWrap/>
            <w:vAlign w:val="bottom"/>
            <w:hideMark/>
          </w:tcPr>
          <w:p w14:paraId="52B09246" w14:textId="608C6371" w:rsidR="00ED3E3E" w:rsidRPr="003E3C14" w:rsidRDefault="00ED3E3E" w:rsidP="00785761">
            <w:pPr>
              <w:spacing w:after="0" w:line="240" w:lineRule="auto"/>
              <w:jc w:val="right"/>
              <w:rPr>
                <w:rFonts w:eastAsia="Times New Roman" w:cs="Arial"/>
                <w:sz w:val="20"/>
                <w:szCs w:val="20"/>
                <w:lang w:eastAsia="en-AU"/>
              </w:rPr>
            </w:pPr>
            <w:r w:rsidRPr="003E3C14">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5AE85EA5" w14:textId="315A7B7E" w:rsidR="00ED3E3E" w:rsidRPr="003E3C14" w:rsidRDefault="00ED3E3E" w:rsidP="00785761">
            <w:pPr>
              <w:spacing w:after="0" w:line="240" w:lineRule="auto"/>
              <w:jc w:val="right"/>
              <w:rPr>
                <w:rFonts w:eastAsia="Times New Roman" w:cs="Arial"/>
                <w:sz w:val="20"/>
                <w:szCs w:val="20"/>
                <w:lang w:eastAsia="en-AU"/>
              </w:rPr>
            </w:pPr>
            <w:r w:rsidRPr="003E3C14">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1F83CA44" w14:textId="7B4FD156" w:rsidR="00ED3E3E" w:rsidRPr="003E3C14" w:rsidRDefault="00ED3E3E" w:rsidP="00785761">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w:t>
            </w:r>
          </w:p>
        </w:tc>
        <w:tc>
          <w:tcPr>
            <w:tcW w:w="699" w:type="pct"/>
            <w:tcBorders>
              <w:top w:val="single" w:sz="4" w:space="0" w:color="auto"/>
            </w:tcBorders>
            <w:shd w:val="clear" w:color="auto" w:fill="auto"/>
            <w:noWrap/>
            <w:vAlign w:val="bottom"/>
            <w:hideMark/>
          </w:tcPr>
          <w:p w14:paraId="1DF362E1" w14:textId="77F90520" w:rsidR="00ED3E3E" w:rsidRPr="003E3C14" w:rsidRDefault="00ED3E3E" w:rsidP="00785761">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31</w:t>
            </w:r>
          </w:p>
        </w:tc>
      </w:tr>
      <w:tr w:rsidR="00ED3E3E" w:rsidRPr="003E3C14" w14:paraId="49E3D338" w14:textId="77777777" w:rsidTr="00386338">
        <w:trPr>
          <w:cantSplit/>
        </w:trPr>
        <w:tc>
          <w:tcPr>
            <w:tcW w:w="801" w:type="pct"/>
            <w:shd w:val="clear" w:color="auto" w:fill="FAF9F8"/>
            <w:noWrap/>
            <w:vAlign w:val="bottom"/>
            <w:hideMark/>
          </w:tcPr>
          <w:p w14:paraId="3251091E" w14:textId="5FE89084" w:rsidR="00ED3E3E" w:rsidRPr="003E3C14" w:rsidRDefault="00ED3E3E" w:rsidP="00785761">
            <w:pPr>
              <w:spacing w:after="0" w:line="240" w:lineRule="auto"/>
              <w:rPr>
                <w:rFonts w:eastAsia="Times New Roman" w:cs="Arial"/>
                <w:sz w:val="20"/>
                <w:szCs w:val="20"/>
                <w:lang w:eastAsia="en-AU"/>
              </w:rPr>
            </w:pPr>
            <w:r w:rsidRPr="004810AC">
              <w:rPr>
                <w:rFonts w:eastAsia="Times New Roman" w:cs="Calibri"/>
                <w:color w:val="000000"/>
                <w:lang w:val="es" w:eastAsia="en-AU"/>
              </w:rPr>
              <w:t>Objetivo 2</w:t>
            </w:r>
          </w:p>
        </w:tc>
        <w:tc>
          <w:tcPr>
            <w:tcW w:w="816" w:type="pct"/>
            <w:shd w:val="clear" w:color="auto" w:fill="FAF9F8"/>
            <w:noWrap/>
            <w:vAlign w:val="bottom"/>
            <w:hideMark/>
          </w:tcPr>
          <w:p w14:paraId="69D78828" w14:textId="59AAF1F8" w:rsidR="00ED3E3E" w:rsidRPr="003E3C14" w:rsidRDefault="00ED3E3E" w:rsidP="00785761">
            <w:pPr>
              <w:spacing w:after="0" w:line="240" w:lineRule="auto"/>
              <w:jc w:val="right"/>
              <w:rPr>
                <w:rFonts w:eastAsia="Times New Roman" w:cs="Arial"/>
                <w:sz w:val="20"/>
                <w:szCs w:val="20"/>
                <w:lang w:eastAsia="en-AU"/>
              </w:rPr>
            </w:pPr>
            <w:r w:rsidRPr="003E3C14">
              <w:rPr>
                <w:rFonts w:eastAsia="Times New Roman" w:cs="Arial"/>
                <w:sz w:val="20"/>
                <w:szCs w:val="20"/>
                <w:lang w:eastAsia="en-AU"/>
              </w:rPr>
              <w:t>9</w:t>
            </w:r>
          </w:p>
        </w:tc>
        <w:tc>
          <w:tcPr>
            <w:tcW w:w="584" w:type="pct"/>
            <w:shd w:val="clear" w:color="auto" w:fill="FAF9F8"/>
            <w:noWrap/>
            <w:vAlign w:val="bottom"/>
            <w:hideMark/>
          </w:tcPr>
          <w:p w14:paraId="0C8F5295" w14:textId="527C17CC" w:rsidR="00ED3E3E" w:rsidRPr="003E3C14" w:rsidRDefault="00ED3E3E" w:rsidP="00785761">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17</w:t>
            </w:r>
          </w:p>
        </w:tc>
        <w:tc>
          <w:tcPr>
            <w:tcW w:w="700" w:type="pct"/>
            <w:shd w:val="clear" w:color="auto" w:fill="FAF9F8"/>
            <w:noWrap/>
            <w:vAlign w:val="bottom"/>
            <w:hideMark/>
          </w:tcPr>
          <w:p w14:paraId="715FCEC1" w14:textId="7783EFF4" w:rsidR="00ED3E3E" w:rsidRPr="003E3C14" w:rsidRDefault="00ED3E3E" w:rsidP="00785761">
            <w:pPr>
              <w:spacing w:after="0" w:line="240" w:lineRule="auto"/>
              <w:jc w:val="right"/>
              <w:rPr>
                <w:rFonts w:eastAsia="Times New Roman" w:cs="Arial"/>
                <w:sz w:val="20"/>
                <w:szCs w:val="20"/>
                <w:lang w:eastAsia="en-AU"/>
              </w:rPr>
            </w:pPr>
            <w:r w:rsidRPr="003E3C14">
              <w:rPr>
                <w:rFonts w:eastAsia="Times New Roman" w:cs="Arial"/>
                <w:sz w:val="20"/>
                <w:szCs w:val="20"/>
                <w:lang w:eastAsia="en-AU"/>
              </w:rPr>
              <w:t>2</w:t>
            </w:r>
          </w:p>
        </w:tc>
        <w:tc>
          <w:tcPr>
            <w:tcW w:w="700" w:type="pct"/>
            <w:shd w:val="clear" w:color="auto" w:fill="FAF9F8"/>
            <w:noWrap/>
            <w:vAlign w:val="bottom"/>
            <w:hideMark/>
          </w:tcPr>
          <w:p w14:paraId="038BBDE6" w14:textId="6322CF0C" w:rsidR="00ED3E3E" w:rsidRPr="003E3C14" w:rsidRDefault="00ED3E3E" w:rsidP="00785761">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w:t>
            </w:r>
          </w:p>
        </w:tc>
        <w:tc>
          <w:tcPr>
            <w:tcW w:w="700" w:type="pct"/>
            <w:shd w:val="clear" w:color="auto" w:fill="FAF9F8"/>
            <w:noWrap/>
            <w:vAlign w:val="bottom"/>
            <w:hideMark/>
          </w:tcPr>
          <w:p w14:paraId="2300D6BB" w14:textId="17AADA43" w:rsidR="00ED3E3E" w:rsidRPr="003E3C14" w:rsidRDefault="00ED3E3E" w:rsidP="00785761">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699" w:type="pct"/>
            <w:shd w:val="clear" w:color="auto" w:fill="FAF9F8"/>
            <w:noWrap/>
            <w:vAlign w:val="bottom"/>
            <w:hideMark/>
          </w:tcPr>
          <w:p w14:paraId="723A83EB" w14:textId="30185C29" w:rsidR="00ED3E3E" w:rsidRPr="003E3C14" w:rsidRDefault="00ED3E3E" w:rsidP="00785761">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29</w:t>
            </w:r>
          </w:p>
        </w:tc>
      </w:tr>
      <w:tr w:rsidR="00ED3E3E" w:rsidRPr="003E3C14" w14:paraId="6C460B42" w14:textId="77777777" w:rsidTr="00386338">
        <w:trPr>
          <w:cantSplit/>
        </w:trPr>
        <w:tc>
          <w:tcPr>
            <w:tcW w:w="801" w:type="pct"/>
            <w:shd w:val="clear" w:color="auto" w:fill="auto"/>
            <w:noWrap/>
            <w:vAlign w:val="bottom"/>
            <w:hideMark/>
          </w:tcPr>
          <w:p w14:paraId="442AE722" w14:textId="43104E27" w:rsidR="00ED3E3E" w:rsidRPr="003E3C14" w:rsidRDefault="00ED3E3E" w:rsidP="00785761">
            <w:pPr>
              <w:spacing w:after="0" w:line="240" w:lineRule="auto"/>
              <w:rPr>
                <w:rFonts w:eastAsia="Times New Roman" w:cs="Arial"/>
                <w:sz w:val="20"/>
                <w:szCs w:val="20"/>
                <w:lang w:eastAsia="en-AU"/>
              </w:rPr>
            </w:pPr>
            <w:r w:rsidRPr="004810AC">
              <w:rPr>
                <w:rFonts w:eastAsia="Times New Roman" w:cs="Calibri"/>
                <w:color w:val="000000"/>
                <w:lang w:val="es" w:eastAsia="en-AU"/>
              </w:rPr>
              <w:t>Objetivo</w:t>
            </w:r>
            <w:r w:rsidRPr="003E3C14">
              <w:rPr>
                <w:rFonts w:eastAsia="Times New Roman" w:cs="Arial"/>
                <w:color w:val="000000"/>
                <w:sz w:val="20"/>
                <w:szCs w:val="20"/>
                <w:lang w:eastAsia="en-AU"/>
              </w:rPr>
              <w:t xml:space="preserve"> 3</w:t>
            </w:r>
          </w:p>
        </w:tc>
        <w:tc>
          <w:tcPr>
            <w:tcW w:w="816" w:type="pct"/>
            <w:shd w:val="clear" w:color="auto" w:fill="auto"/>
            <w:noWrap/>
            <w:vAlign w:val="bottom"/>
            <w:hideMark/>
          </w:tcPr>
          <w:p w14:paraId="3CF1CA62" w14:textId="238DB9F7" w:rsidR="00ED3E3E" w:rsidRPr="003E3C14" w:rsidRDefault="00ED3E3E" w:rsidP="00785761">
            <w:pPr>
              <w:spacing w:after="0" w:line="240" w:lineRule="auto"/>
              <w:jc w:val="right"/>
              <w:rPr>
                <w:rFonts w:eastAsia="Times New Roman" w:cs="Arial"/>
                <w:sz w:val="20"/>
                <w:szCs w:val="20"/>
                <w:lang w:eastAsia="en-AU"/>
              </w:rPr>
            </w:pPr>
            <w:r w:rsidRPr="003E3C14">
              <w:rPr>
                <w:rFonts w:eastAsia="Times New Roman" w:cs="Arial"/>
                <w:sz w:val="20"/>
                <w:szCs w:val="20"/>
                <w:lang w:eastAsia="en-AU"/>
              </w:rPr>
              <w:t>2</w:t>
            </w:r>
          </w:p>
        </w:tc>
        <w:tc>
          <w:tcPr>
            <w:tcW w:w="584" w:type="pct"/>
            <w:shd w:val="clear" w:color="auto" w:fill="auto"/>
            <w:noWrap/>
            <w:vAlign w:val="bottom"/>
            <w:hideMark/>
          </w:tcPr>
          <w:p w14:paraId="22EDF2EF" w14:textId="737F3883" w:rsidR="00ED3E3E" w:rsidRPr="003E3C14" w:rsidRDefault="00ED3E3E" w:rsidP="00785761">
            <w:pPr>
              <w:spacing w:after="0" w:line="240" w:lineRule="auto"/>
              <w:jc w:val="right"/>
              <w:rPr>
                <w:rFonts w:eastAsia="Times New Roman" w:cs="Arial"/>
                <w:sz w:val="20"/>
                <w:szCs w:val="20"/>
                <w:lang w:eastAsia="en-AU"/>
              </w:rPr>
            </w:pPr>
            <w:r w:rsidRPr="003E3C14">
              <w:rPr>
                <w:rFonts w:eastAsia="Times New Roman" w:cs="Arial"/>
                <w:sz w:val="20"/>
                <w:szCs w:val="20"/>
                <w:lang w:eastAsia="en-AU"/>
              </w:rPr>
              <w:t>9</w:t>
            </w:r>
          </w:p>
        </w:tc>
        <w:tc>
          <w:tcPr>
            <w:tcW w:w="700" w:type="pct"/>
            <w:shd w:val="clear" w:color="auto" w:fill="auto"/>
            <w:noWrap/>
            <w:vAlign w:val="bottom"/>
            <w:hideMark/>
          </w:tcPr>
          <w:p w14:paraId="1D8D92CB" w14:textId="31A24D02" w:rsidR="00ED3E3E" w:rsidRPr="003E3C14" w:rsidRDefault="00ED3E3E" w:rsidP="00785761">
            <w:pPr>
              <w:spacing w:after="0" w:line="240" w:lineRule="auto"/>
              <w:jc w:val="right"/>
              <w:rPr>
                <w:rFonts w:eastAsia="Times New Roman" w:cs="Arial"/>
                <w:sz w:val="20"/>
                <w:szCs w:val="20"/>
                <w:lang w:eastAsia="en-AU"/>
              </w:rPr>
            </w:pPr>
            <w:r w:rsidRPr="003E3C14">
              <w:rPr>
                <w:rFonts w:eastAsia="Times New Roman" w:cs="Arial"/>
                <w:sz w:val="20"/>
                <w:szCs w:val="20"/>
                <w:lang w:eastAsia="en-AU"/>
              </w:rPr>
              <w:t>3</w:t>
            </w:r>
          </w:p>
        </w:tc>
        <w:tc>
          <w:tcPr>
            <w:tcW w:w="700" w:type="pct"/>
            <w:shd w:val="clear" w:color="auto" w:fill="auto"/>
            <w:noWrap/>
            <w:vAlign w:val="bottom"/>
            <w:hideMark/>
          </w:tcPr>
          <w:p w14:paraId="5B4532A9" w14:textId="1F4DE0F0" w:rsidR="00ED3E3E" w:rsidRPr="003E3C14" w:rsidRDefault="00ED3E3E" w:rsidP="00785761">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auto"/>
            <w:noWrap/>
            <w:vAlign w:val="bottom"/>
            <w:hideMark/>
          </w:tcPr>
          <w:p w14:paraId="08B57116" w14:textId="6B0485DB" w:rsidR="00ED3E3E" w:rsidRPr="003E3C14" w:rsidRDefault="00ED3E3E" w:rsidP="00785761">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699" w:type="pct"/>
            <w:shd w:val="clear" w:color="auto" w:fill="auto"/>
            <w:noWrap/>
            <w:vAlign w:val="bottom"/>
            <w:hideMark/>
          </w:tcPr>
          <w:p w14:paraId="33C01DDA" w14:textId="5A7F1F0A" w:rsidR="00ED3E3E" w:rsidRPr="003E3C14" w:rsidRDefault="00ED3E3E" w:rsidP="00785761">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14</w:t>
            </w:r>
          </w:p>
        </w:tc>
      </w:tr>
      <w:tr w:rsidR="00785761" w:rsidRPr="003E3C14" w14:paraId="6283A8D4" w14:textId="77777777" w:rsidTr="00386338">
        <w:trPr>
          <w:cantSplit/>
        </w:trPr>
        <w:tc>
          <w:tcPr>
            <w:tcW w:w="801" w:type="pct"/>
            <w:shd w:val="clear" w:color="auto" w:fill="E4E9F3"/>
            <w:noWrap/>
            <w:vAlign w:val="bottom"/>
            <w:hideMark/>
          </w:tcPr>
          <w:p w14:paraId="2CFF44A9" w14:textId="56385D0C" w:rsidR="00785761" w:rsidRPr="003E3C14" w:rsidRDefault="00ED3E3E" w:rsidP="00785761">
            <w:pPr>
              <w:spacing w:after="0" w:line="240" w:lineRule="auto"/>
              <w:rPr>
                <w:rFonts w:eastAsia="Times New Roman" w:cs="Arial"/>
                <w:b/>
                <w:sz w:val="20"/>
                <w:szCs w:val="20"/>
                <w:lang w:eastAsia="en-AU"/>
              </w:rPr>
            </w:pPr>
            <w:r w:rsidRPr="003E3C14">
              <w:rPr>
                <w:b/>
                <w:sz w:val="20"/>
                <w:szCs w:val="20"/>
              </w:rPr>
              <w:t>Total</w:t>
            </w:r>
          </w:p>
        </w:tc>
        <w:tc>
          <w:tcPr>
            <w:tcW w:w="816" w:type="pct"/>
            <w:shd w:val="clear" w:color="auto" w:fill="E4E9F3"/>
            <w:noWrap/>
            <w:vAlign w:val="bottom"/>
            <w:hideMark/>
          </w:tcPr>
          <w:p w14:paraId="57F9D28C" w14:textId="1D680FA7" w:rsidR="00785761" w:rsidRPr="003E3C14" w:rsidRDefault="00785761" w:rsidP="00785761">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20</w:t>
            </w:r>
          </w:p>
        </w:tc>
        <w:tc>
          <w:tcPr>
            <w:tcW w:w="584" w:type="pct"/>
            <w:shd w:val="clear" w:color="auto" w:fill="E4E9F3"/>
            <w:noWrap/>
            <w:vAlign w:val="bottom"/>
            <w:hideMark/>
          </w:tcPr>
          <w:p w14:paraId="260F25D2" w14:textId="2CF00D31" w:rsidR="00785761" w:rsidRPr="003E3C14" w:rsidRDefault="00785761" w:rsidP="00785761">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43</w:t>
            </w:r>
          </w:p>
        </w:tc>
        <w:tc>
          <w:tcPr>
            <w:tcW w:w="700" w:type="pct"/>
            <w:shd w:val="clear" w:color="auto" w:fill="E4E9F3"/>
            <w:noWrap/>
            <w:vAlign w:val="bottom"/>
            <w:hideMark/>
          </w:tcPr>
          <w:p w14:paraId="2E2A9E6A" w14:textId="2364A351" w:rsidR="00785761" w:rsidRPr="003E3C14" w:rsidRDefault="00785761" w:rsidP="00785761">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7</w:t>
            </w:r>
          </w:p>
        </w:tc>
        <w:tc>
          <w:tcPr>
            <w:tcW w:w="700" w:type="pct"/>
            <w:shd w:val="clear" w:color="auto" w:fill="E4E9F3"/>
            <w:noWrap/>
            <w:vAlign w:val="bottom"/>
            <w:hideMark/>
          </w:tcPr>
          <w:p w14:paraId="340C1A08" w14:textId="580BF4CD" w:rsidR="00785761" w:rsidRPr="003E3C14" w:rsidRDefault="00785761" w:rsidP="00785761">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3</w:t>
            </w:r>
          </w:p>
        </w:tc>
        <w:tc>
          <w:tcPr>
            <w:tcW w:w="700" w:type="pct"/>
            <w:shd w:val="clear" w:color="auto" w:fill="E4E9F3"/>
            <w:noWrap/>
            <w:vAlign w:val="bottom"/>
            <w:hideMark/>
          </w:tcPr>
          <w:p w14:paraId="4F4F705C" w14:textId="754CE822" w:rsidR="00785761" w:rsidRPr="003E3C14" w:rsidRDefault="00785761" w:rsidP="00785761">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1</w:t>
            </w:r>
          </w:p>
        </w:tc>
        <w:tc>
          <w:tcPr>
            <w:tcW w:w="699" w:type="pct"/>
            <w:shd w:val="clear" w:color="auto" w:fill="E4E9F3"/>
            <w:noWrap/>
            <w:vAlign w:val="bottom"/>
            <w:hideMark/>
          </w:tcPr>
          <w:p w14:paraId="35964FE4" w14:textId="1690748C" w:rsidR="00785761" w:rsidRPr="003E3C14" w:rsidRDefault="00785761" w:rsidP="00785761">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74</w:t>
            </w:r>
          </w:p>
        </w:tc>
      </w:tr>
    </w:tbl>
    <w:p w14:paraId="2648F049" w14:textId="7E9623CF" w:rsidR="00C62233" w:rsidRPr="003E3C14" w:rsidRDefault="00C62233">
      <w:r w:rsidRPr="003E3C14">
        <w:br w:type="page"/>
      </w:r>
    </w:p>
    <w:p w14:paraId="62DD751A" w14:textId="563D1033" w:rsidR="00C62233" w:rsidRPr="003E3C14" w:rsidRDefault="004335E5" w:rsidP="0094489E">
      <w:pPr>
        <w:pStyle w:val="Heading1"/>
      </w:pPr>
      <w:bookmarkStart w:id="21" w:name="_Toc153314038"/>
      <w:r w:rsidRPr="00501ED4">
        <w:rPr>
          <w:rFonts w:cs="Arial"/>
          <w:lang w:val="es-ES"/>
        </w:rPr>
        <w:lastRenderedPageBreak/>
        <w:t>Plan de Acción Específica de Seguridad</w:t>
      </w:r>
      <w:bookmarkEnd w:id="21"/>
    </w:p>
    <w:p w14:paraId="583BD182" w14:textId="45735A7E" w:rsidR="00DA227A" w:rsidRPr="003E3C14" w:rsidRDefault="00C7052B" w:rsidP="00515A1C">
      <w:pPr>
        <w:pStyle w:val="Heading2"/>
        <w:pBdr>
          <w:top w:val="none" w:sz="0" w:space="0" w:color="auto"/>
        </w:pBdr>
      </w:pPr>
      <w:bookmarkStart w:id="22" w:name="_Toc153314039"/>
      <w:r w:rsidRPr="00501ED4">
        <w:rPr>
          <w:rFonts w:cs="Arial"/>
          <w:lang w:val="es-ES"/>
        </w:rPr>
        <w:t>Introducción</w:t>
      </w:r>
      <w:bookmarkEnd w:id="22"/>
    </w:p>
    <w:p w14:paraId="337DDA90" w14:textId="77777777" w:rsidR="00C7052B" w:rsidRPr="00501ED4" w:rsidRDefault="00C7052B" w:rsidP="00C7052B">
      <w:pPr>
        <w:spacing w:before="240" w:after="240" w:line="240" w:lineRule="auto"/>
        <w:rPr>
          <w:rFonts w:cs="Arial"/>
          <w:lang w:val="es-ES"/>
        </w:rPr>
      </w:pPr>
      <w:r w:rsidRPr="00501ED4">
        <w:rPr>
          <w:rFonts w:cs="Arial"/>
          <w:lang w:val="es-ES"/>
        </w:rPr>
        <w:t xml:space="preserve">El TAP de Seguridad está diseñado para impulsar el progreso conforme al Área de Resultados de Seguridad, Derechos y Justicia de la ADS. </w:t>
      </w:r>
    </w:p>
    <w:p w14:paraId="7E3694FC" w14:textId="77777777" w:rsidR="00C7052B" w:rsidRPr="00501ED4" w:rsidRDefault="00C7052B" w:rsidP="00C7052B">
      <w:pPr>
        <w:spacing w:before="240" w:after="240" w:line="240" w:lineRule="auto"/>
        <w:rPr>
          <w:rFonts w:cs="Arial"/>
          <w:lang w:val="es-ES"/>
        </w:rPr>
      </w:pPr>
      <w:r w:rsidRPr="00501ED4">
        <w:rPr>
          <w:rFonts w:cs="Arial"/>
          <w:lang w:val="es-ES"/>
        </w:rPr>
        <w:t>Esta Área de Resultados tiene por objetivo garantizar la promoción, conservación y protección de los derechos de las personas con discapacidad, y que se sientan seguras y disfruten de igualdad ante la ley.</w:t>
      </w:r>
    </w:p>
    <w:p w14:paraId="0EFE7D1D" w14:textId="77777777" w:rsidR="00C7052B" w:rsidRPr="00501ED4" w:rsidRDefault="00C7052B" w:rsidP="00C7052B">
      <w:pPr>
        <w:spacing w:before="240" w:after="240" w:line="240" w:lineRule="auto"/>
        <w:rPr>
          <w:rFonts w:cs="Arial"/>
          <w:lang w:val="es-ES"/>
        </w:rPr>
      </w:pPr>
      <w:r w:rsidRPr="00501ED4">
        <w:rPr>
          <w:rFonts w:cs="Arial"/>
          <w:lang w:val="es-ES"/>
        </w:rPr>
        <w:t>En el TAP de Seguridad, hay 117 acciones sobre las que se informa en el gobierno australiano y los gobiernos estatales y territoriales para el período 2022-2023.</w:t>
      </w:r>
    </w:p>
    <w:p w14:paraId="10D0C0B7" w14:textId="541274DC" w:rsidR="00C7052B" w:rsidRPr="003E3C14" w:rsidRDefault="00C7052B" w:rsidP="00C7052B">
      <w:pPr>
        <w:spacing w:before="240" w:after="240" w:line="240" w:lineRule="auto"/>
      </w:pPr>
      <w:r w:rsidRPr="00501ED4">
        <w:rPr>
          <w:rFonts w:cs="Arial"/>
          <w:lang w:val="es-ES"/>
        </w:rPr>
        <w:t>Están incluidas acciones que</w:t>
      </w:r>
      <w:r w:rsidRPr="00501ED4">
        <w:rPr>
          <w:lang w:val="es-ES"/>
        </w:rPr>
        <w:t xml:space="preserve"> </w:t>
      </w:r>
      <w:r w:rsidRPr="00501ED4">
        <w:rPr>
          <w:rFonts w:cs="Arial"/>
          <w:lang w:val="es-ES"/>
        </w:rPr>
        <w:t xml:space="preserve">apoyan la identificación de personas con discapacidad en riesgo de daños, analizan cómo alinear mejor la legislación y la política nacional, y mejorar los servicios y recursos que apoyan a las personas en </w:t>
      </w:r>
      <w:r>
        <w:rPr>
          <w:rFonts w:cs="Arial"/>
          <w:lang w:val="es-ES"/>
        </w:rPr>
        <w:t>situación de riesgo</w:t>
      </w:r>
      <w:r w:rsidRPr="00501ED4">
        <w:rPr>
          <w:rFonts w:cs="Arial"/>
          <w:lang w:val="es-ES"/>
        </w:rPr>
        <w:t>.</w:t>
      </w:r>
    </w:p>
    <w:p w14:paraId="1ABC1D7A" w14:textId="2950219F" w:rsidR="00C62233" w:rsidRPr="003E3C14" w:rsidRDefault="00C7052B" w:rsidP="00B71B33">
      <w:pPr>
        <w:pStyle w:val="Heading2"/>
      </w:pPr>
      <w:bookmarkStart w:id="23" w:name="_Toc153314040"/>
      <w:r w:rsidRPr="00501ED4">
        <w:rPr>
          <w:rFonts w:cs="Arial"/>
          <w:lang w:val="es-ES"/>
        </w:rPr>
        <w:t>Objetivos</w:t>
      </w:r>
      <w:bookmarkEnd w:id="23"/>
      <w:r w:rsidR="00C62233" w:rsidRPr="003E3C14">
        <w:t xml:space="preserve"> </w:t>
      </w:r>
    </w:p>
    <w:p w14:paraId="00147157" w14:textId="4009F2FE" w:rsidR="00C7052B" w:rsidRPr="00C7052B" w:rsidRDefault="00C7052B" w:rsidP="00C7052B">
      <w:pPr>
        <w:pStyle w:val="ListParagraph"/>
        <w:numPr>
          <w:ilvl w:val="0"/>
          <w:numId w:val="26"/>
        </w:numPr>
        <w:spacing w:after="120" w:line="240" w:lineRule="auto"/>
        <w:ind w:left="806" w:hanging="446"/>
        <w:contextualSpacing w:val="0"/>
        <w:rPr>
          <w:rFonts w:cs="Arial"/>
          <w:lang w:val="es-ES"/>
        </w:rPr>
      </w:pPr>
      <w:r w:rsidRPr="00C7052B">
        <w:rPr>
          <w:rFonts w:cs="Arial"/>
          <w:lang w:val="es-ES"/>
        </w:rPr>
        <w:t xml:space="preserve">Crear la capacidad para identificar y responder ante factores de riesgo y protección que hagan que una persona con discapacidad sufra daños o que posiblemente esté en riesgo de sufrirlos. </w:t>
      </w:r>
    </w:p>
    <w:p w14:paraId="2B4CD459" w14:textId="30E29FF4" w:rsidR="00C7052B" w:rsidRPr="00C7052B" w:rsidRDefault="00C7052B" w:rsidP="00C7052B">
      <w:pPr>
        <w:pStyle w:val="ListParagraph"/>
        <w:numPr>
          <w:ilvl w:val="0"/>
          <w:numId w:val="26"/>
        </w:numPr>
        <w:spacing w:after="120" w:line="240" w:lineRule="auto"/>
        <w:ind w:left="806" w:hanging="446"/>
        <w:contextualSpacing w:val="0"/>
        <w:rPr>
          <w:rFonts w:cs="Arial"/>
          <w:lang w:val="es-ES"/>
        </w:rPr>
      </w:pPr>
      <w:r w:rsidRPr="00C7052B">
        <w:rPr>
          <w:rFonts w:cs="Arial"/>
          <w:lang w:val="es-ES"/>
        </w:rPr>
        <w:t>Garantizar que los servicios generales y especializados para personas con discapacidad proporcionen protecciones apropiadas y equilibradas a personas con discapacidad que sufran daños o puedan estar en riesgo de sufrirlos.</w:t>
      </w:r>
    </w:p>
    <w:p w14:paraId="3D7B2796" w14:textId="09C48156" w:rsidR="00C7052B" w:rsidRPr="00C7052B" w:rsidRDefault="00C7052B" w:rsidP="00C7052B">
      <w:pPr>
        <w:pStyle w:val="ListParagraph"/>
        <w:numPr>
          <w:ilvl w:val="0"/>
          <w:numId w:val="26"/>
        </w:numPr>
        <w:spacing w:after="120" w:line="240" w:lineRule="auto"/>
        <w:ind w:left="806" w:hanging="446"/>
        <w:contextualSpacing w:val="0"/>
        <w:rPr>
          <w:rFonts w:cs="Arial"/>
          <w:lang w:val="es-ES"/>
        </w:rPr>
      </w:pPr>
      <w:r w:rsidRPr="00C7052B">
        <w:rPr>
          <w:rFonts w:cs="Arial"/>
          <w:lang w:val="es-ES"/>
        </w:rPr>
        <w:t>Fortalecer el diseño de todos los sistemas de servicios gubernamentales y los apoyos que proporcionan a las personas con discapacidad en riesgo de daños.</w:t>
      </w:r>
    </w:p>
    <w:p w14:paraId="38AA7105" w14:textId="65174270" w:rsidR="00C7052B" w:rsidRPr="00C7052B" w:rsidRDefault="00C7052B" w:rsidP="00C7052B">
      <w:pPr>
        <w:pStyle w:val="ListParagraph"/>
        <w:numPr>
          <w:ilvl w:val="0"/>
          <w:numId w:val="26"/>
        </w:numPr>
        <w:spacing w:after="120" w:line="240" w:lineRule="auto"/>
        <w:ind w:left="806" w:hanging="446"/>
        <w:contextualSpacing w:val="0"/>
        <w:rPr>
          <w:rFonts w:cs="Arial"/>
          <w:lang w:val="es-ES"/>
        </w:rPr>
      </w:pPr>
      <w:r w:rsidRPr="00C7052B">
        <w:rPr>
          <w:rFonts w:cs="Arial"/>
          <w:lang w:val="es-ES"/>
        </w:rPr>
        <w:t>Reducir y prescindir del uso de prácticas restrictivas en todos los sistemas de servicios gubernamentales.</w:t>
      </w:r>
    </w:p>
    <w:p w14:paraId="5BF9252F" w14:textId="71CCF13B" w:rsidR="00C7052B" w:rsidRPr="003E3C14" w:rsidRDefault="00C7052B" w:rsidP="00C7052B">
      <w:pPr>
        <w:pStyle w:val="ListParagraph"/>
        <w:numPr>
          <w:ilvl w:val="0"/>
          <w:numId w:val="26"/>
        </w:numPr>
        <w:spacing w:after="120" w:line="240" w:lineRule="auto"/>
        <w:ind w:left="806" w:hanging="446"/>
        <w:contextualSpacing w:val="0"/>
      </w:pPr>
      <w:r w:rsidRPr="00501ED4">
        <w:rPr>
          <w:rFonts w:cs="Arial"/>
          <w:lang w:val="es-ES"/>
        </w:rPr>
        <w:t>Desarrollar capacidad individual y protecciones naturales efectivas (es decir, apoyos y protecciones informales, como la conexión con la familia y la comunidad) de las personas con discapacidad.</w:t>
      </w:r>
    </w:p>
    <w:p w14:paraId="6F491625" w14:textId="77777777" w:rsidR="00C62233" w:rsidRPr="003E3C14" w:rsidRDefault="00C62233">
      <w:r w:rsidRPr="003E3C14">
        <w:br w:type="page"/>
      </w:r>
    </w:p>
    <w:p w14:paraId="61E37569" w14:textId="03DB42C8" w:rsidR="00C62233" w:rsidRPr="003E3C14" w:rsidRDefault="001638F8" w:rsidP="0066071F">
      <w:pPr>
        <w:rPr>
          <w:b/>
          <w:bCs/>
          <w:color w:val="6C1740"/>
          <w:sz w:val="94"/>
          <w:szCs w:val="94"/>
        </w:rPr>
      </w:pPr>
      <w:r w:rsidRPr="001638F8">
        <w:rPr>
          <w:b/>
          <w:bCs/>
          <w:color w:val="6C1740"/>
          <w:sz w:val="94"/>
          <w:szCs w:val="94"/>
        </w:rPr>
        <w:lastRenderedPageBreak/>
        <w:t>TAP de Seguridad</w:t>
      </w:r>
    </w:p>
    <w:p w14:paraId="4AF4A1D1" w14:textId="4A3D4301" w:rsidR="00C62233" w:rsidRPr="003E3C14" w:rsidRDefault="001638F8" w:rsidP="00697A46">
      <w:pPr>
        <w:spacing w:before="240" w:after="240" w:line="240" w:lineRule="auto"/>
      </w:pPr>
      <w:r w:rsidRPr="00501ED4">
        <w:rPr>
          <w:rFonts w:cs="Arial"/>
          <w:lang w:val="es-ES"/>
        </w:rPr>
        <w:t>Tabl</w:t>
      </w:r>
      <w:r>
        <w:rPr>
          <w:rFonts w:cs="Arial"/>
          <w:lang w:val="es-ES"/>
        </w:rPr>
        <w:t>a</w:t>
      </w:r>
      <w:r w:rsidRPr="00501ED4">
        <w:rPr>
          <w:rFonts w:cs="Arial"/>
          <w:lang w:val="es-ES"/>
        </w:rPr>
        <w:t xml:space="preserve"> 9: TAP de Seguridad: progreso de las acciones por gobierno en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9: Safety TAP – progress of actions by government in 2022-2023"/>
      </w:tblPr>
      <w:tblGrid>
        <w:gridCol w:w="1478"/>
        <w:gridCol w:w="1510"/>
        <w:gridCol w:w="1078"/>
        <w:gridCol w:w="1294"/>
        <w:gridCol w:w="1294"/>
        <w:gridCol w:w="1294"/>
        <w:gridCol w:w="1294"/>
      </w:tblGrid>
      <w:tr w:rsidR="0069635D" w:rsidRPr="003E3C14" w14:paraId="4A6BA6AA" w14:textId="77777777" w:rsidTr="004D2D24">
        <w:trPr>
          <w:cantSplit/>
        </w:trPr>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5C52B893" w14:textId="4EB71E69" w:rsidR="0069635D" w:rsidRPr="003E3C14" w:rsidRDefault="0069635D" w:rsidP="002A249B">
            <w:pPr>
              <w:spacing w:after="0" w:line="240" w:lineRule="auto"/>
              <w:rPr>
                <w:rFonts w:eastAsia="Times New Roman" w:cs="Arial"/>
                <w:b/>
                <w:bCs/>
                <w:color w:val="FFFFFF" w:themeColor="background1"/>
                <w:sz w:val="20"/>
                <w:szCs w:val="20"/>
                <w:lang w:eastAsia="en-AU"/>
              </w:rPr>
            </w:pPr>
            <w:bookmarkStart w:id="24" w:name="Title_09"/>
            <w:bookmarkEnd w:id="24"/>
            <w:r w:rsidRPr="00BC2F9E">
              <w:rPr>
                <w:rFonts w:eastAsia="Times New Roman" w:cs="Calibri"/>
                <w:b/>
                <w:bCs/>
                <w:color w:val="FFFFFF" w:themeColor="background1"/>
                <w:lang w:val="es" w:eastAsia="en-AU"/>
              </w:rPr>
              <w:t>Gobierno</w:t>
            </w:r>
          </w:p>
        </w:tc>
        <w:tc>
          <w:tcPr>
            <w:tcW w:w="817"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6C7FD82F" w14:textId="127451AC" w:rsidR="0069635D" w:rsidRPr="003E3C14" w:rsidRDefault="0069635D" w:rsidP="00464AAF">
            <w:pPr>
              <w:spacing w:after="0" w:line="240" w:lineRule="auto"/>
              <w:rPr>
                <w:rFonts w:eastAsia="Times New Roman" w:cs="Arial"/>
                <w:b/>
                <w:bCs/>
                <w:color w:val="FFFFFF" w:themeColor="background1"/>
                <w:sz w:val="20"/>
                <w:szCs w:val="20"/>
                <w:lang w:eastAsia="en-AU"/>
              </w:rPr>
            </w:pPr>
            <w:r w:rsidRPr="00BC2F9E">
              <w:rPr>
                <w:rFonts w:eastAsia="Times New Roman" w:cs="Calibri"/>
                <w:b/>
                <w:bCs/>
                <w:color w:val="FFFFFF" w:themeColor="background1"/>
                <w:lang w:val="es" w:eastAsia="en-AU"/>
              </w:rPr>
              <w:t>Completada</w:t>
            </w:r>
          </w:p>
        </w:tc>
        <w:tc>
          <w:tcPr>
            <w:tcW w:w="583"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F957BC8" w14:textId="7B2DF26E" w:rsidR="0069635D" w:rsidRPr="003E3C14" w:rsidRDefault="0069635D" w:rsidP="002A249B">
            <w:pPr>
              <w:spacing w:after="0" w:line="240" w:lineRule="auto"/>
              <w:rPr>
                <w:rFonts w:eastAsia="Times New Roman" w:cs="Arial"/>
                <w:b/>
                <w:bCs/>
                <w:color w:val="FFFFFF" w:themeColor="background1"/>
                <w:sz w:val="20"/>
                <w:szCs w:val="20"/>
                <w:lang w:eastAsia="en-AU"/>
              </w:rPr>
            </w:pPr>
            <w:r w:rsidRPr="00BC2F9E">
              <w:rPr>
                <w:rFonts w:eastAsia="Times New Roman" w:cs="Calibri"/>
                <w:b/>
                <w:bCs/>
                <w:color w:val="FFFFFF" w:themeColor="background1"/>
                <w:lang w:val="es" w:eastAsia="en-AU"/>
              </w:rPr>
              <w:t>En curso</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24BA9979" w14:textId="06F69F1C" w:rsidR="0069635D" w:rsidRPr="003E3C14" w:rsidRDefault="0069635D" w:rsidP="002A249B">
            <w:pPr>
              <w:spacing w:after="0" w:line="240" w:lineRule="auto"/>
              <w:rPr>
                <w:rFonts w:eastAsia="Times New Roman" w:cs="Arial"/>
                <w:b/>
                <w:bCs/>
                <w:color w:val="FFFFFF" w:themeColor="background1"/>
                <w:sz w:val="20"/>
                <w:szCs w:val="20"/>
                <w:lang w:eastAsia="en-AU"/>
              </w:rPr>
            </w:pPr>
            <w:r w:rsidRPr="00BC2F9E">
              <w:rPr>
                <w:rFonts w:eastAsia="Times New Roman" w:cs="Calibri"/>
                <w:b/>
                <w:bCs/>
                <w:color w:val="FFFFFF" w:themeColor="background1"/>
                <w:lang w:val="es" w:eastAsia="en-AU"/>
              </w:rPr>
              <w:t>Algunas demoras</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259E8D80" w14:textId="1FF346F8" w:rsidR="0069635D" w:rsidRPr="003E3C14" w:rsidRDefault="0069635D" w:rsidP="002A249B">
            <w:pPr>
              <w:spacing w:after="0" w:line="240" w:lineRule="auto"/>
              <w:rPr>
                <w:rFonts w:eastAsia="Times New Roman" w:cs="Arial"/>
                <w:b/>
                <w:bCs/>
                <w:color w:val="FFFFFF" w:themeColor="background1"/>
                <w:sz w:val="20"/>
                <w:szCs w:val="20"/>
                <w:lang w:eastAsia="en-AU"/>
              </w:rPr>
            </w:pPr>
            <w:r w:rsidRPr="00BC2F9E">
              <w:rPr>
                <w:rFonts w:eastAsia="Times New Roman" w:cs="Calibri"/>
                <w:b/>
                <w:bCs/>
                <w:color w:val="FFFFFF" w:themeColor="background1"/>
                <w:lang w:val="es" w:eastAsia="en-AU"/>
              </w:rPr>
              <w:t>En pausa</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4EA73979" w14:textId="4EE044A6" w:rsidR="0069635D" w:rsidRPr="003E3C14" w:rsidRDefault="0069635D" w:rsidP="002A249B">
            <w:pPr>
              <w:spacing w:after="0" w:line="240" w:lineRule="auto"/>
              <w:rPr>
                <w:rFonts w:eastAsia="Times New Roman" w:cs="Arial"/>
                <w:b/>
                <w:bCs/>
                <w:color w:val="FFFFFF" w:themeColor="background1"/>
                <w:sz w:val="20"/>
                <w:szCs w:val="20"/>
                <w:lang w:eastAsia="en-AU"/>
              </w:rPr>
            </w:pPr>
            <w:r w:rsidRPr="00BC2F9E">
              <w:rPr>
                <w:rFonts w:eastAsia="Times New Roman" w:cs="Calibri"/>
                <w:b/>
                <w:bCs/>
                <w:color w:val="FFFFFF" w:themeColor="background1"/>
                <w:lang w:val="es" w:eastAsia="en-AU"/>
              </w:rPr>
              <w:t>Inicio futuro</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0054A5DC" w14:textId="4E7869EE" w:rsidR="0069635D" w:rsidRPr="003E3C14" w:rsidRDefault="0069635D" w:rsidP="002A249B">
            <w:pPr>
              <w:spacing w:after="0" w:line="240" w:lineRule="auto"/>
              <w:rPr>
                <w:rFonts w:eastAsia="Times New Roman" w:cs="Arial"/>
                <w:b/>
                <w:color w:val="FFFFFF" w:themeColor="background1"/>
                <w:sz w:val="20"/>
                <w:szCs w:val="20"/>
                <w:lang w:eastAsia="en-AU"/>
              </w:rPr>
            </w:pPr>
            <w:r w:rsidRPr="00BC2F9E">
              <w:rPr>
                <w:b/>
                <w:color w:val="FFFFFF" w:themeColor="background1"/>
                <w:sz w:val="20"/>
                <w:szCs w:val="20"/>
              </w:rPr>
              <w:t>Total</w:t>
            </w:r>
          </w:p>
        </w:tc>
      </w:tr>
      <w:tr w:rsidR="0069635D" w:rsidRPr="003E3C14" w14:paraId="1A6B4889" w14:textId="77777777" w:rsidTr="004D2D24">
        <w:trPr>
          <w:cantSplit/>
        </w:trPr>
        <w:tc>
          <w:tcPr>
            <w:tcW w:w="800" w:type="pct"/>
            <w:tcBorders>
              <w:top w:val="single" w:sz="4" w:space="0" w:color="auto"/>
            </w:tcBorders>
            <w:noWrap/>
            <w:hideMark/>
          </w:tcPr>
          <w:p w14:paraId="1EE59503" w14:textId="134AB554" w:rsidR="0069635D" w:rsidRPr="003E3C14" w:rsidRDefault="0069635D" w:rsidP="002A249B">
            <w:pPr>
              <w:spacing w:after="0" w:line="240" w:lineRule="auto"/>
              <w:rPr>
                <w:rFonts w:eastAsia="Times New Roman" w:cs="Arial"/>
                <w:sz w:val="20"/>
                <w:szCs w:val="20"/>
                <w:lang w:eastAsia="en-AU"/>
              </w:rPr>
            </w:pPr>
            <w:r w:rsidRPr="003E3C14">
              <w:rPr>
                <w:sz w:val="20"/>
                <w:szCs w:val="20"/>
              </w:rPr>
              <w:t>Australian Government</w:t>
            </w:r>
          </w:p>
        </w:tc>
        <w:tc>
          <w:tcPr>
            <w:tcW w:w="817" w:type="pct"/>
            <w:tcBorders>
              <w:top w:val="single" w:sz="4" w:space="0" w:color="auto"/>
            </w:tcBorders>
            <w:noWrap/>
            <w:hideMark/>
          </w:tcPr>
          <w:p w14:paraId="6892605D"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5</w:t>
            </w:r>
          </w:p>
        </w:tc>
        <w:tc>
          <w:tcPr>
            <w:tcW w:w="583" w:type="pct"/>
            <w:tcBorders>
              <w:top w:val="single" w:sz="4" w:space="0" w:color="auto"/>
            </w:tcBorders>
            <w:noWrap/>
            <w:hideMark/>
          </w:tcPr>
          <w:p w14:paraId="5287CC8A"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4</w:t>
            </w:r>
          </w:p>
        </w:tc>
        <w:tc>
          <w:tcPr>
            <w:tcW w:w="700" w:type="pct"/>
            <w:tcBorders>
              <w:top w:val="single" w:sz="4" w:space="0" w:color="auto"/>
            </w:tcBorders>
            <w:noWrap/>
            <w:hideMark/>
          </w:tcPr>
          <w:p w14:paraId="3EBEB488"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8</w:t>
            </w:r>
          </w:p>
        </w:tc>
        <w:tc>
          <w:tcPr>
            <w:tcW w:w="700" w:type="pct"/>
            <w:tcBorders>
              <w:top w:val="single" w:sz="4" w:space="0" w:color="auto"/>
            </w:tcBorders>
            <w:noWrap/>
            <w:hideMark/>
          </w:tcPr>
          <w:p w14:paraId="35209C8D"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tcBorders>
              <w:top w:val="single" w:sz="4" w:space="0" w:color="auto"/>
            </w:tcBorders>
            <w:noWrap/>
            <w:hideMark/>
          </w:tcPr>
          <w:p w14:paraId="3F228A37"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2</w:t>
            </w:r>
          </w:p>
        </w:tc>
        <w:tc>
          <w:tcPr>
            <w:tcW w:w="700" w:type="pct"/>
            <w:tcBorders>
              <w:top w:val="single" w:sz="4" w:space="0" w:color="auto"/>
            </w:tcBorders>
            <w:noWrap/>
            <w:hideMark/>
          </w:tcPr>
          <w:p w14:paraId="2B1D3447" w14:textId="77777777" w:rsidR="0069635D" w:rsidRPr="003E3C14" w:rsidRDefault="0069635D"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19</w:t>
            </w:r>
          </w:p>
        </w:tc>
      </w:tr>
      <w:tr w:rsidR="0069635D" w:rsidRPr="003E3C14" w14:paraId="41FE6ECC" w14:textId="77777777" w:rsidTr="004D2D24">
        <w:trPr>
          <w:cantSplit/>
        </w:trPr>
        <w:tc>
          <w:tcPr>
            <w:tcW w:w="800" w:type="pct"/>
            <w:shd w:val="clear" w:color="auto" w:fill="FAF9F8"/>
            <w:noWrap/>
            <w:hideMark/>
          </w:tcPr>
          <w:p w14:paraId="20CA60DA" w14:textId="0D84384F" w:rsidR="0069635D" w:rsidRPr="003E3C14" w:rsidRDefault="0069635D" w:rsidP="002A249B">
            <w:pPr>
              <w:spacing w:after="0" w:line="240" w:lineRule="auto"/>
              <w:rPr>
                <w:rFonts w:eastAsia="Times New Roman" w:cs="Arial"/>
                <w:sz w:val="20"/>
                <w:szCs w:val="20"/>
                <w:lang w:eastAsia="en-AU"/>
              </w:rPr>
            </w:pPr>
            <w:r w:rsidRPr="003E3C14">
              <w:rPr>
                <w:sz w:val="20"/>
                <w:szCs w:val="20"/>
              </w:rPr>
              <w:t>NSW</w:t>
            </w:r>
          </w:p>
        </w:tc>
        <w:tc>
          <w:tcPr>
            <w:tcW w:w="817" w:type="pct"/>
            <w:shd w:val="clear" w:color="auto" w:fill="FAF9F8"/>
            <w:noWrap/>
            <w:hideMark/>
          </w:tcPr>
          <w:p w14:paraId="0EF23DB3"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w:t>
            </w:r>
          </w:p>
        </w:tc>
        <w:tc>
          <w:tcPr>
            <w:tcW w:w="583" w:type="pct"/>
            <w:shd w:val="clear" w:color="auto" w:fill="FAF9F8"/>
            <w:noWrap/>
            <w:hideMark/>
          </w:tcPr>
          <w:p w14:paraId="7E35BFD5"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9</w:t>
            </w:r>
          </w:p>
        </w:tc>
        <w:tc>
          <w:tcPr>
            <w:tcW w:w="700" w:type="pct"/>
            <w:shd w:val="clear" w:color="auto" w:fill="FAF9F8"/>
            <w:noWrap/>
            <w:hideMark/>
          </w:tcPr>
          <w:p w14:paraId="6F0D5D57"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7</w:t>
            </w:r>
          </w:p>
        </w:tc>
        <w:tc>
          <w:tcPr>
            <w:tcW w:w="700" w:type="pct"/>
            <w:shd w:val="clear" w:color="auto" w:fill="FAF9F8"/>
            <w:noWrap/>
            <w:hideMark/>
          </w:tcPr>
          <w:p w14:paraId="6EC2C252"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w:t>
            </w:r>
          </w:p>
        </w:tc>
        <w:tc>
          <w:tcPr>
            <w:tcW w:w="700" w:type="pct"/>
            <w:shd w:val="clear" w:color="auto" w:fill="FAF9F8"/>
            <w:noWrap/>
            <w:hideMark/>
          </w:tcPr>
          <w:p w14:paraId="40A5BD66"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FAF9F8"/>
            <w:noWrap/>
            <w:hideMark/>
          </w:tcPr>
          <w:p w14:paraId="315FC467" w14:textId="77777777" w:rsidR="0069635D" w:rsidRPr="003E3C14" w:rsidRDefault="0069635D"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18</w:t>
            </w:r>
          </w:p>
        </w:tc>
      </w:tr>
      <w:tr w:rsidR="0069635D" w:rsidRPr="003E3C14" w14:paraId="54AFFBF3" w14:textId="77777777" w:rsidTr="004D2D24">
        <w:trPr>
          <w:cantSplit/>
        </w:trPr>
        <w:tc>
          <w:tcPr>
            <w:tcW w:w="800" w:type="pct"/>
            <w:noWrap/>
            <w:hideMark/>
          </w:tcPr>
          <w:p w14:paraId="58ED579B" w14:textId="1B7914D0" w:rsidR="0069635D" w:rsidRPr="003E3C14" w:rsidRDefault="0069635D" w:rsidP="002A249B">
            <w:pPr>
              <w:spacing w:after="0" w:line="240" w:lineRule="auto"/>
              <w:rPr>
                <w:rFonts w:eastAsia="Times New Roman" w:cs="Arial"/>
                <w:sz w:val="20"/>
                <w:szCs w:val="20"/>
                <w:lang w:eastAsia="en-AU"/>
              </w:rPr>
            </w:pPr>
            <w:r w:rsidRPr="003E3C14">
              <w:rPr>
                <w:sz w:val="20"/>
                <w:szCs w:val="20"/>
              </w:rPr>
              <w:t>VIC</w:t>
            </w:r>
          </w:p>
        </w:tc>
        <w:tc>
          <w:tcPr>
            <w:tcW w:w="817" w:type="pct"/>
            <w:noWrap/>
            <w:hideMark/>
          </w:tcPr>
          <w:p w14:paraId="2446CACC"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6</w:t>
            </w:r>
          </w:p>
        </w:tc>
        <w:tc>
          <w:tcPr>
            <w:tcW w:w="583" w:type="pct"/>
            <w:noWrap/>
            <w:hideMark/>
          </w:tcPr>
          <w:p w14:paraId="4ADEC6C1"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8</w:t>
            </w:r>
          </w:p>
        </w:tc>
        <w:tc>
          <w:tcPr>
            <w:tcW w:w="700" w:type="pct"/>
            <w:noWrap/>
            <w:hideMark/>
          </w:tcPr>
          <w:p w14:paraId="5F7BC15D"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noWrap/>
            <w:hideMark/>
          </w:tcPr>
          <w:p w14:paraId="29B5F22A"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noWrap/>
            <w:hideMark/>
          </w:tcPr>
          <w:p w14:paraId="441805E1"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noWrap/>
            <w:hideMark/>
          </w:tcPr>
          <w:p w14:paraId="68A673A9" w14:textId="77777777" w:rsidR="0069635D" w:rsidRPr="003E3C14" w:rsidRDefault="0069635D"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14</w:t>
            </w:r>
          </w:p>
        </w:tc>
      </w:tr>
      <w:tr w:rsidR="0069635D" w:rsidRPr="003E3C14" w14:paraId="04301E7D" w14:textId="77777777" w:rsidTr="004D2D24">
        <w:trPr>
          <w:cantSplit/>
        </w:trPr>
        <w:tc>
          <w:tcPr>
            <w:tcW w:w="800" w:type="pct"/>
            <w:shd w:val="clear" w:color="auto" w:fill="FAF9F8"/>
            <w:noWrap/>
            <w:hideMark/>
          </w:tcPr>
          <w:p w14:paraId="7E618625" w14:textId="610F2FBB" w:rsidR="0069635D" w:rsidRPr="003E3C14" w:rsidRDefault="0069635D" w:rsidP="002A249B">
            <w:pPr>
              <w:spacing w:after="0" w:line="240" w:lineRule="auto"/>
              <w:rPr>
                <w:rFonts w:eastAsia="Times New Roman" w:cs="Arial"/>
                <w:sz w:val="20"/>
                <w:szCs w:val="20"/>
                <w:lang w:eastAsia="en-AU"/>
              </w:rPr>
            </w:pPr>
            <w:r w:rsidRPr="003E3C14">
              <w:rPr>
                <w:sz w:val="20"/>
                <w:szCs w:val="20"/>
              </w:rPr>
              <w:t>QLD</w:t>
            </w:r>
          </w:p>
        </w:tc>
        <w:tc>
          <w:tcPr>
            <w:tcW w:w="817" w:type="pct"/>
            <w:shd w:val="clear" w:color="auto" w:fill="FAF9F8"/>
            <w:noWrap/>
            <w:hideMark/>
          </w:tcPr>
          <w:p w14:paraId="7E6436B8"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3</w:t>
            </w:r>
          </w:p>
        </w:tc>
        <w:tc>
          <w:tcPr>
            <w:tcW w:w="583" w:type="pct"/>
            <w:shd w:val="clear" w:color="auto" w:fill="FAF9F8"/>
            <w:noWrap/>
            <w:hideMark/>
          </w:tcPr>
          <w:p w14:paraId="659425A8"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6</w:t>
            </w:r>
          </w:p>
        </w:tc>
        <w:tc>
          <w:tcPr>
            <w:tcW w:w="700" w:type="pct"/>
            <w:shd w:val="clear" w:color="auto" w:fill="FAF9F8"/>
            <w:noWrap/>
            <w:hideMark/>
          </w:tcPr>
          <w:p w14:paraId="7F757EC3"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4</w:t>
            </w:r>
          </w:p>
        </w:tc>
        <w:tc>
          <w:tcPr>
            <w:tcW w:w="700" w:type="pct"/>
            <w:shd w:val="clear" w:color="auto" w:fill="FAF9F8"/>
            <w:noWrap/>
            <w:hideMark/>
          </w:tcPr>
          <w:p w14:paraId="598CEBC9"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FAF9F8"/>
            <w:noWrap/>
            <w:hideMark/>
          </w:tcPr>
          <w:p w14:paraId="0E3E5C0F"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FAF9F8"/>
            <w:noWrap/>
            <w:hideMark/>
          </w:tcPr>
          <w:p w14:paraId="095E5D5B" w14:textId="77777777" w:rsidR="0069635D" w:rsidRPr="003E3C14" w:rsidRDefault="0069635D"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13</w:t>
            </w:r>
          </w:p>
        </w:tc>
      </w:tr>
      <w:tr w:rsidR="0069635D" w:rsidRPr="003E3C14" w14:paraId="6376A06A" w14:textId="77777777" w:rsidTr="004D2D24">
        <w:trPr>
          <w:cantSplit/>
        </w:trPr>
        <w:tc>
          <w:tcPr>
            <w:tcW w:w="800" w:type="pct"/>
            <w:noWrap/>
            <w:hideMark/>
          </w:tcPr>
          <w:p w14:paraId="450E5E40" w14:textId="090F4153" w:rsidR="0069635D" w:rsidRPr="003E3C14" w:rsidRDefault="0069635D" w:rsidP="002A249B">
            <w:pPr>
              <w:spacing w:after="0" w:line="240" w:lineRule="auto"/>
              <w:rPr>
                <w:rFonts w:eastAsia="Times New Roman" w:cs="Arial"/>
                <w:sz w:val="20"/>
                <w:szCs w:val="20"/>
                <w:lang w:eastAsia="en-AU"/>
              </w:rPr>
            </w:pPr>
            <w:r w:rsidRPr="003E3C14">
              <w:rPr>
                <w:sz w:val="20"/>
                <w:szCs w:val="20"/>
              </w:rPr>
              <w:t>WA</w:t>
            </w:r>
          </w:p>
        </w:tc>
        <w:tc>
          <w:tcPr>
            <w:tcW w:w="817" w:type="pct"/>
            <w:noWrap/>
            <w:hideMark/>
          </w:tcPr>
          <w:p w14:paraId="5342A9F8"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5</w:t>
            </w:r>
          </w:p>
        </w:tc>
        <w:tc>
          <w:tcPr>
            <w:tcW w:w="583" w:type="pct"/>
            <w:noWrap/>
            <w:hideMark/>
          </w:tcPr>
          <w:p w14:paraId="3F7F7E70"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6</w:t>
            </w:r>
          </w:p>
        </w:tc>
        <w:tc>
          <w:tcPr>
            <w:tcW w:w="700" w:type="pct"/>
            <w:noWrap/>
            <w:hideMark/>
          </w:tcPr>
          <w:p w14:paraId="19226562"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noWrap/>
            <w:hideMark/>
          </w:tcPr>
          <w:p w14:paraId="57981A25"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noWrap/>
            <w:hideMark/>
          </w:tcPr>
          <w:p w14:paraId="012FEA77"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noWrap/>
            <w:hideMark/>
          </w:tcPr>
          <w:p w14:paraId="264295B9" w14:textId="77777777" w:rsidR="0069635D" w:rsidRPr="003E3C14" w:rsidRDefault="0069635D"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11</w:t>
            </w:r>
          </w:p>
        </w:tc>
      </w:tr>
      <w:tr w:rsidR="0069635D" w:rsidRPr="003E3C14" w14:paraId="33572A73" w14:textId="77777777" w:rsidTr="004D2D24">
        <w:trPr>
          <w:cantSplit/>
        </w:trPr>
        <w:tc>
          <w:tcPr>
            <w:tcW w:w="800" w:type="pct"/>
            <w:shd w:val="clear" w:color="auto" w:fill="FAF9F8"/>
            <w:noWrap/>
            <w:hideMark/>
          </w:tcPr>
          <w:p w14:paraId="58F4EF6A" w14:textId="0E89657D" w:rsidR="0069635D" w:rsidRPr="003E3C14" w:rsidRDefault="0069635D" w:rsidP="002A249B">
            <w:pPr>
              <w:spacing w:after="0" w:line="240" w:lineRule="auto"/>
              <w:rPr>
                <w:rFonts w:eastAsia="Times New Roman" w:cs="Arial"/>
                <w:sz w:val="20"/>
                <w:szCs w:val="20"/>
                <w:lang w:eastAsia="en-AU"/>
              </w:rPr>
            </w:pPr>
            <w:r w:rsidRPr="003E3C14">
              <w:rPr>
                <w:sz w:val="20"/>
                <w:szCs w:val="20"/>
              </w:rPr>
              <w:t>SA</w:t>
            </w:r>
          </w:p>
        </w:tc>
        <w:tc>
          <w:tcPr>
            <w:tcW w:w="817" w:type="pct"/>
            <w:shd w:val="clear" w:color="auto" w:fill="FAF9F8"/>
            <w:noWrap/>
            <w:hideMark/>
          </w:tcPr>
          <w:p w14:paraId="4791A30E"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3</w:t>
            </w:r>
          </w:p>
        </w:tc>
        <w:tc>
          <w:tcPr>
            <w:tcW w:w="583" w:type="pct"/>
            <w:shd w:val="clear" w:color="auto" w:fill="FAF9F8"/>
            <w:noWrap/>
            <w:hideMark/>
          </w:tcPr>
          <w:p w14:paraId="392918FE"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7</w:t>
            </w:r>
          </w:p>
        </w:tc>
        <w:tc>
          <w:tcPr>
            <w:tcW w:w="700" w:type="pct"/>
            <w:shd w:val="clear" w:color="auto" w:fill="FAF9F8"/>
            <w:noWrap/>
            <w:hideMark/>
          </w:tcPr>
          <w:p w14:paraId="78B097FE"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3</w:t>
            </w:r>
          </w:p>
        </w:tc>
        <w:tc>
          <w:tcPr>
            <w:tcW w:w="700" w:type="pct"/>
            <w:shd w:val="clear" w:color="auto" w:fill="FAF9F8"/>
            <w:noWrap/>
            <w:hideMark/>
          </w:tcPr>
          <w:p w14:paraId="29C3F5AB"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2</w:t>
            </w:r>
          </w:p>
        </w:tc>
        <w:tc>
          <w:tcPr>
            <w:tcW w:w="700" w:type="pct"/>
            <w:shd w:val="clear" w:color="auto" w:fill="FAF9F8"/>
            <w:noWrap/>
            <w:hideMark/>
          </w:tcPr>
          <w:p w14:paraId="5DB4677A"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FAF9F8"/>
            <w:noWrap/>
            <w:hideMark/>
          </w:tcPr>
          <w:p w14:paraId="6CF2A2A9" w14:textId="77777777" w:rsidR="0069635D" w:rsidRPr="003E3C14" w:rsidRDefault="0069635D"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15</w:t>
            </w:r>
          </w:p>
        </w:tc>
      </w:tr>
      <w:tr w:rsidR="0069635D" w:rsidRPr="003E3C14" w14:paraId="79FB5A6D" w14:textId="77777777" w:rsidTr="004D2D24">
        <w:trPr>
          <w:cantSplit/>
        </w:trPr>
        <w:tc>
          <w:tcPr>
            <w:tcW w:w="800" w:type="pct"/>
            <w:noWrap/>
            <w:hideMark/>
          </w:tcPr>
          <w:p w14:paraId="32045DC3" w14:textId="57057A9D" w:rsidR="0069635D" w:rsidRPr="003E3C14" w:rsidRDefault="0069635D" w:rsidP="002A249B">
            <w:pPr>
              <w:spacing w:after="0" w:line="240" w:lineRule="auto"/>
              <w:rPr>
                <w:rFonts w:eastAsia="Times New Roman" w:cs="Arial"/>
                <w:sz w:val="20"/>
                <w:szCs w:val="20"/>
                <w:lang w:eastAsia="en-AU"/>
              </w:rPr>
            </w:pPr>
            <w:r w:rsidRPr="003E3C14">
              <w:rPr>
                <w:sz w:val="20"/>
                <w:szCs w:val="20"/>
              </w:rPr>
              <w:t>TAS</w:t>
            </w:r>
          </w:p>
        </w:tc>
        <w:tc>
          <w:tcPr>
            <w:tcW w:w="817" w:type="pct"/>
            <w:noWrap/>
            <w:hideMark/>
          </w:tcPr>
          <w:p w14:paraId="6C8DCF77"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583" w:type="pct"/>
            <w:noWrap/>
            <w:hideMark/>
          </w:tcPr>
          <w:p w14:paraId="175CE8F7"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6</w:t>
            </w:r>
          </w:p>
        </w:tc>
        <w:tc>
          <w:tcPr>
            <w:tcW w:w="700" w:type="pct"/>
            <w:noWrap/>
            <w:hideMark/>
          </w:tcPr>
          <w:p w14:paraId="62621263"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w:t>
            </w:r>
          </w:p>
        </w:tc>
        <w:tc>
          <w:tcPr>
            <w:tcW w:w="700" w:type="pct"/>
            <w:noWrap/>
            <w:hideMark/>
          </w:tcPr>
          <w:p w14:paraId="676844D1"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noWrap/>
            <w:hideMark/>
          </w:tcPr>
          <w:p w14:paraId="2624F280"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noWrap/>
            <w:hideMark/>
          </w:tcPr>
          <w:p w14:paraId="7277D38A" w14:textId="77777777" w:rsidR="0069635D" w:rsidRPr="003E3C14" w:rsidRDefault="0069635D"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7</w:t>
            </w:r>
          </w:p>
        </w:tc>
      </w:tr>
      <w:tr w:rsidR="0069635D" w:rsidRPr="003E3C14" w14:paraId="08D656B7" w14:textId="77777777" w:rsidTr="004D2D24">
        <w:trPr>
          <w:cantSplit/>
        </w:trPr>
        <w:tc>
          <w:tcPr>
            <w:tcW w:w="800" w:type="pct"/>
            <w:shd w:val="clear" w:color="auto" w:fill="FAF9F8"/>
            <w:noWrap/>
            <w:hideMark/>
          </w:tcPr>
          <w:p w14:paraId="3AC90D32" w14:textId="45AD22E3" w:rsidR="0069635D" w:rsidRPr="003E3C14" w:rsidRDefault="0069635D" w:rsidP="002A249B">
            <w:pPr>
              <w:spacing w:after="0" w:line="240" w:lineRule="auto"/>
              <w:rPr>
                <w:rFonts w:eastAsia="Times New Roman" w:cs="Arial"/>
                <w:sz w:val="20"/>
                <w:szCs w:val="20"/>
                <w:lang w:eastAsia="en-AU"/>
              </w:rPr>
            </w:pPr>
            <w:r w:rsidRPr="003E3C14">
              <w:rPr>
                <w:sz w:val="20"/>
                <w:szCs w:val="20"/>
              </w:rPr>
              <w:t>ACT</w:t>
            </w:r>
          </w:p>
        </w:tc>
        <w:tc>
          <w:tcPr>
            <w:tcW w:w="817" w:type="pct"/>
            <w:shd w:val="clear" w:color="auto" w:fill="FAF9F8"/>
            <w:noWrap/>
            <w:hideMark/>
          </w:tcPr>
          <w:p w14:paraId="4E0C0BE8"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9</w:t>
            </w:r>
          </w:p>
        </w:tc>
        <w:tc>
          <w:tcPr>
            <w:tcW w:w="583" w:type="pct"/>
            <w:shd w:val="clear" w:color="auto" w:fill="FAF9F8"/>
            <w:noWrap/>
            <w:hideMark/>
          </w:tcPr>
          <w:p w14:paraId="3F31ADD4"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4</w:t>
            </w:r>
          </w:p>
        </w:tc>
        <w:tc>
          <w:tcPr>
            <w:tcW w:w="700" w:type="pct"/>
            <w:shd w:val="clear" w:color="auto" w:fill="FAF9F8"/>
            <w:noWrap/>
            <w:hideMark/>
          </w:tcPr>
          <w:p w14:paraId="6FE68317"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w:t>
            </w:r>
          </w:p>
        </w:tc>
        <w:tc>
          <w:tcPr>
            <w:tcW w:w="700" w:type="pct"/>
            <w:shd w:val="clear" w:color="auto" w:fill="FAF9F8"/>
            <w:noWrap/>
            <w:hideMark/>
          </w:tcPr>
          <w:p w14:paraId="79400AD4"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FAF9F8"/>
            <w:noWrap/>
            <w:hideMark/>
          </w:tcPr>
          <w:p w14:paraId="28EC626D"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FAF9F8"/>
            <w:noWrap/>
            <w:hideMark/>
          </w:tcPr>
          <w:p w14:paraId="0F88A95F" w14:textId="77777777" w:rsidR="0069635D" w:rsidRPr="003E3C14" w:rsidRDefault="0069635D"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14</w:t>
            </w:r>
          </w:p>
        </w:tc>
      </w:tr>
      <w:tr w:rsidR="0069635D" w:rsidRPr="003E3C14" w14:paraId="374EAD0F" w14:textId="77777777" w:rsidTr="004D2D24">
        <w:trPr>
          <w:cantSplit/>
        </w:trPr>
        <w:tc>
          <w:tcPr>
            <w:tcW w:w="800" w:type="pct"/>
            <w:noWrap/>
            <w:hideMark/>
          </w:tcPr>
          <w:p w14:paraId="21C95C9C" w14:textId="54EEDC13" w:rsidR="0069635D" w:rsidRPr="003E3C14" w:rsidRDefault="0069635D" w:rsidP="002A249B">
            <w:pPr>
              <w:spacing w:after="0" w:line="240" w:lineRule="auto"/>
              <w:rPr>
                <w:rFonts w:eastAsia="Times New Roman" w:cs="Arial"/>
                <w:sz w:val="20"/>
                <w:szCs w:val="20"/>
                <w:lang w:eastAsia="en-AU"/>
              </w:rPr>
            </w:pPr>
            <w:r w:rsidRPr="003E3C14">
              <w:rPr>
                <w:sz w:val="20"/>
                <w:szCs w:val="20"/>
              </w:rPr>
              <w:t>NT</w:t>
            </w:r>
          </w:p>
        </w:tc>
        <w:tc>
          <w:tcPr>
            <w:tcW w:w="817" w:type="pct"/>
            <w:noWrap/>
            <w:hideMark/>
          </w:tcPr>
          <w:p w14:paraId="44F29401"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2</w:t>
            </w:r>
          </w:p>
        </w:tc>
        <w:tc>
          <w:tcPr>
            <w:tcW w:w="583" w:type="pct"/>
            <w:noWrap/>
            <w:hideMark/>
          </w:tcPr>
          <w:p w14:paraId="2924C135"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2</w:t>
            </w:r>
          </w:p>
        </w:tc>
        <w:tc>
          <w:tcPr>
            <w:tcW w:w="700" w:type="pct"/>
            <w:noWrap/>
            <w:hideMark/>
          </w:tcPr>
          <w:p w14:paraId="0214D5BD"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w:t>
            </w:r>
          </w:p>
        </w:tc>
        <w:tc>
          <w:tcPr>
            <w:tcW w:w="700" w:type="pct"/>
            <w:noWrap/>
            <w:hideMark/>
          </w:tcPr>
          <w:p w14:paraId="74587213"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w:t>
            </w:r>
          </w:p>
        </w:tc>
        <w:tc>
          <w:tcPr>
            <w:tcW w:w="700" w:type="pct"/>
            <w:noWrap/>
            <w:hideMark/>
          </w:tcPr>
          <w:p w14:paraId="001D2883"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noWrap/>
            <w:hideMark/>
          </w:tcPr>
          <w:p w14:paraId="79A7D977" w14:textId="77777777" w:rsidR="0069635D" w:rsidRPr="003E3C14" w:rsidRDefault="0069635D"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6</w:t>
            </w:r>
          </w:p>
        </w:tc>
      </w:tr>
      <w:tr w:rsidR="0069635D" w:rsidRPr="003E3C14" w14:paraId="685DB864" w14:textId="77777777" w:rsidTr="004D2D24">
        <w:trPr>
          <w:cantSplit/>
        </w:trPr>
        <w:tc>
          <w:tcPr>
            <w:tcW w:w="800" w:type="pct"/>
            <w:shd w:val="clear" w:color="auto" w:fill="E4E9F3"/>
            <w:noWrap/>
            <w:hideMark/>
          </w:tcPr>
          <w:p w14:paraId="6051DFDB" w14:textId="745041E0" w:rsidR="0069635D" w:rsidRPr="003E3C14" w:rsidRDefault="0069635D" w:rsidP="002A249B">
            <w:pPr>
              <w:spacing w:after="0" w:line="240" w:lineRule="auto"/>
              <w:rPr>
                <w:rFonts w:eastAsia="Times New Roman" w:cs="Arial"/>
                <w:b/>
                <w:sz w:val="20"/>
                <w:szCs w:val="20"/>
                <w:lang w:eastAsia="en-AU"/>
              </w:rPr>
            </w:pPr>
            <w:r w:rsidRPr="003E3C14">
              <w:rPr>
                <w:b/>
                <w:sz w:val="20"/>
                <w:szCs w:val="20"/>
              </w:rPr>
              <w:t>National Total</w:t>
            </w:r>
          </w:p>
        </w:tc>
        <w:tc>
          <w:tcPr>
            <w:tcW w:w="817" w:type="pct"/>
            <w:shd w:val="clear" w:color="auto" w:fill="E4E9F3"/>
            <w:noWrap/>
            <w:hideMark/>
          </w:tcPr>
          <w:p w14:paraId="4005B25E" w14:textId="77777777" w:rsidR="0069635D" w:rsidRPr="003E3C14" w:rsidRDefault="0069635D" w:rsidP="002A249B">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34</w:t>
            </w:r>
          </w:p>
        </w:tc>
        <w:tc>
          <w:tcPr>
            <w:tcW w:w="583" w:type="pct"/>
            <w:shd w:val="clear" w:color="auto" w:fill="E4E9F3"/>
            <w:noWrap/>
            <w:hideMark/>
          </w:tcPr>
          <w:p w14:paraId="3598A9E0" w14:textId="77777777" w:rsidR="0069635D" w:rsidRPr="003E3C14" w:rsidRDefault="0069635D" w:rsidP="002A249B">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52</w:t>
            </w:r>
          </w:p>
        </w:tc>
        <w:tc>
          <w:tcPr>
            <w:tcW w:w="700" w:type="pct"/>
            <w:shd w:val="clear" w:color="auto" w:fill="E4E9F3"/>
            <w:noWrap/>
            <w:hideMark/>
          </w:tcPr>
          <w:p w14:paraId="3CB9B52A" w14:textId="77777777" w:rsidR="0069635D" w:rsidRPr="003E3C14" w:rsidRDefault="0069635D" w:rsidP="002A249B">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25</w:t>
            </w:r>
          </w:p>
        </w:tc>
        <w:tc>
          <w:tcPr>
            <w:tcW w:w="700" w:type="pct"/>
            <w:shd w:val="clear" w:color="auto" w:fill="E4E9F3"/>
            <w:noWrap/>
            <w:hideMark/>
          </w:tcPr>
          <w:p w14:paraId="3B67EE57" w14:textId="77777777" w:rsidR="0069635D" w:rsidRPr="003E3C14" w:rsidRDefault="0069635D" w:rsidP="002A249B">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4</w:t>
            </w:r>
          </w:p>
        </w:tc>
        <w:tc>
          <w:tcPr>
            <w:tcW w:w="700" w:type="pct"/>
            <w:shd w:val="clear" w:color="auto" w:fill="E4E9F3"/>
            <w:noWrap/>
            <w:hideMark/>
          </w:tcPr>
          <w:p w14:paraId="1D2F5088" w14:textId="77777777" w:rsidR="0069635D" w:rsidRPr="003E3C14" w:rsidRDefault="0069635D" w:rsidP="002A249B">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2</w:t>
            </w:r>
          </w:p>
        </w:tc>
        <w:tc>
          <w:tcPr>
            <w:tcW w:w="700" w:type="pct"/>
            <w:shd w:val="clear" w:color="auto" w:fill="E4E9F3"/>
            <w:noWrap/>
            <w:hideMark/>
          </w:tcPr>
          <w:p w14:paraId="3B312B7A" w14:textId="77777777" w:rsidR="0069635D" w:rsidRPr="003E3C14" w:rsidRDefault="0069635D" w:rsidP="002A249B">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117</w:t>
            </w:r>
          </w:p>
        </w:tc>
      </w:tr>
    </w:tbl>
    <w:p w14:paraId="7DB54C4E" w14:textId="492F68AF" w:rsidR="00C62233" w:rsidRPr="003E3C14" w:rsidRDefault="001638F8" w:rsidP="009A28E1">
      <w:pPr>
        <w:spacing w:before="240" w:after="240" w:line="240" w:lineRule="auto"/>
      </w:pPr>
      <w:r w:rsidRPr="00501ED4">
        <w:rPr>
          <w:rFonts w:cs="Arial"/>
          <w:lang w:val="es-ES"/>
        </w:rPr>
        <w:t>Tabl</w:t>
      </w:r>
      <w:r>
        <w:rPr>
          <w:rFonts w:cs="Arial"/>
          <w:lang w:val="es-ES"/>
        </w:rPr>
        <w:t>a</w:t>
      </w:r>
      <w:r w:rsidRPr="00501ED4">
        <w:rPr>
          <w:rFonts w:cs="Arial"/>
          <w:lang w:val="es-ES"/>
        </w:rPr>
        <w:t xml:space="preserve"> 10: TAP de Seguridad: progreso de las acciones por objetivo en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10: Safety TAP – progress of actions by objective in 2022-2023"/>
      </w:tblPr>
      <w:tblGrid>
        <w:gridCol w:w="1478"/>
        <w:gridCol w:w="1510"/>
        <w:gridCol w:w="1078"/>
        <w:gridCol w:w="1294"/>
        <w:gridCol w:w="1294"/>
        <w:gridCol w:w="1294"/>
        <w:gridCol w:w="1294"/>
      </w:tblGrid>
      <w:tr w:rsidR="0069635D" w:rsidRPr="003E3C14" w14:paraId="1A442218" w14:textId="77777777" w:rsidTr="00BD0B35">
        <w:trPr>
          <w:cantSplit/>
        </w:trPr>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7947CC4A" w14:textId="3A03E4D0" w:rsidR="0069635D" w:rsidRPr="003E3C14" w:rsidRDefault="0069635D" w:rsidP="002A249B">
            <w:pPr>
              <w:spacing w:after="0" w:line="240" w:lineRule="auto"/>
              <w:rPr>
                <w:rFonts w:eastAsia="Times New Roman" w:cs="Arial"/>
                <w:b/>
                <w:bCs/>
                <w:color w:val="FFFFFF" w:themeColor="background1"/>
                <w:sz w:val="20"/>
                <w:szCs w:val="20"/>
                <w:lang w:eastAsia="en-AU"/>
              </w:rPr>
            </w:pPr>
            <w:bookmarkStart w:id="25" w:name="Title_10"/>
            <w:bookmarkEnd w:id="25"/>
            <w:r w:rsidRPr="00A90356">
              <w:rPr>
                <w:rFonts w:eastAsia="Times New Roman" w:cs="Calibri"/>
                <w:b/>
                <w:bCs/>
                <w:color w:val="FFFFFF" w:themeColor="background1"/>
                <w:lang w:val="es" w:eastAsia="en-AU"/>
              </w:rPr>
              <w:t>Objetivo</w:t>
            </w:r>
          </w:p>
        </w:tc>
        <w:tc>
          <w:tcPr>
            <w:tcW w:w="817"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52752419" w14:textId="0CC3E460" w:rsidR="0069635D" w:rsidRPr="003E3C14" w:rsidRDefault="0069635D" w:rsidP="00464AAF">
            <w:pPr>
              <w:spacing w:after="0" w:line="240" w:lineRule="auto"/>
              <w:rPr>
                <w:rFonts w:eastAsia="Times New Roman" w:cs="Arial"/>
                <w:b/>
                <w:bCs/>
                <w:color w:val="FFFFFF" w:themeColor="background1"/>
                <w:sz w:val="20"/>
                <w:szCs w:val="20"/>
                <w:lang w:eastAsia="en-AU"/>
              </w:rPr>
            </w:pPr>
            <w:r w:rsidRPr="00BC2F9E">
              <w:rPr>
                <w:rFonts w:eastAsia="Times New Roman" w:cs="Calibri"/>
                <w:b/>
                <w:bCs/>
                <w:color w:val="FFFFFF" w:themeColor="background1"/>
                <w:lang w:val="es" w:eastAsia="en-AU"/>
              </w:rPr>
              <w:t>Completada</w:t>
            </w:r>
          </w:p>
        </w:tc>
        <w:tc>
          <w:tcPr>
            <w:tcW w:w="583"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2F6BE9A" w14:textId="3BE6DE64" w:rsidR="0069635D" w:rsidRPr="003E3C14" w:rsidRDefault="0069635D" w:rsidP="002A249B">
            <w:pPr>
              <w:spacing w:after="0" w:line="240" w:lineRule="auto"/>
              <w:rPr>
                <w:rFonts w:eastAsia="Times New Roman" w:cs="Arial"/>
                <w:b/>
                <w:bCs/>
                <w:color w:val="FFFFFF" w:themeColor="background1"/>
                <w:sz w:val="20"/>
                <w:szCs w:val="20"/>
                <w:lang w:eastAsia="en-AU"/>
              </w:rPr>
            </w:pPr>
            <w:r w:rsidRPr="00BC2F9E">
              <w:rPr>
                <w:rFonts w:eastAsia="Times New Roman" w:cs="Calibri"/>
                <w:b/>
                <w:bCs/>
                <w:color w:val="FFFFFF" w:themeColor="background1"/>
                <w:lang w:val="es" w:eastAsia="en-AU"/>
              </w:rPr>
              <w:t>En curso</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EFB0CE2" w14:textId="3271AB8B" w:rsidR="0069635D" w:rsidRPr="003E3C14" w:rsidRDefault="0069635D" w:rsidP="002A249B">
            <w:pPr>
              <w:spacing w:after="0" w:line="240" w:lineRule="auto"/>
              <w:rPr>
                <w:rFonts w:eastAsia="Times New Roman" w:cs="Arial"/>
                <w:b/>
                <w:bCs/>
                <w:color w:val="FFFFFF" w:themeColor="background1"/>
                <w:sz w:val="20"/>
                <w:szCs w:val="20"/>
                <w:lang w:eastAsia="en-AU"/>
              </w:rPr>
            </w:pPr>
            <w:r w:rsidRPr="00BC2F9E">
              <w:rPr>
                <w:rFonts w:eastAsia="Times New Roman" w:cs="Calibri"/>
                <w:b/>
                <w:bCs/>
                <w:color w:val="FFFFFF" w:themeColor="background1"/>
                <w:lang w:val="es" w:eastAsia="en-AU"/>
              </w:rPr>
              <w:t>Algunas demoras</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002A2C85" w14:textId="10ED5653" w:rsidR="0069635D" w:rsidRPr="003E3C14" w:rsidRDefault="0069635D" w:rsidP="002A249B">
            <w:pPr>
              <w:spacing w:after="0" w:line="240" w:lineRule="auto"/>
              <w:rPr>
                <w:rFonts w:eastAsia="Times New Roman" w:cs="Arial"/>
                <w:b/>
                <w:bCs/>
                <w:color w:val="FFFFFF" w:themeColor="background1"/>
                <w:sz w:val="20"/>
                <w:szCs w:val="20"/>
                <w:lang w:eastAsia="en-AU"/>
              </w:rPr>
            </w:pPr>
            <w:r w:rsidRPr="00BC2F9E">
              <w:rPr>
                <w:rFonts w:eastAsia="Times New Roman" w:cs="Calibri"/>
                <w:b/>
                <w:bCs/>
                <w:color w:val="FFFFFF" w:themeColor="background1"/>
                <w:lang w:val="es" w:eastAsia="en-AU"/>
              </w:rPr>
              <w:t>En pausa</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6CFAABE0" w14:textId="5B241119" w:rsidR="0069635D" w:rsidRPr="003E3C14" w:rsidRDefault="0069635D" w:rsidP="002A249B">
            <w:pPr>
              <w:spacing w:after="0" w:line="240" w:lineRule="auto"/>
              <w:rPr>
                <w:rFonts w:eastAsia="Times New Roman" w:cs="Arial"/>
                <w:b/>
                <w:bCs/>
                <w:color w:val="FFFFFF" w:themeColor="background1"/>
                <w:sz w:val="20"/>
                <w:szCs w:val="20"/>
                <w:lang w:eastAsia="en-AU"/>
              </w:rPr>
            </w:pPr>
            <w:r w:rsidRPr="00BC2F9E">
              <w:rPr>
                <w:rFonts w:eastAsia="Times New Roman" w:cs="Calibri"/>
                <w:b/>
                <w:bCs/>
                <w:color w:val="FFFFFF" w:themeColor="background1"/>
                <w:lang w:val="es" w:eastAsia="en-AU"/>
              </w:rPr>
              <w:t>Inicio futuro</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67A0AE1B" w14:textId="491B1893" w:rsidR="0069635D" w:rsidRPr="003E3C14" w:rsidRDefault="0069635D" w:rsidP="002A249B">
            <w:pPr>
              <w:spacing w:after="0" w:line="240" w:lineRule="auto"/>
              <w:rPr>
                <w:rFonts w:eastAsia="Times New Roman" w:cs="Arial"/>
                <w:b/>
                <w:color w:val="FFFFFF" w:themeColor="background1"/>
                <w:sz w:val="20"/>
                <w:szCs w:val="20"/>
                <w:lang w:eastAsia="en-AU"/>
              </w:rPr>
            </w:pPr>
            <w:r w:rsidRPr="00BC2F9E">
              <w:rPr>
                <w:b/>
                <w:color w:val="FFFFFF" w:themeColor="background1"/>
                <w:sz w:val="20"/>
                <w:szCs w:val="20"/>
              </w:rPr>
              <w:t>Total</w:t>
            </w:r>
          </w:p>
        </w:tc>
      </w:tr>
      <w:tr w:rsidR="0069635D" w:rsidRPr="003E3C14" w14:paraId="50224A4E" w14:textId="77777777" w:rsidTr="00BD0B35">
        <w:trPr>
          <w:cantSplit/>
        </w:trPr>
        <w:tc>
          <w:tcPr>
            <w:tcW w:w="800" w:type="pct"/>
            <w:tcBorders>
              <w:top w:val="single" w:sz="4" w:space="0" w:color="auto"/>
            </w:tcBorders>
            <w:shd w:val="clear" w:color="auto" w:fill="auto"/>
            <w:noWrap/>
            <w:vAlign w:val="bottom"/>
            <w:hideMark/>
          </w:tcPr>
          <w:p w14:paraId="42DCB5DB" w14:textId="4FE480E2" w:rsidR="0069635D" w:rsidRPr="003E3C14" w:rsidRDefault="0069635D" w:rsidP="002A249B">
            <w:pPr>
              <w:spacing w:after="0" w:line="240" w:lineRule="auto"/>
              <w:rPr>
                <w:rFonts w:eastAsia="Times New Roman" w:cs="Arial"/>
                <w:sz w:val="20"/>
                <w:szCs w:val="20"/>
                <w:lang w:eastAsia="en-AU"/>
              </w:rPr>
            </w:pPr>
            <w:r w:rsidRPr="004810AC">
              <w:rPr>
                <w:rFonts w:eastAsia="Times New Roman" w:cs="Calibri"/>
                <w:color w:val="000000"/>
                <w:lang w:val="es" w:eastAsia="en-AU"/>
              </w:rPr>
              <w:t>Objetivo 1</w:t>
            </w:r>
          </w:p>
        </w:tc>
        <w:tc>
          <w:tcPr>
            <w:tcW w:w="817" w:type="pct"/>
            <w:tcBorders>
              <w:top w:val="single" w:sz="4" w:space="0" w:color="auto"/>
            </w:tcBorders>
            <w:shd w:val="clear" w:color="auto" w:fill="auto"/>
            <w:noWrap/>
            <w:vAlign w:val="bottom"/>
            <w:hideMark/>
          </w:tcPr>
          <w:p w14:paraId="283962CF"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5</w:t>
            </w:r>
          </w:p>
        </w:tc>
        <w:tc>
          <w:tcPr>
            <w:tcW w:w="583" w:type="pct"/>
            <w:tcBorders>
              <w:top w:val="single" w:sz="4" w:space="0" w:color="auto"/>
            </w:tcBorders>
            <w:shd w:val="clear" w:color="auto" w:fill="auto"/>
            <w:noWrap/>
            <w:vAlign w:val="bottom"/>
            <w:hideMark/>
          </w:tcPr>
          <w:p w14:paraId="3C906748"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7</w:t>
            </w:r>
          </w:p>
        </w:tc>
        <w:tc>
          <w:tcPr>
            <w:tcW w:w="700" w:type="pct"/>
            <w:tcBorders>
              <w:top w:val="single" w:sz="4" w:space="0" w:color="auto"/>
            </w:tcBorders>
            <w:shd w:val="clear" w:color="auto" w:fill="auto"/>
            <w:noWrap/>
            <w:vAlign w:val="bottom"/>
            <w:hideMark/>
          </w:tcPr>
          <w:p w14:paraId="0AD704F5"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4</w:t>
            </w:r>
          </w:p>
        </w:tc>
        <w:tc>
          <w:tcPr>
            <w:tcW w:w="700" w:type="pct"/>
            <w:tcBorders>
              <w:top w:val="single" w:sz="4" w:space="0" w:color="auto"/>
            </w:tcBorders>
            <w:shd w:val="clear" w:color="auto" w:fill="auto"/>
            <w:noWrap/>
            <w:vAlign w:val="bottom"/>
            <w:hideMark/>
          </w:tcPr>
          <w:p w14:paraId="75E5EFA3"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112728BE"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2652C37D" w14:textId="77777777" w:rsidR="0069635D" w:rsidRPr="003E3C14" w:rsidRDefault="0069635D"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17</w:t>
            </w:r>
          </w:p>
        </w:tc>
      </w:tr>
      <w:tr w:rsidR="0069635D" w:rsidRPr="003E3C14" w14:paraId="24E43643" w14:textId="77777777" w:rsidTr="00BD0B35">
        <w:trPr>
          <w:cantSplit/>
        </w:trPr>
        <w:tc>
          <w:tcPr>
            <w:tcW w:w="800" w:type="pct"/>
            <w:shd w:val="clear" w:color="auto" w:fill="FAF9F8"/>
            <w:noWrap/>
            <w:vAlign w:val="bottom"/>
            <w:hideMark/>
          </w:tcPr>
          <w:p w14:paraId="4E897F82" w14:textId="599A6EEF" w:rsidR="0069635D" w:rsidRPr="003E3C14" w:rsidRDefault="0069635D" w:rsidP="002A249B">
            <w:pPr>
              <w:spacing w:after="0" w:line="240" w:lineRule="auto"/>
              <w:rPr>
                <w:rFonts w:eastAsia="Times New Roman" w:cs="Arial"/>
                <w:sz w:val="20"/>
                <w:szCs w:val="20"/>
                <w:lang w:eastAsia="en-AU"/>
              </w:rPr>
            </w:pPr>
            <w:r w:rsidRPr="004810AC">
              <w:rPr>
                <w:rFonts w:eastAsia="Times New Roman" w:cs="Calibri"/>
                <w:color w:val="000000"/>
                <w:lang w:val="es" w:eastAsia="en-AU"/>
              </w:rPr>
              <w:t>Objetivo 2</w:t>
            </w:r>
          </w:p>
        </w:tc>
        <w:tc>
          <w:tcPr>
            <w:tcW w:w="817" w:type="pct"/>
            <w:shd w:val="clear" w:color="auto" w:fill="FAF9F8"/>
            <w:noWrap/>
            <w:vAlign w:val="bottom"/>
            <w:hideMark/>
          </w:tcPr>
          <w:p w14:paraId="0BED6AA8"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10</w:t>
            </w:r>
          </w:p>
        </w:tc>
        <w:tc>
          <w:tcPr>
            <w:tcW w:w="583" w:type="pct"/>
            <w:shd w:val="clear" w:color="auto" w:fill="FAF9F8"/>
            <w:noWrap/>
            <w:vAlign w:val="bottom"/>
            <w:hideMark/>
          </w:tcPr>
          <w:p w14:paraId="2E216D00"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11</w:t>
            </w:r>
          </w:p>
        </w:tc>
        <w:tc>
          <w:tcPr>
            <w:tcW w:w="700" w:type="pct"/>
            <w:shd w:val="clear" w:color="auto" w:fill="FAF9F8"/>
            <w:noWrap/>
            <w:vAlign w:val="bottom"/>
            <w:hideMark/>
          </w:tcPr>
          <w:p w14:paraId="535F54CB"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4</w:t>
            </w:r>
          </w:p>
        </w:tc>
        <w:tc>
          <w:tcPr>
            <w:tcW w:w="700" w:type="pct"/>
            <w:shd w:val="clear" w:color="auto" w:fill="FAF9F8"/>
            <w:noWrap/>
            <w:vAlign w:val="bottom"/>
            <w:hideMark/>
          </w:tcPr>
          <w:p w14:paraId="0B44C7A4"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FAF9F8"/>
            <w:noWrap/>
            <w:vAlign w:val="bottom"/>
            <w:hideMark/>
          </w:tcPr>
          <w:p w14:paraId="68AB9486"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FAF9F8"/>
            <w:noWrap/>
            <w:vAlign w:val="bottom"/>
            <w:hideMark/>
          </w:tcPr>
          <w:p w14:paraId="196DD07E" w14:textId="77777777" w:rsidR="0069635D" w:rsidRPr="003E3C14" w:rsidRDefault="0069635D"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25</w:t>
            </w:r>
          </w:p>
        </w:tc>
      </w:tr>
      <w:tr w:rsidR="0069635D" w:rsidRPr="003E3C14" w14:paraId="752C962F" w14:textId="77777777" w:rsidTr="00BD0B35">
        <w:trPr>
          <w:cantSplit/>
        </w:trPr>
        <w:tc>
          <w:tcPr>
            <w:tcW w:w="800" w:type="pct"/>
            <w:shd w:val="clear" w:color="auto" w:fill="auto"/>
            <w:noWrap/>
            <w:vAlign w:val="bottom"/>
            <w:hideMark/>
          </w:tcPr>
          <w:p w14:paraId="62025C90" w14:textId="2660B618" w:rsidR="0069635D" w:rsidRPr="003E3C14" w:rsidRDefault="0069635D" w:rsidP="002A249B">
            <w:pPr>
              <w:spacing w:after="0" w:line="240" w:lineRule="auto"/>
              <w:rPr>
                <w:rFonts w:eastAsia="Times New Roman" w:cs="Arial"/>
                <w:sz w:val="20"/>
                <w:szCs w:val="20"/>
                <w:lang w:eastAsia="en-AU"/>
              </w:rPr>
            </w:pPr>
            <w:r w:rsidRPr="004810AC">
              <w:rPr>
                <w:rFonts w:eastAsia="Times New Roman" w:cs="Calibri"/>
                <w:color w:val="000000"/>
                <w:lang w:val="es" w:eastAsia="en-AU"/>
              </w:rPr>
              <w:t>Objetivo</w:t>
            </w:r>
            <w:r w:rsidRPr="003E3C14">
              <w:rPr>
                <w:rFonts w:eastAsia="Times New Roman" w:cs="Arial"/>
                <w:color w:val="000000"/>
                <w:sz w:val="20"/>
                <w:szCs w:val="20"/>
                <w:lang w:eastAsia="en-AU"/>
              </w:rPr>
              <w:t xml:space="preserve"> 3</w:t>
            </w:r>
          </w:p>
        </w:tc>
        <w:tc>
          <w:tcPr>
            <w:tcW w:w="817" w:type="pct"/>
            <w:shd w:val="clear" w:color="auto" w:fill="auto"/>
            <w:noWrap/>
            <w:vAlign w:val="bottom"/>
            <w:hideMark/>
          </w:tcPr>
          <w:p w14:paraId="0FA5F14F"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12</w:t>
            </w:r>
          </w:p>
        </w:tc>
        <w:tc>
          <w:tcPr>
            <w:tcW w:w="583" w:type="pct"/>
            <w:shd w:val="clear" w:color="auto" w:fill="auto"/>
            <w:noWrap/>
            <w:vAlign w:val="bottom"/>
            <w:hideMark/>
          </w:tcPr>
          <w:p w14:paraId="6C2713E0"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23</w:t>
            </w:r>
          </w:p>
        </w:tc>
        <w:tc>
          <w:tcPr>
            <w:tcW w:w="700" w:type="pct"/>
            <w:shd w:val="clear" w:color="auto" w:fill="auto"/>
            <w:noWrap/>
            <w:vAlign w:val="bottom"/>
            <w:hideMark/>
          </w:tcPr>
          <w:p w14:paraId="323270B6"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11</w:t>
            </w:r>
          </w:p>
        </w:tc>
        <w:tc>
          <w:tcPr>
            <w:tcW w:w="700" w:type="pct"/>
            <w:shd w:val="clear" w:color="auto" w:fill="auto"/>
            <w:noWrap/>
            <w:vAlign w:val="bottom"/>
            <w:hideMark/>
          </w:tcPr>
          <w:p w14:paraId="541AC52A"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w:t>
            </w:r>
          </w:p>
        </w:tc>
        <w:tc>
          <w:tcPr>
            <w:tcW w:w="700" w:type="pct"/>
            <w:shd w:val="clear" w:color="auto" w:fill="auto"/>
            <w:noWrap/>
            <w:vAlign w:val="bottom"/>
            <w:hideMark/>
          </w:tcPr>
          <w:p w14:paraId="220ACE4D" w14:textId="77777777" w:rsidR="0069635D" w:rsidRPr="003E3C14" w:rsidRDefault="0069635D"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w:t>
            </w:r>
          </w:p>
        </w:tc>
        <w:tc>
          <w:tcPr>
            <w:tcW w:w="700" w:type="pct"/>
            <w:shd w:val="clear" w:color="auto" w:fill="auto"/>
            <w:noWrap/>
            <w:vAlign w:val="bottom"/>
            <w:hideMark/>
          </w:tcPr>
          <w:p w14:paraId="139924FC" w14:textId="77777777" w:rsidR="0069635D" w:rsidRPr="003E3C14" w:rsidRDefault="0069635D"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48</w:t>
            </w:r>
          </w:p>
        </w:tc>
      </w:tr>
      <w:tr w:rsidR="00BE3F25" w:rsidRPr="003E3C14" w14:paraId="6C97C360" w14:textId="77777777" w:rsidTr="00BD0B35">
        <w:trPr>
          <w:cantSplit/>
        </w:trPr>
        <w:tc>
          <w:tcPr>
            <w:tcW w:w="800" w:type="pct"/>
            <w:shd w:val="clear" w:color="auto" w:fill="FAF9F8"/>
            <w:noWrap/>
            <w:vAlign w:val="bottom"/>
            <w:hideMark/>
          </w:tcPr>
          <w:p w14:paraId="4A8A8395" w14:textId="6864AF5E" w:rsidR="002A249B" w:rsidRPr="003E3C14" w:rsidRDefault="0069635D" w:rsidP="002A249B">
            <w:pPr>
              <w:spacing w:after="0" w:line="240" w:lineRule="auto"/>
              <w:rPr>
                <w:rFonts w:eastAsia="Times New Roman" w:cs="Arial"/>
                <w:sz w:val="20"/>
                <w:szCs w:val="20"/>
                <w:lang w:eastAsia="en-AU"/>
              </w:rPr>
            </w:pPr>
            <w:r w:rsidRPr="004810AC">
              <w:rPr>
                <w:rFonts w:eastAsia="Times New Roman" w:cs="Calibri"/>
                <w:color w:val="000000"/>
                <w:lang w:val="es" w:eastAsia="en-AU"/>
              </w:rPr>
              <w:t>Objetivo</w:t>
            </w:r>
            <w:r w:rsidR="002A249B" w:rsidRPr="003E3C14">
              <w:rPr>
                <w:rFonts w:eastAsia="Times New Roman" w:cs="Arial"/>
                <w:sz w:val="20"/>
                <w:szCs w:val="20"/>
                <w:lang w:eastAsia="en-AU"/>
              </w:rPr>
              <w:t xml:space="preserve"> 4</w:t>
            </w:r>
          </w:p>
        </w:tc>
        <w:tc>
          <w:tcPr>
            <w:tcW w:w="817" w:type="pct"/>
            <w:shd w:val="clear" w:color="auto" w:fill="FAF9F8"/>
            <w:noWrap/>
            <w:vAlign w:val="bottom"/>
            <w:hideMark/>
          </w:tcPr>
          <w:p w14:paraId="3EE6C45E" w14:textId="77777777" w:rsidR="002A249B" w:rsidRPr="003E3C14" w:rsidRDefault="002A249B"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4</w:t>
            </w:r>
          </w:p>
        </w:tc>
        <w:tc>
          <w:tcPr>
            <w:tcW w:w="583" w:type="pct"/>
            <w:shd w:val="clear" w:color="auto" w:fill="FAF9F8"/>
            <w:noWrap/>
            <w:vAlign w:val="bottom"/>
            <w:hideMark/>
          </w:tcPr>
          <w:p w14:paraId="360830CD" w14:textId="77777777" w:rsidR="002A249B" w:rsidRPr="003E3C14" w:rsidRDefault="002A249B"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10</w:t>
            </w:r>
          </w:p>
        </w:tc>
        <w:tc>
          <w:tcPr>
            <w:tcW w:w="700" w:type="pct"/>
            <w:shd w:val="clear" w:color="auto" w:fill="FAF9F8"/>
            <w:noWrap/>
            <w:vAlign w:val="bottom"/>
            <w:hideMark/>
          </w:tcPr>
          <w:p w14:paraId="7344FC77" w14:textId="77777777" w:rsidR="002A249B" w:rsidRPr="003E3C14" w:rsidRDefault="002A249B"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5</w:t>
            </w:r>
          </w:p>
        </w:tc>
        <w:tc>
          <w:tcPr>
            <w:tcW w:w="700" w:type="pct"/>
            <w:shd w:val="clear" w:color="auto" w:fill="FAF9F8"/>
            <w:noWrap/>
            <w:vAlign w:val="bottom"/>
            <w:hideMark/>
          </w:tcPr>
          <w:p w14:paraId="389652D3" w14:textId="77777777" w:rsidR="002A249B" w:rsidRPr="003E3C14" w:rsidRDefault="002A249B"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2</w:t>
            </w:r>
          </w:p>
        </w:tc>
        <w:tc>
          <w:tcPr>
            <w:tcW w:w="700" w:type="pct"/>
            <w:shd w:val="clear" w:color="auto" w:fill="FAF9F8"/>
            <w:noWrap/>
            <w:vAlign w:val="bottom"/>
            <w:hideMark/>
          </w:tcPr>
          <w:p w14:paraId="79F42A36" w14:textId="77777777" w:rsidR="002A249B" w:rsidRPr="003E3C14" w:rsidRDefault="002A249B"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FAF9F8"/>
            <w:noWrap/>
            <w:vAlign w:val="bottom"/>
            <w:hideMark/>
          </w:tcPr>
          <w:p w14:paraId="27045759" w14:textId="77777777" w:rsidR="002A249B" w:rsidRPr="003E3C14" w:rsidRDefault="002A249B"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21</w:t>
            </w:r>
          </w:p>
        </w:tc>
      </w:tr>
      <w:tr w:rsidR="00BE3F25" w:rsidRPr="003E3C14" w14:paraId="53A6D06E" w14:textId="77777777" w:rsidTr="00BD0B35">
        <w:trPr>
          <w:cantSplit/>
        </w:trPr>
        <w:tc>
          <w:tcPr>
            <w:tcW w:w="800" w:type="pct"/>
            <w:shd w:val="clear" w:color="auto" w:fill="auto"/>
            <w:noWrap/>
            <w:vAlign w:val="bottom"/>
            <w:hideMark/>
          </w:tcPr>
          <w:p w14:paraId="152F361C" w14:textId="568CB255" w:rsidR="002A249B" w:rsidRPr="003E3C14" w:rsidRDefault="0069635D" w:rsidP="002A249B">
            <w:pPr>
              <w:spacing w:after="0" w:line="240" w:lineRule="auto"/>
              <w:rPr>
                <w:rFonts w:eastAsia="Times New Roman" w:cs="Arial"/>
                <w:sz w:val="20"/>
                <w:szCs w:val="20"/>
                <w:lang w:eastAsia="en-AU"/>
              </w:rPr>
            </w:pPr>
            <w:r w:rsidRPr="004810AC">
              <w:rPr>
                <w:rFonts w:eastAsia="Times New Roman" w:cs="Calibri"/>
                <w:color w:val="000000"/>
                <w:lang w:val="es" w:eastAsia="en-AU"/>
              </w:rPr>
              <w:t>Objetivo</w:t>
            </w:r>
            <w:r w:rsidR="002A249B" w:rsidRPr="003E3C14">
              <w:rPr>
                <w:rFonts w:eastAsia="Times New Roman" w:cs="Arial"/>
                <w:sz w:val="20"/>
                <w:szCs w:val="20"/>
                <w:lang w:eastAsia="en-AU"/>
              </w:rPr>
              <w:t xml:space="preserve"> 5</w:t>
            </w:r>
          </w:p>
        </w:tc>
        <w:tc>
          <w:tcPr>
            <w:tcW w:w="817" w:type="pct"/>
            <w:shd w:val="clear" w:color="auto" w:fill="auto"/>
            <w:noWrap/>
            <w:vAlign w:val="bottom"/>
            <w:hideMark/>
          </w:tcPr>
          <w:p w14:paraId="4F3B89F1" w14:textId="77777777" w:rsidR="002A249B" w:rsidRPr="003E3C14" w:rsidRDefault="002A249B"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3</w:t>
            </w:r>
          </w:p>
        </w:tc>
        <w:tc>
          <w:tcPr>
            <w:tcW w:w="583" w:type="pct"/>
            <w:shd w:val="clear" w:color="auto" w:fill="auto"/>
            <w:noWrap/>
            <w:vAlign w:val="bottom"/>
            <w:hideMark/>
          </w:tcPr>
          <w:p w14:paraId="3A27BE1D" w14:textId="77777777" w:rsidR="002A249B" w:rsidRPr="003E3C14" w:rsidRDefault="002A249B"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w:t>
            </w:r>
          </w:p>
        </w:tc>
        <w:tc>
          <w:tcPr>
            <w:tcW w:w="700" w:type="pct"/>
            <w:shd w:val="clear" w:color="auto" w:fill="auto"/>
            <w:noWrap/>
            <w:vAlign w:val="bottom"/>
            <w:hideMark/>
          </w:tcPr>
          <w:p w14:paraId="21B53707" w14:textId="77777777" w:rsidR="002A249B" w:rsidRPr="003E3C14" w:rsidRDefault="002A249B"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w:t>
            </w:r>
          </w:p>
        </w:tc>
        <w:tc>
          <w:tcPr>
            <w:tcW w:w="700" w:type="pct"/>
            <w:shd w:val="clear" w:color="auto" w:fill="auto"/>
            <w:noWrap/>
            <w:vAlign w:val="bottom"/>
            <w:hideMark/>
          </w:tcPr>
          <w:p w14:paraId="400CCEE0" w14:textId="77777777" w:rsidR="002A249B" w:rsidRPr="003E3C14" w:rsidRDefault="002A249B"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w:t>
            </w:r>
          </w:p>
        </w:tc>
        <w:tc>
          <w:tcPr>
            <w:tcW w:w="700" w:type="pct"/>
            <w:shd w:val="clear" w:color="auto" w:fill="auto"/>
            <w:noWrap/>
            <w:vAlign w:val="bottom"/>
            <w:hideMark/>
          </w:tcPr>
          <w:p w14:paraId="46693E38" w14:textId="77777777" w:rsidR="002A249B" w:rsidRPr="003E3C14" w:rsidRDefault="002A249B"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auto"/>
            <w:noWrap/>
            <w:vAlign w:val="bottom"/>
            <w:hideMark/>
          </w:tcPr>
          <w:p w14:paraId="4E84B1D3" w14:textId="77777777" w:rsidR="002A249B" w:rsidRPr="003E3C14" w:rsidRDefault="002A249B"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6</w:t>
            </w:r>
          </w:p>
        </w:tc>
      </w:tr>
      <w:tr w:rsidR="00BE3F25" w:rsidRPr="003E3C14" w14:paraId="10585727" w14:textId="77777777" w:rsidTr="00BD0B35">
        <w:trPr>
          <w:cantSplit/>
        </w:trPr>
        <w:tc>
          <w:tcPr>
            <w:tcW w:w="800" w:type="pct"/>
            <w:shd w:val="clear" w:color="auto" w:fill="E4E9F3"/>
            <w:noWrap/>
            <w:vAlign w:val="bottom"/>
            <w:hideMark/>
          </w:tcPr>
          <w:p w14:paraId="4196F190" w14:textId="133CEC94" w:rsidR="002A249B" w:rsidRPr="003E3C14" w:rsidRDefault="0069635D" w:rsidP="002A249B">
            <w:pPr>
              <w:spacing w:after="0" w:line="240" w:lineRule="auto"/>
              <w:rPr>
                <w:rFonts w:eastAsia="Times New Roman" w:cs="Arial"/>
                <w:b/>
                <w:sz w:val="20"/>
                <w:szCs w:val="20"/>
                <w:lang w:eastAsia="en-AU"/>
              </w:rPr>
            </w:pPr>
            <w:r w:rsidRPr="003E3C14">
              <w:rPr>
                <w:b/>
                <w:sz w:val="20"/>
                <w:szCs w:val="20"/>
              </w:rPr>
              <w:t>Total</w:t>
            </w:r>
          </w:p>
        </w:tc>
        <w:tc>
          <w:tcPr>
            <w:tcW w:w="817" w:type="pct"/>
            <w:shd w:val="clear" w:color="auto" w:fill="E4E9F3"/>
            <w:noWrap/>
            <w:vAlign w:val="bottom"/>
            <w:hideMark/>
          </w:tcPr>
          <w:p w14:paraId="56BE06D7" w14:textId="77777777" w:rsidR="002A249B" w:rsidRPr="003E3C14" w:rsidRDefault="002A249B" w:rsidP="002A249B">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34</w:t>
            </w:r>
          </w:p>
        </w:tc>
        <w:tc>
          <w:tcPr>
            <w:tcW w:w="583" w:type="pct"/>
            <w:shd w:val="clear" w:color="auto" w:fill="E4E9F3"/>
            <w:noWrap/>
            <w:vAlign w:val="bottom"/>
            <w:hideMark/>
          </w:tcPr>
          <w:p w14:paraId="531944AA" w14:textId="77777777" w:rsidR="002A249B" w:rsidRPr="003E3C14" w:rsidRDefault="002A249B" w:rsidP="002A249B">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52</w:t>
            </w:r>
          </w:p>
        </w:tc>
        <w:tc>
          <w:tcPr>
            <w:tcW w:w="700" w:type="pct"/>
            <w:shd w:val="clear" w:color="auto" w:fill="E4E9F3"/>
            <w:noWrap/>
            <w:vAlign w:val="bottom"/>
            <w:hideMark/>
          </w:tcPr>
          <w:p w14:paraId="0B6C1071" w14:textId="77777777" w:rsidR="002A249B" w:rsidRPr="003E3C14" w:rsidRDefault="002A249B" w:rsidP="002A249B">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25</w:t>
            </w:r>
          </w:p>
        </w:tc>
        <w:tc>
          <w:tcPr>
            <w:tcW w:w="700" w:type="pct"/>
            <w:shd w:val="clear" w:color="auto" w:fill="E4E9F3"/>
            <w:noWrap/>
            <w:vAlign w:val="bottom"/>
            <w:hideMark/>
          </w:tcPr>
          <w:p w14:paraId="4BBF7AFE" w14:textId="77777777" w:rsidR="002A249B" w:rsidRPr="003E3C14" w:rsidRDefault="002A249B" w:rsidP="002A249B">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4</w:t>
            </w:r>
          </w:p>
        </w:tc>
        <w:tc>
          <w:tcPr>
            <w:tcW w:w="700" w:type="pct"/>
            <w:shd w:val="clear" w:color="auto" w:fill="E4E9F3"/>
            <w:noWrap/>
            <w:vAlign w:val="bottom"/>
            <w:hideMark/>
          </w:tcPr>
          <w:p w14:paraId="0BDE481B" w14:textId="77777777" w:rsidR="002A249B" w:rsidRPr="003E3C14" w:rsidRDefault="002A249B" w:rsidP="002A249B">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2</w:t>
            </w:r>
          </w:p>
        </w:tc>
        <w:tc>
          <w:tcPr>
            <w:tcW w:w="700" w:type="pct"/>
            <w:shd w:val="clear" w:color="auto" w:fill="E4E9F3"/>
            <w:noWrap/>
            <w:vAlign w:val="bottom"/>
            <w:hideMark/>
          </w:tcPr>
          <w:p w14:paraId="6980E183" w14:textId="77777777" w:rsidR="002A249B" w:rsidRPr="003E3C14" w:rsidRDefault="002A249B" w:rsidP="002A249B">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117</w:t>
            </w:r>
          </w:p>
        </w:tc>
      </w:tr>
    </w:tbl>
    <w:p w14:paraId="6EE09519" w14:textId="77777777" w:rsidR="00C62233" w:rsidRPr="003E3C14" w:rsidRDefault="00C62233">
      <w:r w:rsidRPr="003E3C14">
        <w:br w:type="page"/>
      </w:r>
    </w:p>
    <w:p w14:paraId="29DF166D" w14:textId="6D23E0FA" w:rsidR="00C62233" w:rsidRPr="003E3C14" w:rsidRDefault="00312D42" w:rsidP="00DA227A">
      <w:pPr>
        <w:pStyle w:val="Heading1"/>
      </w:pPr>
      <w:bookmarkStart w:id="26" w:name="_Toc153314041"/>
      <w:r w:rsidRPr="00501ED4">
        <w:rPr>
          <w:rFonts w:cs="Arial"/>
          <w:lang w:val="es-ES"/>
        </w:rPr>
        <w:lastRenderedPageBreak/>
        <w:t>Plan de Acción Específica de Gestión de Emergencias</w:t>
      </w:r>
      <w:bookmarkEnd w:id="26"/>
    </w:p>
    <w:p w14:paraId="41C85088" w14:textId="34CCAFA8" w:rsidR="00C62233" w:rsidRPr="003E3C14" w:rsidRDefault="00312D42" w:rsidP="00515A1C">
      <w:pPr>
        <w:pStyle w:val="Heading2"/>
        <w:pBdr>
          <w:top w:val="none" w:sz="0" w:space="0" w:color="auto"/>
        </w:pBdr>
      </w:pPr>
      <w:bookmarkStart w:id="27" w:name="_Toc153314042"/>
      <w:r w:rsidRPr="00501ED4">
        <w:rPr>
          <w:rFonts w:cs="Arial"/>
          <w:lang w:val="es-ES"/>
        </w:rPr>
        <w:t>Introducción</w:t>
      </w:r>
      <w:bookmarkEnd w:id="27"/>
      <w:r w:rsidR="00C62233" w:rsidRPr="003E3C14">
        <w:t xml:space="preserve"> </w:t>
      </w:r>
    </w:p>
    <w:p w14:paraId="27BB0300" w14:textId="77777777" w:rsidR="00312D42" w:rsidRPr="00501ED4" w:rsidRDefault="00312D42" w:rsidP="00312D42">
      <w:pPr>
        <w:spacing w:before="240" w:after="240" w:line="240" w:lineRule="auto"/>
        <w:rPr>
          <w:rFonts w:cs="Arial"/>
          <w:lang w:val="es-ES"/>
        </w:rPr>
      </w:pPr>
      <w:r w:rsidRPr="00501ED4">
        <w:rPr>
          <w:rFonts w:cs="Arial"/>
          <w:lang w:val="es-ES"/>
        </w:rPr>
        <w:t xml:space="preserve">El TAP de Gestión de Emergencias está diseñado para impulsar el progreso conforme al Área de Resultados de Salud y Bienestar de la ADS. </w:t>
      </w:r>
    </w:p>
    <w:p w14:paraId="4C6EDD0F" w14:textId="77777777" w:rsidR="00312D42" w:rsidRPr="00501ED4" w:rsidRDefault="00312D42" w:rsidP="00312D42">
      <w:pPr>
        <w:spacing w:before="240" w:after="240" w:line="240" w:lineRule="auto"/>
        <w:rPr>
          <w:rFonts w:cs="Arial"/>
          <w:lang w:val="es-ES"/>
        </w:rPr>
      </w:pPr>
      <w:r w:rsidRPr="00501ED4">
        <w:rPr>
          <w:rFonts w:cs="Arial"/>
          <w:lang w:val="es-ES"/>
        </w:rPr>
        <w:t>Esta Área de Resultados tiene por objetivo garantizar que las personas con discapacidad alcancen los mejores resultados posibles relacionados con la salud y el bienestar a lo largo de sus vidas.</w:t>
      </w:r>
    </w:p>
    <w:p w14:paraId="54235BEB" w14:textId="77777777" w:rsidR="00312D42" w:rsidRPr="00501ED4" w:rsidRDefault="00312D42" w:rsidP="00312D42">
      <w:pPr>
        <w:spacing w:before="240" w:after="240" w:line="240" w:lineRule="auto"/>
        <w:rPr>
          <w:rFonts w:cs="Arial"/>
          <w:lang w:val="es-ES"/>
        </w:rPr>
      </w:pPr>
      <w:r w:rsidRPr="00501ED4">
        <w:rPr>
          <w:rFonts w:cs="Arial"/>
          <w:lang w:val="es-ES"/>
        </w:rPr>
        <w:t>En el TAP de Gestión de Emergencias, hay 47 acciones sobre las que se informa en el gobierno australiano y los gobiernos estatales y territoriales para el período 2022-2023.</w:t>
      </w:r>
    </w:p>
    <w:p w14:paraId="29D9E88C" w14:textId="6B8A2D8C" w:rsidR="00312D42" w:rsidRPr="003E3C14" w:rsidRDefault="00312D42" w:rsidP="00312D42">
      <w:pPr>
        <w:spacing w:before="240" w:after="240" w:line="240" w:lineRule="auto"/>
      </w:pPr>
      <w:r w:rsidRPr="00501ED4">
        <w:rPr>
          <w:rFonts w:cs="Arial"/>
          <w:lang w:val="es-ES"/>
        </w:rPr>
        <w:t>Están incluidas acciones que buscan activamente obtener comentarios de personas con discapacidad y el sector, revisar y mejorar las preparaciones y los planes de respuesta ante emergencias para incluir de manera más adecuada a las personas con discapacidad, y mejorar las comunicaciones durante emergencias.</w:t>
      </w:r>
    </w:p>
    <w:p w14:paraId="0B4539E0" w14:textId="395397D0" w:rsidR="00C62233" w:rsidRPr="003E3C14" w:rsidRDefault="00312D42" w:rsidP="009B5AB0">
      <w:pPr>
        <w:pStyle w:val="Heading2"/>
      </w:pPr>
      <w:bookmarkStart w:id="28" w:name="_Toc153314043"/>
      <w:r w:rsidRPr="00501ED4">
        <w:rPr>
          <w:rFonts w:cs="Arial"/>
          <w:lang w:val="es-ES"/>
        </w:rPr>
        <w:t>Objetivos</w:t>
      </w:r>
      <w:bookmarkEnd w:id="28"/>
      <w:r w:rsidR="00C62233" w:rsidRPr="003E3C14">
        <w:t xml:space="preserve"> </w:t>
      </w:r>
    </w:p>
    <w:p w14:paraId="6527E21E" w14:textId="75D79819" w:rsidR="00312D42" w:rsidRPr="00312D42" w:rsidRDefault="00312D42" w:rsidP="00312D42">
      <w:pPr>
        <w:pStyle w:val="ListParagraph"/>
        <w:numPr>
          <w:ilvl w:val="0"/>
          <w:numId w:val="30"/>
        </w:numPr>
        <w:spacing w:before="120" w:after="120" w:line="240" w:lineRule="auto"/>
        <w:ind w:left="806" w:hanging="446"/>
        <w:contextualSpacing w:val="0"/>
        <w:rPr>
          <w:rFonts w:cs="Arial"/>
          <w:lang w:val="es-ES"/>
        </w:rPr>
      </w:pPr>
      <w:r w:rsidRPr="00312D42">
        <w:rPr>
          <w:rFonts w:cs="Arial"/>
          <w:lang w:val="es-ES"/>
        </w:rPr>
        <w:t xml:space="preserve">Garantizar que los procesos de planificación ante catástrofes o emergencias para llevar a cabo evaluaciones de riesgos de catástrofes, y el posterior desarrollo y mantenimiento de planes de gestión de catástrofes o emergencias incluyan a las personas con discapacidad. </w:t>
      </w:r>
      <w:r w:rsidRPr="00312D42">
        <w:rPr>
          <w:rFonts w:cs="Arial"/>
          <w:lang w:val="es-ES"/>
        </w:rPr>
        <w:tab/>
      </w:r>
    </w:p>
    <w:p w14:paraId="0FDB2505" w14:textId="2AD4177E" w:rsidR="00312D42" w:rsidRPr="003E3C14" w:rsidRDefault="00312D42" w:rsidP="00312D42">
      <w:pPr>
        <w:pStyle w:val="ListParagraph"/>
        <w:numPr>
          <w:ilvl w:val="0"/>
          <w:numId w:val="30"/>
        </w:numPr>
        <w:spacing w:before="120" w:after="120" w:line="240" w:lineRule="auto"/>
        <w:ind w:left="806" w:hanging="446"/>
        <w:contextualSpacing w:val="0"/>
      </w:pPr>
      <w:r w:rsidRPr="00501ED4">
        <w:rPr>
          <w:rFonts w:cs="Arial"/>
          <w:lang w:val="es-ES"/>
        </w:rPr>
        <w:t>Garantizar que los procesos inclusivos de gestión de catástrofes o emergencias, preparación y planificación de recuperación respalden la salud y el bienestar de las personas con discapacidad antes, durante y después de las emergencias.</w:t>
      </w:r>
    </w:p>
    <w:p w14:paraId="0D242A81" w14:textId="77777777" w:rsidR="00C62233" w:rsidRPr="003E3C14" w:rsidRDefault="00C62233">
      <w:r w:rsidRPr="003E3C14">
        <w:br w:type="page"/>
      </w:r>
    </w:p>
    <w:p w14:paraId="3F7F5B46" w14:textId="76EF452E" w:rsidR="00C62233" w:rsidRPr="003E3C14" w:rsidRDefault="00AE4A3E" w:rsidP="0066071F">
      <w:pPr>
        <w:rPr>
          <w:b/>
          <w:bCs/>
          <w:color w:val="6C1740"/>
          <w:sz w:val="94"/>
          <w:szCs w:val="94"/>
        </w:rPr>
      </w:pPr>
      <w:r w:rsidRPr="00AE4A3E">
        <w:rPr>
          <w:b/>
          <w:bCs/>
          <w:color w:val="6C1740"/>
          <w:sz w:val="94"/>
          <w:szCs w:val="94"/>
        </w:rPr>
        <w:lastRenderedPageBreak/>
        <w:t>TAP de Gestión de Emergencias</w:t>
      </w:r>
    </w:p>
    <w:p w14:paraId="2EBAA179" w14:textId="1AB19691" w:rsidR="00B12B54" w:rsidRPr="003E3C14" w:rsidRDefault="00783A82" w:rsidP="009B5AB0">
      <w:pPr>
        <w:spacing w:before="240" w:after="240" w:line="240" w:lineRule="auto"/>
      </w:pPr>
      <w:r w:rsidRPr="00501ED4">
        <w:rPr>
          <w:rFonts w:cs="Arial"/>
          <w:lang w:val="es-ES"/>
        </w:rPr>
        <w:t>Tabla 11: TAP de Gestión de Emergencias: progreso de las acciones por gobierno en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11: Emergency Management TAP – progress of actions by government in 2022-2023"/>
      </w:tblPr>
      <w:tblGrid>
        <w:gridCol w:w="1478"/>
        <w:gridCol w:w="1510"/>
        <w:gridCol w:w="1078"/>
        <w:gridCol w:w="1294"/>
        <w:gridCol w:w="1294"/>
        <w:gridCol w:w="1294"/>
        <w:gridCol w:w="1294"/>
      </w:tblGrid>
      <w:tr w:rsidR="00C568D3" w:rsidRPr="003E3C14" w14:paraId="1C137626" w14:textId="77777777" w:rsidTr="00C568D3">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02076257" w14:textId="154C2335" w:rsidR="00C568D3" w:rsidRPr="003E3C14" w:rsidRDefault="00C568D3" w:rsidP="002A249B">
            <w:pPr>
              <w:spacing w:after="0" w:line="240" w:lineRule="auto"/>
              <w:rPr>
                <w:rFonts w:eastAsia="Times New Roman" w:cs="Arial"/>
                <w:b/>
                <w:color w:val="FFFFFF" w:themeColor="background1"/>
                <w:sz w:val="20"/>
                <w:szCs w:val="20"/>
                <w:lang w:eastAsia="en-AU"/>
              </w:rPr>
            </w:pPr>
            <w:r w:rsidRPr="00BC2F9E">
              <w:rPr>
                <w:rFonts w:eastAsia="Times New Roman" w:cs="Calibri"/>
                <w:b/>
                <w:bCs/>
                <w:color w:val="FFFFFF" w:themeColor="background1"/>
                <w:lang w:val="es" w:eastAsia="en-AU"/>
              </w:rPr>
              <w:t>Gobierno</w:t>
            </w:r>
          </w:p>
        </w:tc>
        <w:tc>
          <w:tcPr>
            <w:tcW w:w="817"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70546251" w14:textId="11731A82" w:rsidR="00C568D3" w:rsidRPr="003E3C14" w:rsidRDefault="00C568D3" w:rsidP="00464AAF">
            <w:pPr>
              <w:spacing w:after="0" w:line="240" w:lineRule="auto"/>
              <w:rPr>
                <w:rFonts w:eastAsia="Times New Roman" w:cs="Arial"/>
                <w:b/>
                <w:color w:val="FFFFFF" w:themeColor="background1"/>
                <w:sz w:val="20"/>
                <w:szCs w:val="20"/>
                <w:lang w:eastAsia="en-AU"/>
              </w:rPr>
            </w:pPr>
            <w:r w:rsidRPr="00BC2F9E">
              <w:rPr>
                <w:rFonts w:eastAsia="Times New Roman" w:cs="Calibri"/>
                <w:b/>
                <w:bCs/>
                <w:color w:val="FFFFFF" w:themeColor="background1"/>
                <w:lang w:val="es" w:eastAsia="en-AU"/>
              </w:rPr>
              <w:t>Completada</w:t>
            </w:r>
          </w:p>
        </w:tc>
        <w:tc>
          <w:tcPr>
            <w:tcW w:w="583"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04CBEE7" w14:textId="524BF365" w:rsidR="00C568D3" w:rsidRPr="003E3C14" w:rsidRDefault="00C568D3" w:rsidP="002A249B">
            <w:pPr>
              <w:spacing w:after="0" w:line="240" w:lineRule="auto"/>
              <w:rPr>
                <w:rFonts w:eastAsia="Times New Roman" w:cs="Arial"/>
                <w:b/>
                <w:color w:val="FFFFFF" w:themeColor="background1"/>
                <w:sz w:val="20"/>
                <w:szCs w:val="20"/>
                <w:lang w:eastAsia="en-AU"/>
              </w:rPr>
            </w:pPr>
            <w:r w:rsidRPr="00BC2F9E">
              <w:rPr>
                <w:rFonts w:eastAsia="Times New Roman" w:cs="Calibri"/>
                <w:b/>
                <w:bCs/>
                <w:color w:val="FFFFFF" w:themeColor="background1"/>
                <w:lang w:val="es" w:eastAsia="en-AU"/>
              </w:rPr>
              <w:t>En curso</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4B44900A" w14:textId="1AA2543A" w:rsidR="00C568D3" w:rsidRPr="003E3C14" w:rsidRDefault="00C568D3" w:rsidP="002A249B">
            <w:pPr>
              <w:spacing w:after="0" w:line="240" w:lineRule="auto"/>
              <w:rPr>
                <w:rFonts w:eastAsia="Times New Roman" w:cs="Arial"/>
                <w:b/>
                <w:color w:val="FFFFFF" w:themeColor="background1"/>
                <w:sz w:val="20"/>
                <w:szCs w:val="20"/>
                <w:lang w:eastAsia="en-AU"/>
              </w:rPr>
            </w:pPr>
            <w:r w:rsidRPr="00BC2F9E">
              <w:rPr>
                <w:rFonts w:eastAsia="Times New Roman" w:cs="Calibri"/>
                <w:b/>
                <w:bCs/>
                <w:color w:val="FFFFFF" w:themeColor="background1"/>
                <w:lang w:val="es" w:eastAsia="en-AU"/>
              </w:rPr>
              <w:t>Algunas demoras</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2056ADAC" w14:textId="0B42BF87" w:rsidR="00C568D3" w:rsidRPr="003E3C14" w:rsidRDefault="00C568D3" w:rsidP="002A249B">
            <w:pPr>
              <w:spacing w:after="0" w:line="240" w:lineRule="auto"/>
              <w:rPr>
                <w:rFonts w:eastAsia="Times New Roman" w:cs="Arial"/>
                <w:b/>
                <w:color w:val="FFFFFF" w:themeColor="background1"/>
                <w:sz w:val="20"/>
                <w:szCs w:val="20"/>
                <w:lang w:eastAsia="en-AU"/>
              </w:rPr>
            </w:pPr>
            <w:r w:rsidRPr="00BC2F9E">
              <w:rPr>
                <w:rFonts w:eastAsia="Times New Roman" w:cs="Calibri"/>
                <w:b/>
                <w:bCs/>
                <w:color w:val="FFFFFF" w:themeColor="background1"/>
                <w:lang w:val="es" w:eastAsia="en-AU"/>
              </w:rPr>
              <w:t>En pausa</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38515163" w14:textId="79858519" w:rsidR="00C568D3" w:rsidRPr="003E3C14" w:rsidRDefault="00C568D3" w:rsidP="002A249B">
            <w:pPr>
              <w:spacing w:after="0" w:line="240" w:lineRule="auto"/>
              <w:rPr>
                <w:rFonts w:eastAsia="Times New Roman" w:cs="Arial"/>
                <w:b/>
                <w:color w:val="FFFFFF" w:themeColor="background1"/>
                <w:sz w:val="20"/>
                <w:szCs w:val="20"/>
                <w:lang w:eastAsia="en-AU"/>
              </w:rPr>
            </w:pPr>
            <w:r w:rsidRPr="00BC2F9E">
              <w:rPr>
                <w:rFonts w:eastAsia="Times New Roman" w:cs="Calibri"/>
                <w:b/>
                <w:bCs/>
                <w:color w:val="FFFFFF" w:themeColor="background1"/>
                <w:lang w:val="es" w:eastAsia="en-AU"/>
              </w:rPr>
              <w:t>Inicio futuro</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22AC1BC2" w14:textId="214ED792" w:rsidR="00C568D3" w:rsidRPr="003E3C14" w:rsidRDefault="00C568D3" w:rsidP="002A249B">
            <w:pPr>
              <w:spacing w:after="0" w:line="240" w:lineRule="auto"/>
              <w:rPr>
                <w:rFonts w:eastAsia="Times New Roman" w:cs="Arial"/>
                <w:b/>
                <w:color w:val="FFFFFF" w:themeColor="background1"/>
                <w:sz w:val="20"/>
                <w:szCs w:val="20"/>
                <w:lang w:eastAsia="en-AU"/>
              </w:rPr>
            </w:pPr>
            <w:r w:rsidRPr="00BC2F9E">
              <w:rPr>
                <w:b/>
                <w:color w:val="FFFFFF" w:themeColor="background1"/>
                <w:sz w:val="20"/>
                <w:szCs w:val="20"/>
              </w:rPr>
              <w:t>Total</w:t>
            </w:r>
          </w:p>
        </w:tc>
      </w:tr>
      <w:tr w:rsidR="00C568D3" w:rsidRPr="003E3C14" w14:paraId="0DCF74B0" w14:textId="77777777" w:rsidTr="00C568D3">
        <w:tc>
          <w:tcPr>
            <w:tcW w:w="800" w:type="pct"/>
            <w:tcBorders>
              <w:top w:val="single" w:sz="4" w:space="0" w:color="auto"/>
            </w:tcBorders>
            <w:shd w:val="clear" w:color="auto" w:fill="auto"/>
            <w:noWrap/>
            <w:hideMark/>
          </w:tcPr>
          <w:p w14:paraId="31A858C9" w14:textId="09CDDEDE" w:rsidR="00C568D3" w:rsidRPr="003E3C14" w:rsidRDefault="00C568D3" w:rsidP="002A249B">
            <w:pPr>
              <w:spacing w:after="0" w:line="240" w:lineRule="auto"/>
              <w:rPr>
                <w:rFonts w:eastAsia="Times New Roman" w:cs="Arial"/>
                <w:sz w:val="20"/>
                <w:szCs w:val="20"/>
                <w:lang w:eastAsia="en-AU"/>
              </w:rPr>
            </w:pPr>
            <w:r w:rsidRPr="003E3C14">
              <w:rPr>
                <w:sz w:val="20"/>
                <w:szCs w:val="20"/>
              </w:rPr>
              <w:t>Australian Government</w:t>
            </w:r>
          </w:p>
        </w:tc>
        <w:tc>
          <w:tcPr>
            <w:tcW w:w="817" w:type="pct"/>
            <w:tcBorders>
              <w:top w:val="single" w:sz="4" w:space="0" w:color="auto"/>
            </w:tcBorders>
            <w:shd w:val="clear" w:color="auto" w:fill="auto"/>
            <w:noWrap/>
            <w:vAlign w:val="bottom"/>
            <w:hideMark/>
          </w:tcPr>
          <w:p w14:paraId="2262EDB7"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583" w:type="pct"/>
            <w:tcBorders>
              <w:top w:val="single" w:sz="4" w:space="0" w:color="auto"/>
            </w:tcBorders>
            <w:shd w:val="clear" w:color="auto" w:fill="auto"/>
            <w:noWrap/>
            <w:vAlign w:val="bottom"/>
            <w:hideMark/>
          </w:tcPr>
          <w:p w14:paraId="48463F06"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10</w:t>
            </w:r>
          </w:p>
        </w:tc>
        <w:tc>
          <w:tcPr>
            <w:tcW w:w="700" w:type="pct"/>
            <w:tcBorders>
              <w:top w:val="single" w:sz="4" w:space="0" w:color="auto"/>
            </w:tcBorders>
            <w:shd w:val="clear" w:color="auto" w:fill="auto"/>
            <w:noWrap/>
            <w:vAlign w:val="bottom"/>
            <w:hideMark/>
          </w:tcPr>
          <w:p w14:paraId="49ECB633"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1916A762"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152020D0"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0C97869C" w14:textId="77777777" w:rsidR="00C568D3" w:rsidRPr="003E3C14" w:rsidRDefault="00C568D3"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12</w:t>
            </w:r>
          </w:p>
        </w:tc>
      </w:tr>
      <w:tr w:rsidR="00C568D3" w:rsidRPr="003E3C14" w14:paraId="0C3BA2D8" w14:textId="77777777" w:rsidTr="00C568D3">
        <w:tc>
          <w:tcPr>
            <w:tcW w:w="800" w:type="pct"/>
            <w:shd w:val="clear" w:color="auto" w:fill="FAF9F8"/>
            <w:noWrap/>
            <w:hideMark/>
          </w:tcPr>
          <w:p w14:paraId="6ABC2B46" w14:textId="20A4F1B6" w:rsidR="00C568D3" w:rsidRPr="003E3C14" w:rsidRDefault="00C568D3" w:rsidP="002A249B">
            <w:pPr>
              <w:spacing w:after="0" w:line="240" w:lineRule="auto"/>
              <w:rPr>
                <w:rFonts w:eastAsia="Times New Roman" w:cs="Arial"/>
                <w:sz w:val="20"/>
                <w:szCs w:val="20"/>
                <w:lang w:eastAsia="en-AU"/>
              </w:rPr>
            </w:pPr>
            <w:r w:rsidRPr="003E3C14">
              <w:rPr>
                <w:sz w:val="20"/>
                <w:szCs w:val="20"/>
              </w:rPr>
              <w:t>NSW</w:t>
            </w:r>
          </w:p>
        </w:tc>
        <w:tc>
          <w:tcPr>
            <w:tcW w:w="817" w:type="pct"/>
            <w:shd w:val="clear" w:color="auto" w:fill="FAF9F8"/>
            <w:noWrap/>
            <w:vAlign w:val="bottom"/>
            <w:hideMark/>
          </w:tcPr>
          <w:p w14:paraId="4FD50421"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w:t>
            </w:r>
          </w:p>
        </w:tc>
        <w:tc>
          <w:tcPr>
            <w:tcW w:w="583" w:type="pct"/>
            <w:shd w:val="clear" w:color="auto" w:fill="FAF9F8"/>
            <w:noWrap/>
            <w:vAlign w:val="bottom"/>
            <w:hideMark/>
          </w:tcPr>
          <w:p w14:paraId="3A0C4ED0"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2</w:t>
            </w:r>
          </w:p>
        </w:tc>
        <w:tc>
          <w:tcPr>
            <w:tcW w:w="700" w:type="pct"/>
            <w:shd w:val="clear" w:color="auto" w:fill="FAF9F8"/>
            <w:noWrap/>
            <w:vAlign w:val="bottom"/>
            <w:hideMark/>
          </w:tcPr>
          <w:p w14:paraId="05385FD4"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w:t>
            </w:r>
          </w:p>
        </w:tc>
        <w:tc>
          <w:tcPr>
            <w:tcW w:w="700" w:type="pct"/>
            <w:shd w:val="clear" w:color="auto" w:fill="FAF9F8"/>
            <w:noWrap/>
            <w:vAlign w:val="bottom"/>
            <w:hideMark/>
          </w:tcPr>
          <w:p w14:paraId="5EC0E875"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FAF9F8"/>
            <w:noWrap/>
            <w:vAlign w:val="bottom"/>
            <w:hideMark/>
          </w:tcPr>
          <w:p w14:paraId="29A2C34C"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FAF9F8"/>
            <w:noWrap/>
            <w:vAlign w:val="bottom"/>
            <w:hideMark/>
          </w:tcPr>
          <w:p w14:paraId="642AF893" w14:textId="77777777" w:rsidR="00C568D3" w:rsidRPr="003E3C14" w:rsidRDefault="00C568D3"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4</w:t>
            </w:r>
          </w:p>
        </w:tc>
      </w:tr>
      <w:tr w:rsidR="00C568D3" w:rsidRPr="003E3C14" w14:paraId="013760D8" w14:textId="77777777" w:rsidTr="00C568D3">
        <w:tc>
          <w:tcPr>
            <w:tcW w:w="800" w:type="pct"/>
            <w:shd w:val="clear" w:color="auto" w:fill="auto"/>
            <w:noWrap/>
            <w:hideMark/>
          </w:tcPr>
          <w:p w14:paraId="66E2EE6A" w14:textId="203AEDCE" w:rsidR="00C568D3" w:rsidRPr="003E3C14" w:rsidRDefault="00C568D3" w:rsidP="002A249B">
            <w:pPr>
              <w:spacing w:after="0" w:line="240" w:lineRule="auto"/>
              <w:rPr>
                <w:rFonts w:eastAsia="Times New Roman" w:cs="Arial"/>
                <w:sz w:val="20"/>
                <w:szCs w:val="20"/>
                <w:lang w:eastAsia="en-AU"/>
              </w:rPr>
            </w:pPr>
            <w:r w:rsidRPr="003E3C14">
              <w:rPr>
                <w:sz w:val="20"/>
                <w:szCs w:val="20"/>
              </w:rPr>
              <w:t>VIC</w:t>
            </w:r>
          </w:p>
        </w:tc>
        <w:tc>
          <w:tcPr>
            <w:tcW w:w="817" w:type="pct"/>
            <w:shd w:val="clear" w:color="auto" w:fill="auto"/>
            <w:noWrap/>
            <w:vAlign w:val="bottom"/>
            <w:hideMark/>
          </w:tcPr>
          <w:p w14:paraId="2AE15052"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2</w:t>
            </w:r>
          </w:p>
        </w:tc>
        <w:tc>
          <w:tcPr>
            <w:tcW w:w="583" w:type="pct"/>
            <w:shd w:val="clear" w:color="auto" w:fill="auto"/>
            <w:noWrap/>
            <w:vAlign w:val="bottom"/>
            <w:hideMark/>
          </w:tcPr>
          <w:p w14:paraId="20D31E47"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2</w:t>
            </w:r>
          </w:p>
        </w:tc>
        <w:tc>
          <w:tcPr>
            <w:tcW w:w="700" w:type="pct"/>
            <w:shd w:val="clear" w:color="auto" w:fill="auto"/>
            <w:noWrap/>
            <w:vAlign w:val="bottom"/>
            <w:hideMark/>
          </w:tcPr>
          <w:p w14:paraId="5E3D3E04"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auto"/>
            <w:noWrap/>
            <w:vAlign w:val="bottom"/>
            <w:hideMark/>
          </w:tcPr>
          <w:p w14:paraId="6E811071"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auto"/>
            <w:noWrap/>
            <w:vAlign w:val="bottom"/>
            <w:hideMark/>
          </w:tcPr>
          <w:p w14:paraId="6860BBF4"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auto"/>
            <w:noWrap/>
            <w:vAlign w:val="bottom"/>
            <w:hideMark/>
          </w:tcPr>
          <w:p w14:paraId="6217780C" w14:textId="77777777" w:rsidR="00C568D3" w:rsidRPr="003E3C14" w:rsidRDefault="00C568D3"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4</w:t>
            </w:r>
          </w:p>
        </w:tc>
      </w:tr>
      <w:tr w:rsidR="00C568D3" w:rsidRPr="003E3C14" w14:paraId="3CF3A435" w14:textId="77777777" w:rsidTr="00C568D3">
        <w:tc>
          <w:tcPr>
            <w:tcW w:w="800" w:type="pct"/>
            <w:shd w:val="clear" w:color="auto" w:fill="FAF9F8"/>
            <w:noWrap/>
            <w:hideMark/>
          </w:tcPr>
          <w:p w14:paraId="448AE5BB" w14:textId="14B063E9" w:rsidR="00C568D3" w:rsidRPr="003E3C14" w:rsidRDefault="00C568D3" w:rsidP="002A249B">
            <w:pPr>
              <w:spacing w:after="0" w:line="240" w:lineRule="auto"/>
              <w:rPr>
                <w:rFonts w:eastAsia="Times New Roman" w:cs="Arial"/>
                <w:sz w:val="20"/>
                <w:szCs w:val="20"/>
                <w:lang w:eastAsia="en-AU"/>
              </w:rPr>
            </w:pPr>
            <w:r w:rsidRPr="003E3C14">
              <w:rPr>
                <w:sz w:val="20"/>
                <w:szCs w:val="20"/>
              </w:rPr>
              <w:t>QLD</w:t>
            </w:r>
          </w:p>
        </w:tc>
        <w:tc>
          <w:tcPr>
            <w:tcW w:w="817" w:type="pct"/>
            <w:shd w:val="clear" w:color="auto" w:fill="FAF9F8"/>
            <w:noWrap/>
            <w:vAlign w:val="bottom"/>
            <w:hideMark/>
          </w:tcPr>
          <w:p w14:paraId="1F9C17AB"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583" w:type="pct"/>
            <w:shd w:val="clear" w:color="auto" w:fill="FAF9F8"/>
            <w:noWrap/>
            <w:vAlign w:val="bottom"/>
            <w:hideMark/>
          </w:tcPr>
          <w:p w14:paraId="4244CD2B"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3</w:t>
            </w:r>
          </w:p>
        </w:tc>
        <w:tc>
          <w:tcPr>
            <w:tcW w:w="700" w:type="pct"/>
            <w:shd w:val="clear" w:color="auto" w:fill="FAF9F8"/>
            <w:noWrap/>
            <w:vAlign w:val="bottom"/>
            <w:hideMark/>
          </w:tcPr>
          <w:p w14:paraId="647FC07D"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FAF9F8"/>
            <w:noWrap/>
            <w:vAlign w:val="bottom"/>
            <w:hideMark/>
          </w:tcPr>
          <w:p w14:paraId="14085B65"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FAF9F8"/>
            <w:noWrap/>
            <w:vAlign w:val="bottom"/>
            <w:hideMark/>
          </w:tcPr>
          <w:p w14:paraId="1FA6FF52"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FAF9F8"/>
            <w:noWrap/>
            <w:vAlign w:val="bottom"/>
            <w:hideMark/>
          </w:tcPr>
          <w:p w14:paraId="649DA728" w14:textId="77777777" w:rsidR="00C568D3" w:rsidRPr="003E3C14" w:rsidRDefault="00C568D3"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3</w:t>
            </w:r>
          </w:p>
        </w:tc>
      </w:tr>
      <w:tr w:rsidR="00C568D3" w:rsidRPr="003E3C14" w14:paraId="50ACD9E3" w14:textId="77777777" w:rsidTr="00C568D3">
        <w:tc>
          <w:tcPr>
            <w:tcW w:w="800" w:type="pct"/>
            <w:shd w:val="clear" w:color="auto" w:fill="auto"/>
            <w:noWrap/>
            <w:hideMark/>
          </w:tcPr>
          <w:p w14:paraId="69EF4F95" w14:textId="6063E392" w:rsidR="00C568D3" w:rsidRPr="003E3C14" w:rsidRDefault="00C568D3" w:rsidP="002A249B">
            <w:pPr>
              <w:spacing w:after="0" w:line="240" w:lineRule="auto"/>
              <w:rPr>
                <w:rFonts w:eastAsia="Times New Roman" w:cs="Arial"/>
                <w:sz w:val="20"/>
                <w:szCs w:val="20"/>
                <w:lang w:eastAsia="en-AU"/>
              </w:rPr>
            </w:pPr>
            <w:r w:rsidRPr="003E3C14">
              <w:rPr>
                <w:sz w:val="20"/>
                <w:szCs w:val="20"/>
              </w:rPr>
              <w:t>WA</w:t>
            </w:r>
          </w:p>
        </w:tc>
        <w:tc>
          <w:tcPr>
            <w:tcW w:w="817" w:type="pct"/>
            <w:shd w:val="clear" w:color="auto" w:fill="auto"/>
            <w:noWrap/>
            <w:vAlign w:val="bottom"/>
            <w:hideMark/>
          </w:tcPr>
          <w:p w14:paraId="1CCCE82A"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2</w:t>
            </w:r>
          </w:p>
        </w:tc>
        <w:tc>
          <w:tcPr>
            <w:tcW w:w="583" w:type="pct"/>
            <w:shd w:val="clear" w:color="auto" w:fill="auto"/>
            <w:noWrap/>
            <w:vAlign w:val="bottom"/>
            <w:hideMark/>
          </w:tcPr>
          <w:p w14:paraId="7BF34F59"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3</w:t>
            </w:r>
          </w:p>
        </w:tc>
        <w:tc>
          <w:tcPr>
            <w:tcW w:w="700" w:type="pct"/>
            <w:shd w:val="clear" w:color="auto" w:fill="auto"/>
            <w:noWrap/>
            <w:vAlign w:val="bottom"/>
            <w:hideMark/>
          </w:tcPr>
          <w:p w14:paraId="4037FD19"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auto"/>
            <w:noWrap/>
            <w:vAlign w:val="bottom"/>
            <w:hideMark/>
          </w:tcPr>
          <w:p w14:paraId="3EF573FC"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auto"/>
            <w:noWrap/>
            <w:vAlign w:val="bottom"/>
            <w:hideMark/>
          </w:tcPr>
          <w:p w14:paraId="696F6475"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auto"/>
            <w:noWrap/>
            <w:vAlign w:val="bottom"/>
            <w:hideMark/>
          </w:tcPr>
          <w:p w14:paraId="716DDB81" w14:textId="77777777" w:rsidR="00C568D3" w:rsidRPr="003E3C14" w:rsidRDefault="00C568D3"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5</w:t>
            </w:r>
          </w:p>
        </w:tc>
      </w:tr>
      <w:tr w:rsidR="00C568D3" w:rsidRPr="003E3C14" w14:paraId="3BAA5C76" w14:textId="77777777" w:rsidTr="00C568D3">
        <w:tc>
          <w:tcPr>
            <w:tcW w:w="800" w:type="pct"/>
            <w:shd w:val="clear" w:color="auto" w:fill="FAF9F8"/>
            <w:noWrap/>
            <w:hideMark/>
          </w:tcPr>
          <w:p w14:paraId="122FAFA3" w14:textId="6C322AF4" w:rsidR="00C568D3" w:rsidRPr="003E3C14" w:rsidRDefault="00C568D3" w:rsidP="002A249B">
            <w:pPr>
              <w:spacing w:after="0" w:line="240" w:lineRule="auto"/>
              <w:rPr>
                <w:rFonts w:eastAsia="Times New Roman" w:cs="Arial"/>
                <w:sz w:val="20"/>
                <w:szCs w:val="20"/>
                <w:lang w:eastAsia="en-AU"/>
              </w:rPr>
            </w:pPr>
            <w:r w:rsidRPr="003E3C14">
              <w:rPr>
                <w:sz w:val="20"/>
                <w:szCs w:val="20"/>
              </w:rPr>
              <w:t>SA</w:t>
            </w:r>
          </w:p>
        </w:tc>
        <w:tc>
          <w:tcPr>
            <w:tcW w:w="817" w:type="pct"/>
            <w:shd w:val="clear" w:color="auto" w:fill="FAF9F8"/>
            <w:noWrap/>
            <w:vAlign w:val="bottom"/>
            <w:hideMark/>
          </w:tcPr>
          <w:p w14:paraId="4A71AF58"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w:t>
            </w:r>
          </w:p>
        </w:tc>
        <w:tc>
          <w:tcPr>
            <w:tcW w:w="583" w:type="pct"/>
            <w:shd w:val="clear" w:color="auto" w:fill="FAF9F8"/>
            <w:noWrap/>
            <w:vAlign w:val="bottom"/>
            <w:hideMark/>
          </w:tcPr>
          <w:p w14:paraId="0660A67A"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8</w:t>
            </w:r>
          </w:p>
        </w:tc>
        <w:tc>
          <w:tcPr>
            <w:tcW w:w="700" w:type="pct"/>
            <w:shd w:val="clear" w:color="auto" w:fill="FAF9F8"/>
            <w:noWrap/>
            <w:vAlign w:val="bottom"/>
            <w:hideMark/>
          </w:tcPr>
          <w:p w14:paraId="44DF5230"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FAF9F8"/>
            <w:noWrap/>
            <w:vAlign w:val="bottom"/>
            <w:hideMark/>
          </w:tcPr>
          <w:p w14:paraId="4660DA4C"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FAF9F8"/>
            <w:noWrap/>
            <w:vAlign w:val="bottom"/>
            <w:hideMark/>
          </w:tcPr>
          <w:p w14:paraId="0CA36DCE"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FAF9F8"/>
            <w:noWrap/>
            <w:vAlign w:val="bottom"/>
            <w:hideMark/>
          </w:tcPr>
          <w:p w14:paraId="74B8234B" w14:textId="77777777" w:rsidR="00C568D3" w:rsidRPr="003E3C14" w:rsidRDefault="00C568D3"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9</w:t>
            </w:r>
          </w:p>
        </w:tc>
      </w:tr>
      <w:tr w:rsidR="00C568D3" w:rsidRPr="003E3C14" w14:paraId="577B1584" w14:textId="77777777" w:rsidTr="00C568D3">
        <w:tc>
          <w:tcPr>
            <w:tcW w:w="800" w:type="pct"/>
            <w:shd w:val="clear" w:color="auto" w:fill="auto"/>
            <w:noWrap/>
            <w:hideMark/>
          </w:tcPr>
          <w:p w14:paraId="11A9EE57" w14:textId="29584133" w:rsidR="00C568D3" w:rsidRPr="003E3C14" w:rsidRDefault="00C568D3" w:rsidP="002A249B">
            <w:pPr>
              <w:spacing w:after="0" w:line="240" w:lineRule="auto"/>
              <w:rPr>
                <w:rFonts w:eastAsia="Times New Roman" w:cs="Arial"/>
                <w:sz w:val="20"/>
                <w:szCs w:val="20"/>
                <w:lang w:eastAsia="en-AU"/>
              </w:rPr>
            </w:pPr>
            <w:r w:rsidRPr="003E3C14">
              <w:rPr>
                <w:sz w:val="20"/>
                <w:szCs w:val="20"/>
              </w:rPr>
              <w:t>TAS</w:t>
            </w:r>
          </w:p>
        </w:tc>
        <w:tc>
          <w:tcPr>
            <w:tcW w:w="817" w:type="pct"/>
            <w:shd w:val="clear" w:color="auto" w:fill="auto"/>
            <w:noWrap/>
            <w:vAlign w:val="bottom"/>
            <w:hideMark/>
          </w:tcPr>
          <w:p w14:paraId="3F29406B"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w:t>
            </w:r>
          </w:p>
        </w:tc>
        <w:tc>
          <w:tcPr>
            <w:tcW w:w="583" w:type="pct"/>
            <w:shd w:val="clear" w:color="auto" w:fill="auto"/>
            <w:noWrap/>
            <w:vAlign w:val="bottom"/>
            <w:hideMark/>
          </w:tcPr>
          <w:p w14:paraId="2C992748"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3</w:t>
            </w:r>
          </w:p>
        </w:tc>
        <w:tc>
          <w:tcPr>
            <w:tcW w:w="700" w:type="pct"/>
            <w:shd w:val="clear" w:color="auto" w:fill="auto"/>
            <w:noWrap/>
            <w:vAlign w:val="bottom"/>
            <w:hideMark/>
          </w:tcPr>
          <w:p w14:paraId="0A84C9E7"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auto"/>
            <w:noWrap/>
            <w:vAlign w:val="bottom"/>
            <w:hideMark/>
          </w:tcPr>
          <w:p w14:paraId="2342671B"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auto"/>
            <w:noWrap/>
            <w:vAlign w:val="bottom"/>
            <w:hideMark/>
          </w:tcPr>
          <w:p w14:paraId="457A3586"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auto"/>
            <w:noWrap/>
            <w:vAlign w:val="bottom"/>
            <w:hideMark/>
          </w:tcPr>
          <w:p w14:paraId="7C6430CA" w14:textId="77777777" w:rsidR="00C568D3" w:rsidRPr="003E3C14" w:rsidRDefault="00C568D3"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4</w:t>
            </w:r>
          </w:p>
        </w:tc>
      </w:tr>
      <w:tr w:rsidR="00C568D3" w:rsidRPr="003E3C14" w14:paraId="04318AD1" w14:textId="77777777" w:rsidTr="00C568D3">
        <w:tc>
          <w:tcPr>
            <w:tcW w:w="800" w:type="pct"/>
            <w:shd w:val="clear" w:color="auto" w:fill="FAF9F8"/>
            <w:noWrap/>
            <w:hideMark/>
          </w:tcPr>
          <w:p w14:paraId="27F54484" w14:textId="195D98C3" w:rsidR="00C568D3" w:rsidRPr="003E3C14" w:rsidRDefault="00C568D3" w:rsidP="002A249B">
            <w:pPr>
              <w:spacing w:after="0" w:line="240" w:lineRule="auto"/>
              <w:rPr>
                <w:rFonts w:eastAsia="Times New Roman" w:cs="Arial"/>
                <w:sz w:val="20"/>
                <w:szCs w:val="20"/>
                <w:lang w:eastAsia="en-AU"/>
              </w:rPr>
            </w:pPr>
            <w:r w:rsidRPr="003E3C14">
              <w:rPr>
                <w:sz w:val="20"/>
                <w:szCs w:val="20"/>
              </w:rPr>
              <w:t>ACT</w:t>
            </w:r>
          </w:p>
        </w:tc>
        <w:tc>
          <w:tcPr>
            <w:tcW w:w="817" w:type="pct"/>
            <w:shd w:val="clear" w:color="auto" w:fill="FAF9F8"/>
            <w:noWrap/>
            <w:vAlign w:val="bottom"/>
            <w:hideMark/>
          </w:tcPr>
          <w:p w14:paraId="07525472"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2</w:t>
            </w:r>
          </w:p>
        </w:tc>
        <w:tc>
          <w:tcPr>
            <w:tcW w:w="583" w:type="pct"/>
            <w:shd w:val="clear" w:color="auto" w:fill="FAF9F8"/>
            <w:noWrap/>
            <w:vAlign w:val="bottom"/>
            <w:hideMark/>
          </w:tcPr>
          <w:p w14:paraId="7C7E60BE"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FAF9F8"/>
            <w:noWrap/>
            <w:vAlign w:val="bottom"/>
            <w:hideMark/>
          </w:tcPr>
          <w:p w14:paraId="1752563B"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FAF9F8"/>
            <w:noWrap/>
            <w:vAlign w:val="bottom"/>
            <w:hideMark/>
          </w:tcPr>
          <w:p w14:paraId="4CC2DCFD"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FAF9F8"/>
            <w:noWrap/>
            <w:vAlign w:val="bottom"/>
            <w:hideMark/>
          </w:tcPr>
          <w:p w14:paraId="6AA4C1A8"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FAF9F8"/>
            <w:noWrap/>
            <w:vAlign w:val="bottom"/>
            <w:hideMark/>
          </w:tcPr>
          <w:p w14:paraId="4DA62B83" w14:textId="77777777" w:rsidR="00C568D3" w:rsidRPr="003E3C14" w:rsidRDefault="00C568D3"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2</w:t>
            </w:r>
          </w:p>
        </w:tc>
      </w:tr>
      <w:tr w:rsidR="00C568D3" w:rsidRPr="003E3C14" w14:paraId="04C8CBED" w14:textId="77777777" w:rsidTr="00C568D3">
        <w:tc>
          <w:tcPr>
            <w:tcW w:w="800" w:type="pct"/>
            <w:shd w:val="clear" w:color="auto" w:fill="auto"/>
            <w:noWrap/>
            <w:hideMark/>
          </w:tcPr>
          <w:p w14:paraId="7BA71BB6" w14:textId="21828166" w:rsidR="00C568D3" w:rsidRPr="003E3C14" w:rsidRDefault="00C568D3" w:rsidP="002A249B">
            <w:pPr>
              <w:spacing w:after="0" w:line="240" w:lineRule="auto"/>
              <w:rPr>
                <w:rFonts w:eastAsia="Times New Roman" w:cs="Arial"/>
                <w:sz w:val="20"/>
                <w:szCs w:val="20"/>
                <w:lang w:eastAsia="en-AU"/>
              </w:rPr>
            </w:pPr>
            <w:r w:rsidRPr="003E3C14">
              <w:rPr>
                <w:sz w:val="20"/>
                <w:szCs w:val="20"/>
              </w:rPr>
              <w:t>NT</w:t>
            </w:r>
          </w:p>
        </w:tc>
        <w:tc>
          <w:tcPr>
            <w:tcW w:w="817" w:type="pct"/>
            <w:shd w:val="clear" w:color="auto" w:fill="auto"/>
            <w:noWrap/>
            <w:vAlign w:val="bottom"/>
            <w:hideMark/>
          </w:tcPr>
          <w:p w14:paraId="54DF0044"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w:t>
            </w:r>
          </w:p>
        </w:tc>
        <w:tc>
          <w:tcPr>
            <w:tcW w:w="583" w:type="pct"/>
            <w:shd w:val="clear" w:color="auto" w:fill="auto"/>
            <w:noWrap/>
            <w:vAlign w:val="bottom"/>
            <w:hideMark/>
          </w:tcPr>
          <w:p w14:paraId="0A1A00F4"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3</w:t>
            </w:r>
          </w:p>
        </w:tc>
        <w:tc>
          <w:tcPr>
            <w:tcW w:w="700" w:type="pct"/>
            <w:shd w:val="clear" w:color="auto" w:fill="auto"/>
            <w:noWrap/>
            <w:vAlign w:val="bottom"/>
            <w:hideMark/>
          </w:tcPr>
          <w:p w14:paraId="22A358B9"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auto"/>
            <w:noWrap/>
            <w:vAlign w:val="bottom"/>
            <w:hideMark/>
          </w:tcPr>
          <w:p w14:paraId="6F8F8101"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auto"/>
            <w:noWrap/>
            <w:vAlign w:val="bottom"/>
            <w:hideMark/>
          </w:tcPr>
          <w:p w14:paraId="6F54EE5C" w14:textId="77777777" w:rsidR="00C568D3" w:rsidRPr="003E3C14" w:rsidRDefault="00C568D3" w:rsidP="002A249B">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auto"/>
            <w:noWrap/>
            <w:vAlign w:val="bottom"/>
            <w:hideMark/>
          </w:tcPr>
          <w:p w14:paraId="284927F3" w14:textId="77777777" w:rsidR="00C568D3" w:rsidRPr="003E3C14" w:rsidRDefault="00C568D3" w:rsidP="002A249B">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4</w:t>
            </w:r>
          </w:p>
        </w:tc>
      </w:tr>
      <w:tr w:rsidR="00C568D3" w:rsidRPr="003E3C14" w14:paraId="3E058CF7" w14:textId="77777777" w:rsidTr="00C568D3">
        <w:tc>
          <w:tcPr>
            <w:tcW w:w="800" w:type="pct"/>
            <w:shd w:val="clear" w:color="auto" w:fill="E4E9F3"/>
            <w:noWrap/>
            <w:hideMark/>
          </w:tcPr>
          <w:p w14:paraId="2643E38B" w14:textId="0376676F" w:rsidR="00C568D3" w:rsidRPr="003E3C14" w:rsidRDefault="00C568D3" w:rsidP="002A249B">
            <w:pPr>
              <w:spacing w:after="0" w:line="240" w:lineRule="auto"/>
              <w:rPr>
                <w:rFonts w:eastAsia="Times New Roman" w:cs="Arial"/>
                <w:b/>
                <w:sz w:val="20"/>
                <w:szCs w:val="20"/>
                <w:lang w:eastAsia="en-AU"/>
              </w:rPr>
            </w:pPr>
            <w:r w:rsidRPr="003E3C14">
              <w:rPr>
                <w:b/>
                <w:sz w:val="20"/>
                <w:szCs w:val="20"/>
              </w:rPr>
              <w:t>National Total</w:t>
            </w:r>
          </w:p>
        </w:tc>
        <w:tc>
          <w:tcPr>
            <w:tcW w:w="817" w:type="pct"/>
            <w:shd w:val="clear" w:color="auto" w:fill="E4E9F3"/>
            <w:noWrap/>
            <w:vAlign w:val="bottom"/>
            <w:hideMark/>
          </w:tcPr>
          <w:p w14:paraId="157D17ED" w14:textId="77777777" w:rsidR="00C568D3" w:rsidRPr="003E3C14" w:rsidRDefault="00C568D3" w:rsidP="002A249B">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10</w:t>
            </w:r>
          </w:p>
        </w:tc>
        <w:tc>
          <w:tcPr>
            <w:tcW w:w="583" w:type="pct"/>
            <w:shd w:val="clear" w:color="auto" w:fill="E4E9F3"/>
            <w:noWrap/>
            <w:vAlign w:val="bottom"/>
            <w:hideMark/>
          </w:tcPr>
          <w:p w14:paraId="7B0B9D0F" w14:textId="77777777" w:rsidR="00C568D3" w:rsidRPr="003E3C14" w:rsidRDefault="00C568D3" w:rsidP="002A249B">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34</w:t>
            </w:r>
          </w:p>
        </w:tc>
        <w:tc>
          <w:tcPr>
            <w:tcW w:w="700" w:type="pct"/>
            <w:shd w:val="clear" w:color="auto" w:fill="E4E9F3"/>
            <w:noWrap/>
            <w:vAlign w:val="bottom"/>
            <w:hideMark/>
          </w:tcPr>
          <w:p w14:paraId="079550F9" w14:textId="77777777" w:rsidR="00C568D3" w:rsidRPr="003E3C14" w:rsidRDefault="00C568D3" w:rsidP="002A249B">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3</w:t>
            </w:r>
          </w:p>
        </w:tc>
        <w:tc>
          <w:tcPr>
            <w:tcW w:w="700" w:type="pct"/>
            <w:shd w:val="clear" w:color="auto" w:fill="E4E9F3"/>
            <w:noWrap/>
            <w:vAlign w:val="bottom"/>
            <w:hideMark/>
          </w:tcPr>
          <w:p w14:paraId="06501223" w14:textId="77777777" w:rsidR="00C568D3" w:rsidRPr="003E3C14" w:rsidRDefault="00C568D3" w:rsidP="002A249B">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0</w:t>
            </w:r>
          </w:p>
        </w:tc>
        <w:tc>
          <w:tcPr>
            <w:tcW w:w="700" w:type="pct"/>
            <w:shd w:val="clear" w:color="auto" w:fill="E4E9F3"/>
            <w:noWrap/>
            <w:vAlign w:val="bottom"/>
            <w:hideMark/>
          </w:tcPr>
          <w:p w14:paraId="48D48C9A" w14:textId="77777777" w:rsidR="00C568D3" w:rsidRPr="003E3C14" w:rsidRDefault="00C568D3" w:rsidP="002A249B">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0</w:t>
            </w:r>
          </w:p>
        </w:tc>
        <w:tc>
          <w:tcPr>
            <w:tcW w:w="700" w:type="pct"/>
            <w:shd w:val="clear" w:color="auto" w:fill="E4E9F3"/>
            <w:noWrap/>
            <w:vAlign w:val="bottom"/>
            <w:hideMark/>
          </w:tcPr>
          <w:p w14:paraId="1D22B927" w14:textId="77777777" w:rsidR="00C568D3" w:rsidRPr="003E3C14" w:rsidRDefault="00C568D3" w:rsidP="002A249B">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47</w:t>
            </w:r>
          </w:p>
        </w:tc>
      </w:tr>
    </w:tbl>
    <w:p w14:paraId="43278F31" w14:textId="64239FCF" w:rsidR="00B12B54" w:rsidRPr="003E3C14" w:rsidRDefault="00783A82" w:rsidP="00482017">
      <w:pPr>
        <w:spacing w:before="240" w:after="240" w:line="240" w:lineRule="auto"/>
      </w:pPr>
      <w:r w:rsidRPr="00501ED4">
        <w:rPr>
          <w:rFonts w:cs="Arial"/>
          <w:lang w:val="es-ES"/>
        </w:rPr>
        <w:t>Tabla 12: TAP de Gestión de Emergencias: progreso de las acciones por objetivo en 2022-2023</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12: Emergency Management TAP – progress of actions by objective in 2022-2023"/>
      </w:tblPr>
      <w:tblGrid>
        <w:gridCol w:w="1481"/>
        <w:gridCol w:w="1508"/>
        <w:gridCol w:w="1079"/>
        <w:gridCol w:w="1294"/>
        <w:gridCol w:w="1294"/>
        <w:gridCol w:w="1294"/>
        <w:gridCol w:w="1292"/>
      </w:tblGrid>
      <w:tr w:rsidR="00C568D3" w:rsidRPr="003E3C14" w14:paraId="122B5EAA" w14:textId="77777777" w:rsidTr="00C568D3">
        <w:trPr>
          <w:cantSplit/>
        </w:trPr>
        <w:tc>
          <w:tcPr>
            <w:tcW w:w="801"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17E0552C" w14:textId="151709BD" w:rsidR="00C568D3" w:rsidRPr="003E3C14" w:rsidRDefault="00C568D3" w:rsidP="00CA6879">
            <w:pPr>
              <w:spacing w:after="0" w:line="240" w:lineRule="auto"/>
              <w:rPr>
                <w:rFonts w:eastAsia="Times New Roman" w:cs="Arial"/>
                <w:b/>
                <w:bCs/>
                <w:color w:val="FFFFFF" w:themeColor="background1"/>
                <w:sz w:val="20"/>
                <w:szCs w:val="20"/>
                <w:lang w:eastAsia="en-AU"/>
              </w:rPr>
            </w:pPr>
            <w:r w:rsidRPr="00A90356">
              <w:rPr>
                <w:rFonts w:eastAsia="Times New Roman" w:cs="Calibri"/>
                <w:b/>
                <w:bCs/>
                <w:color w:val="FFFFFF" w:themeColor="background1"/>
                <w:lang w:val="es" w:eastAsia="en-AU"/>
              </w:rPr>
              <w:t>Objetivo</w:t>
            </w:r>
          </w:p>
        </w:tc>
        <w:tc>
          <w:tcPr>
            <w:tcW w:w="816"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14303B73" w14:textId="56B259BB" w:rsidR="00C568D3" w:rsidRPr="003E3C14" w:rsidRDefault="00C568D3" w:rsidP="00CA6879">
            <w:pPr>
              <w:spacing w:after="0" w:line="240" w:lineRule="auto"/>
              <w:rPr>
                <w:rFonts w:eastAsia="Times New Roman" w:cs="Arial"/>
                <w:b/>
                <w:bCs/>
                <w:color w:val="FFFFFF" w:themeColor="background1"/>
                <w:sz w:val="20"/>
                <w:szCs w:val="20"/>
                <w:lang w:eastAsia="en-AU"/>
              </w:rPr>
            </w:pPr>
            <w:r w:rsidRPr="00BC2F9E">
              <w:rPr>
                <w:rFonts w:eastAsia="Times New Roman" w:cs="Calibri"/>
                <w:b/>
                <w:bCs/>
                <w:color w:val="FFFFFF" w:themeColor="background1"/>
                <w:lang w:val="es" w:eastAsia="en-AU"/>
              </w:rPr>
              <w:t>Completada</w:t>
            </w:r>
          </w:p>
        </w:tc>
        <w:tc>
          <w:tcPr>
            <w:tcW w:w="584"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196562AD" w14:textId="3232FB10" w:rsidR="00C568D3" w:rsidRPr="003E3C14" w:rsidRDefault="00C568D3" w:rsidP="00CA6879">
            <w:pPr>
              <w:spacing w:after="0" w:line="240" w:lineRule="auto"/>
              <w:rPr>
                <w:rFonts w:eastAsia="Times New Roman" w:cs="Arial"/>
                <w:b/>
                <w:bCs/>
                <w:color w:val="FFFFFF" w:themeColor="background1"/>
                <w:sz w:val="20"/>
                <w:szCs w:val="20"/>
                <w:lang w:eastAsia="en-AU"/>
              </w:rPr>
            </w:pPr>
            <w:r w:rsidRPr="00BC2F9E">
              <w:rPr>
                <w:rFonts w:eastAsia="Times New Roman" w:cs="Calibri"/>
                <w:b/>
                <w:bCs/>
                <w:color w:val="FFFFFF" w:themeColor="background1"/>
                <w:lang w:val="es" w:eastAsia="en-AU"/>
              </w:rPr>
              <w:t>En curso</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61874DA7" w14:textId="053D4FE5" w:rsidR="00C568D3" w:rsidRPr="003E3C14" w:rsidRDefault="00C568D3" w:rsidP="00CA6879">
            <w:pPr>
              <w:spacing w:after="0" w:line="240" w:lineRule="auto"/>
              <w:rPr>
                <w:rFonts w:eastAsia="Times New Roman" w:cs="Arial"/>
                <w:b/>
                <w:bCs/>
                <w:color w:val="FFFFFF" w:themeColor="background1"/>
                <w:sz w:val="20"/>
                <w:szCs w:val="20"/>
                <w:lang w:eastAsia="en-AU"/>
              </w:rPr>
            </w:pPr>
            <w:r w:rsidRPr="00BC2F9E">
              <w:rPr>
                <w:rFonts w:eastAsia="Times New Roman" w:cs="Calibri"/>
                <w:b/>
                <w:bCs/>
                <w:color w:val="FFFFFF" w:themeColor="background1"/>
                <w:lang w:val="es" w:eastAsia="en-AU"/>
              </w:rPr>
              <w:t>Algunas demoras</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1EBAF276" w14:textId="48E11A6E" w:rsidR="00C568D3" w:rsidRPr="003E3C14" w:rsidRDefault="00C568D3" w:rsidP="00CA6879">
            <w:pPr>
              <w:spacing w:after="0" w:line="240" w:lineRule="auto"/>
              <w:rPr>
                <w:rFonts w:eastAsia="Times New Roman" w:cs="Arial"/>
                <w:b/>
                <w:bCs/>
                <w:color w:val="FFFFFF" w:themeColor="background1"/>
                <w:sz w:val="20"/>
                <w:szCs w:val="20"/>
                <w:lang w:eastAsia="en-AU"/>
              </w:rPr>
            </w:pPr>
            <w:r w:rsidRPr="00BC2F9E">
              <w:rPr>
                <w:rFonts w:eastAsia="Times New Roman" w:cs="Calibri"/>
                <w:b/>
                <w:bCs/>
                <w:color w:val="FFFFFF" w:themeColor="background1"/>
                <w:lang w:val="es" w:eastAsia="en-AU"/>
              </w:rPr>
              <w:t>En pausa</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04F456D6" w14:textId="1CD9E6BC" w:rsidR="00C568D3" w:rsidRPr="003E3C14" w:rsidRDefault="00C568D3" w:rsidP="00CA6879">
            <w:pPr>
              <w:spacing w:after="0" w:line="240" w:lineRule="auto"/>
              <w:rPr>
                <w:rFonts w:eastAsia="Times New Roman" w:cs="Arial"/>
                <w:b/>
                <w:bCs/>
                <w:color w:val="FFFFFF" w:themeColor="background1"/>
                <w:sz w:val="20"/>
                <w:szCs w:val="20"/>
                <w:lang w:eastAsia="en-AU"/>
              </w:rPr>
            </w:pPr>
            <w:r w:rsidRPr="00BC2F9E">
              <w:rPr>
                <w:rFonts w:eastAsia="Times New Roman" w:cs="Calibri"/>
                <w:b/>
                <w:bCs/>
                <w:color w:val="FFFFFF" w:themeColor="background1"/>
                <w:lang w:val="es" w:eastAsia="en-AU"/>
              </w:rPr>
              <w:t>Inicio futuro</w:t>
            </w:r>
          </w:p>
        </w:tc>
        <w:tc>
          <w:tcPr>
            <w:tcW w:w="699"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2CB40B89" w14:textId="2D70AF07" w:rsidR="00C568D3" w:rsidRPr="003E3C14" w:rsidRDefault="00C568D3" w:rsidP="00CA6879">
            <w:pPr>
              <w:spacing w:after="0" w:line="240" w:lineRule="auto"/>
              <w:rPr>
                <w:rFonts w:eastAsia="Times New Roman" w:cs="Arial"/>
                <w:b/>
                <w:color w:val="FFFFFF" w:themeColor="background1"/>
                <w:sz w:val="20"/>
                <w:szCs w:val="20"/>
                <w:lang w:eastAsia="en-AU"/>
              </w:rPr>
            </w:pPr>
            <w:r w:rsidRPr="00BC2F9E">
              <w:rPr>
                <w:b/>
                <w:color w:val="FFFFFF" w:themeColor="background1"/>
                <w:sz w:val="20"/>
                <w:szCs w:val="20"/>
              </w:rPr>
              <w:t>Total</w:t>
            </w:r>
          </w:p>
        </w:tc>
      </w:tr>
      <w:tr w:rsidR="00C568D3" w:rsidRPr="003E3C14" w14:paraId="75A5AFA8" w14:textId="77777777" w:rsidTr="00C568D3">
        <w:trPr>
          <w:cantSplit/>
        </w:trPr>
        <w:tc>
          <w:tcPr>
            <w:tcW w:w="801" w:type="pct"/>
            <w:tcBorders>
              <w:top w:val="single" w:sz="4" w:space="0" w:color="auto"/>
            </w:tcBorders>
            <w:shd w:val="clear" w:color="auto" w:fill="auto"/>
            <w:noWrap/>
            <w:vAlign w:val="bottom"/>
            <w:hideMark/>
          </w:tcPr>
          <w:p w14:paraId="24DB55B5" w14:textId="461D5938" w:rsidR="00C568D3" w:rsidRPr="003E3C14" w:rsidRDefault="00C568D3" w:rsidP="00CA6879">
            <w:pPr>
              <w:spacing w:after="0" w:line="240" w:lineRule="auto"/>
              <w:rPr>
                <w:rFonts w:eastAsia="Times New Roman" w:cs="Arial"/>
                <w:sz w:val="20"/>
                <w:szCs w:val="20"/>
                <w:lang w:eastAsia="en-AU"/>
              </w:rPr>
            </w:pPr>
            <w:r w:rsidRPr="004810AC">
              <w:rPr>
                <w:rFonts w:eastAsia="Times New Roman" w:cs="Calibri"/>
                <w:color w:val="000000"/>
                <w:lang w:val="es" w:eastAsia="en-AU"/>
              </w:rPr>
              <w:t>Objetivo 1</w:t>
            </w:r>
          </w:p>
        </w:tc>
        <w:tc>
          <w:tcPr>
            <w:tcW w:w="816" w:type="pct"/>
            <w:tcBorders>
              <w:top w:val="single" w:sz="4" w:space="0" w:color="auto"/>
            </w:tcBorders>
            <w:shd w:val="clear" w:color="auto" w:fill="auto"/>
            <w:noWrap/>
            <w:vAlign w:val="bottom"/>
            <w:hideMark/>
          </w:tcPr>
          <w:p w14:paraId="0D73D234" w14:textId="6EDFD57D" w:rsidR="00C568D3" w:rsidRPr="003E3C14" w:rsidRDefault="00C568D3" w:rsidP="00CA6879">
            <w:pPr>
              <w:spacing w:after="0" w:line="240" w:lineRule="auto"/>
              <w:jc w:val="right"/>
              <w:rPr>
                <w:rFonts w:eastAsia="Times New Roman" w:cs="Arial"/>
                <w:sz w:val="20"/>
                <w:szCs w:val="20"/>
                <w:lang w:eastAsia="en-AU"/>
              </w:rPr>
            </w:pPr>
            <w:r w:rsidRPr="003E3C14">
              <w:rPr>
                <w:rFonts w:eastAsia="Times New Roman" w:cs="Arial"/>
                <w:sz w:val="20"/>
                <w:szCs w:val="20"/>
                <w:lang w:eastAsia="en-AU"/>
              </w:rPr>
              <w:t>6</w:t>
            </w:r>
          </w:p>
        </w:tc>
        <w:tc>
          <w:tcPr>
            <w:tcW w:w="584" w:type="pct"/>
            <w:tcBorders>
              <w:top w:val="single" w:sz="4" w:space="0" w:color="auto"/>
            </w:tcBorders>
            <w:shd w:val="clear" w:color="auto" w:fill="auto"/>
            <w:noWrap/>
            <w:vAlign w:val="bottom"/>
            <w:hideMark/>
          </w:tcPr>
          <w:p w14:paraId="2F53D960" w14:textId="62501D18" w:rsidR="00C568D3" w:rsidRPr="003E3C14" w:rsidRDefault="00C568D3" w:rsidP="00CA6879">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17</w:t>
            </w:r>
          </w:p>
        </w:tc>
        <w:tc>
          <w:tcPr>
            <w:tcW w:w="700" w:type="pct"/>
            <w:tcBorders>
              <w:top w:val="single" w:sz="4" w:space="0" w:color="auto"/>
            </w:tcBorders>
            <w:shd w:val="clear" w:color="auto" w:fill="auto"/>
            <w:noWrap/>
            <w:vAlign w:val="bottom"/>
            <w:hideMark/>
          </w:tcPr>
          <w:p w14:paraId="3EC71277" w14:textId="5C70F670" w:rsidR="00C568D3" w:rsidRPr="003E3C14" w:rsidRDefault="00C568D3" w:rsidP="00CA6879">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761C29DB" w14:textId="5EAD734F" w:rsidR="00C568D3" w:rsidRPr="003E3C14" w:rsidRDefault="00C568D3" w:rsidP="00CA6879">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317EB377" w14:textId="51019BC4" w:rsidR="00C568D3" w:rsidRPr="003E3C14" w:rsidRDefault="00C568D3" w:rsidP="00CA6879">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699" w:type="pct"/>
            <w:tcBorders>
              <w:top w:val="single" w:sz="4" w:space="0" w:color="auto"/>
            </w:tcBorders>
            <w:shd w:val="clear" w:color="auto" w:fill="auto"/>
            <w:noWrap/>
            <w:vAlign w:val="bottom"/>
            <w:hideMark/>
          </w:tcPr>
          <w:p w14:paraId="64B7AE46" w14:textId="2DBD91F6" w:rsidR="00C568D3" w:rsidRPr="003E3C14" w:rsidRDefault="00C568D3" w:rsidP="00CA6879">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24</w:t>
            </w:r>
          </w:p>
        </w:tc>
      </w:tr>
      <w:tr w:rsidR="00C568D3" w:rsidRPr="003E3C14" w14:paraId="0462DD16" w14:textId="77777777" w:rsidTr="00C568D3">
        <w:trPr>
          <w:cantSplit/>
        </w:trPr>
        <w:tc>
          <w:tcPr>
            <w:tcW w:w="801" w:type="pct"/>
            <w:shd w:val="clear" w:color="auto" w:fill="FAF9F8"/>
            <w:noWrap/>
            <w:vAlign w:val="bottom"/>
            <w:hideMark/>
          </w:tcPr>
          <w:p w14:paraId="7050C660" w14:textId="389F79A9" w:rsidR="00C568D3" w:rsidRPr="003E3C14" w:rsidRDefault="00C568D3" w:rsidP="00CA6879">
            <w:pPr>
              <w:spacing w:after="0" w:line="240" w:lineRule="auto"/>
              <w:rPr>
                <w:rFonts w:eastAsia="Times New Roman" w:cs="Arial"/>
                <w:sz w:val="20"/>
                <w:szCs w:val="20"/>
                <w:lang w:eastAsia="en-AU"/>
              </w:rPr>
            </w:pPr>
            <w:r w:rsidRPr="004810AC">
              <w:rPr>
                <w:rFonts w:eastAsia="Times New Roman" w:cs="Calibri"/>
                <w:color w:val="000000"/>
                <w:lang w:val="es" w:eastAsia="en-AU"/>
              </w:rPr>
              <w:t>Objetivo 2</w:t>
            </w:r>
          </w:p>
        </w:tc>
        <w:tc>
          <w:tcPr>
            <w:tcW w:w="816" w:type="pct"/>
            <w:shd w:val="clear" w:color="auto" w:fill="FAF9F8"/>
            <w:noWrap/>
            <w:vAlign w:val="bottom"/>
            <w:hideMark/>
          </w:tcPr>
          <w:p w14:paraId="65D744F0" w14:textId="67E7B14E" w:rsidR="00C568D3" w:rsidRPr="003E3C14" w:rsidRDefault="00C568D3" w:rsidP="00CA6879">
            <w:pPr>
              <w:spacing w:after="0" w:line="240" w:lineRule="auto"/>
              <w:jc w:val="right"/>
              <w:rPr>
                <w:rFonts w:eastAsia="Times New Roman" w:cs="Arial"/>
                <w:sz w:val="20"/>
                <w:szCs w:val="20"/>
                <w:lang w:eastAsia="en-AU"/>
              </w:rPr>
            </w:pPr>
            <w:r w:rsidRPr="003E3C14">
              <w:rPr>
                <w:rFonts w:eastAsia="Times New Roman" w:cs="Arial"/>
                <w:sz w:val="20"/>
                <w:szCs w:val="20"/>
                <w:lang w:eastAsia="en-AU"/>
              </w:rPr>
              <w:t>4</w:t>
            </w:r>
          </w:p>
        </w:tc>
        <w:tc>
          <w:tcPr>
            <w:tcW w:w="584" w:type="pct"/>
            <w:shd w:val="clear" w:color="auto" w:fill="FAF9F8"/>
            <w:noWrap/>
            <w:vAlign w:val="bottom"/>
            <w:hideMark/>
          </w:tcPr>
          <w:p w14:paraId="0E7C92F7" w14:textId="4E40AF45" w:rsidR="00C568D3" w:rsidRPr="003E3C14" w:rsidRDefault="00C568D3" w:rsidP="00CA6879">
            <w:pPr>
              <w:spacing w:after="0" w:line="240" w:lineRule="auto"/>
              <w:jc w:val="right"/>
              <w:rPr>
                <w:rFonts w:eastAsia="Times New Roman" w:cs="Arial"/>
                <w:sz w:val="20"/>
                <w:szCs w:val="20"/>
                <w:lang w:eastAsia="en-AU"/>
              </w:rPr>
            </w:pPr>
            <w:r w:rsidRPr="003E3C14">
              <w:rPr>
                <w:rFonts w:eastAsia="Times New Roman" w:cs="Arial"/>
                <w:sz w:val="20"/>
                <w:szCs w:val="20"/>
                <w:lang w:eastAsia="en-AU"/>
              </w:rPr>
              <w:t>17</w:t>
            </w:r>
          </w:p>
        </w:tc>
        <w:tc>
          <w:tcPr>
            <w:tcW w:w="700" w:type="pct"/>
            <w:shd w:val="clear" w:color="auto" w:fill="FAF9F8"/>
            <w:noWrap/>
            <w:vAlign w:val="bottom"/>
            <w:hideMark/>
          </w:tcPr>
          <w:p w14:paraId="5C1ED729" w14:textId="28C95529" w:rsidR="00C568D3" w:rsidRPr="003E3C14" w:rsidRDefault="00C568D3" w:rsidP="00CA6879">
            <w:pPr>
              <w:spacing w:after="0" w:line="240" w:lineRule="auto"/>
              <w:jc w:val="right"/>
              <w:rPr>
                <w:rFonts w:eastAsia="Times New Roman" w:cs="Arial"/>
                <w:sz w:val="20"/>
                <w:szCs w:val="20"/>
                <w:lang w:eastAsia="en-AU"/>
              </w:rPr>
            </w:pPr>
            <w:r w:rsidRPr="003E3C14">
              <w:rPr>
                <w:rFonts w:eastAsia="Times New Roman" w:cs="Arial"/>
                <w:sz w:val="20"/>
                <w:szCs w:val="20"/>
                <w:lang w:eastAsia="en-AU"/>
              </w:rPr>
              <w:t>2</w:t>
            </w:r>
          </w:p>
        </w:tc>
        <w:tc>
          <w:tcPr>
            <w:tcW w:w="700" w:type="pct"/>
            <w:shd w:val="clear" w:color="auto" w:fill="FAF9F8"/>
            <w:noWrap/>
            <w:vAlign w:val="bottom"/>
            <w:hideMark/>
          </w:tcPr>
          <w:p w14:paraId="26311A09" w14:textId="531FF471" w:rsidR="00C568D3" w:rsidRPr="003E3C14" w:rsidRDefault="00C568D3" w:rsidP="00CA6879">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700" w:type="pct"/>
            <w:shd w:val="clear" w:color="auto" w:fill="FAF9F8"/>
            <w:noWrap/>
            <w:vAlign w:val="bottom"/>
            <w:hideMark/>
          </w:tcPr>
          <w:p w14:paraId="44C09274" w14:textId="466FC992" w:rsidR="00C568D3" w:rsidRPr="003E3C14" w:rsidRDefault="00C568D3" w:rsidP="00CA6879">
            <w:pPr>
              <w:spacing w:after="0" w:line="240" w:lineRule="auto"/>
              <w:jc w:val="right"/>
              <w:rPr>
                <w:rFonts w:eastAsia="Times New Roman" w:cs="Arial"/>
                <w:sz w:val="20"/>
                <w:szCs w:val="20"/>
                <w:lang w:eastAsia="en-AU"/>
              </w:rPr>
            </w:pPr>
            <w:r w:rsidRPr="003E3C14">
              <w:rPr>
                <w:rFonts w:eastAsia="Times New Roman" w:cs="Arial"/>
                <w:sz w:val="20"/>
                <w:szCs w:val="20"/>
                <w:lang w:eastAsia="en-AU"/>
              </w:rPr>
              <w:t>0</w:t>
            </w:r>
          </w:p>
        </w:tc>
        <w:tc>
          <w:tcPr>
            <w:tcW w:w="699" w:type="pct"/>
            <w:shd w:val="clear" w:color="auto" w:fill="FAF9F8"/>
            <w:noWrap/>
            <w:vAlign w:val="bottom"/>
            <w:hideMark/>
          </w:tcPr>
          <w:p w14:paraId="2ABF350C" w14:textId="6B892149" w:rsidR="00C568D3" w:rsidRPr="003E3C14" w:rsidRDefault="00C568D3" w:rsidP="00CA6879">
            <w:pPr>
              <w:spacing w:after="0" w:line="240" w:lineRule="auto"/>
              <w:jc w:val="right"/>
              <w:rPr>
                <w:rFonts w:eastAsia="Times New Roman" w:cs="Arial"/>
                <w:color w:val="000000"/>
                <w:sz w:val="20"/>
                <w:szCs w:val="20"/>
                <w:lang w:eastAsia="en-AU"/>
              </w:rPr>
            </w:pPr>
            <w:r w:rsidRPr="003E3C14">
              <w:rPr>
                <w:rFonts w:eastAsia="Times New Roman" w:cs="Arial"/>
                <w:color w:val="000000"/>
                <w:sz w:val="20"/>
                <w:szCs w:val="20"/>
                <w:lang w:eastAsia="en-AU"/>
              </w:rPr>
              <w:t>23</w:t>
            </w:r>
          </w:p>
        </w:tc>
      </w:tr>
      <w:tr w:rsidR="00CA6879" w:rsidRPr="003E3C14" w14:paraId="6BE967BA" w14:textId="77777777" w:rsidTr="00C568D3">
        <w:trPr>
          <w:cantSplit/>
        </w:trPr>
        <w:tc>
          <w:tcPr>
            <w:tcW w:w="801" w:type="pct"/>
            <w:shd w:val="clear" w:color="auto" w:fill="E4E9F3"/>
            <w:noWrap/>
            <w:vAlign w:val="bottom"/>
            <w:hideMark/>
          </w:tcPr>
          <w:p w14:paraId="6F51DEF0" w14:textId="5AB00136" w:rsidR="00CA6879" w:rsidRPr="003E3C14" w:rsidRDefault="009939F8" w:rsidP="00CA6879">
            <w:pPr>
              <w:spacing w:after="0" w:line="240" w:lineRule="auto"/>
              <w:rPr>
                <w:rFonts w:eastAsia="Times New Roman" w:cs="Arial"/>
                <w:b/>
                <w:sz w:val="20"/>
                <w:szCs w:val="20"/>
                <w:lang w:eastAsia="en-AU"/>
              </w:rPr>
            </w:pPr>
            <w:r w:rsidRPr="003E3C14">
              <w:rPr>
                <w:b/>
                <w:sz w:val="20"/>
                <w:szCs w:val="20"/>
              </w:rPr>
              <w:t>Total</w:t>
            </w:r>
          </w:p>
        </w:tc>
        <w:tc>
          <w:tcPr>
            <w:tcW w:w="816" w:type="pct"/>
            <w:shd w:val="clear" w:color="auto" w:fill="E4E9F3"/>
            <w:noWrap/>
            <w:vAlign w:val="bottom"/>
            <w:hideMark/>
          </w:tcPr>
          <w:p w14:paraId="32E29AEB" w14:textId="4A12B482" w:rsidR="00CA6879" w:rsidRPr="003E3C14" w:rsidRDefault="00CA6879" w:rsidP="00CA6879">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10</w:t>
            </w:r>
          </w:p>
        </w:tc>
        <w:tc>
          <w:tcPr>
            <w:tcW w:w="584" w:type="pct"/>
            <w:shd w:val="clear" w:color="auto" w:fill="E4E9F3"/>
            <w:noWrap/>
            <w:vAlign w:val="bottom"/>
            <w:hideMark/>
          </w:tcPr>
          <w:p w14:paraId="3A5DFB6B" w14:textId="0589B827" w:rsidR="00CA6879" w:rsidRPr="003E3C14" w:rsidRDefault="00CA6879" w:rsidP="00CA6879">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34</w:t>
            </w:r>
          </w:p>
        </w:tc>
        <w:tc>
          <w:tcPr>
            <w:tcW w:w="700" w:type="pct"/>
            <w:shd w:val="clear" w:color="auto" w:fill="E4E9F3"/>
            <w:noWrap/>
            <w:vAlign w:val="bottom"/>
            <w:hideMark/>
          </w:tcPr>
          <w:p w14:paraId="42830DBD" w14:textId="01BF489F" w:rsidR="00CA6879" w:rsidRPr="003E3C14" w:rsidRDefault="00CA6879" w:rsidP="00CA6879">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3</w:t>
            </w:r>
          </w:p>
        </w:tc>
        <w:tc>
          <w:tcPr>
            <w:tcW w:w="700" w:type="pct"/>
            <w:shd w:val="clear" w:color="auto" w:fill="E4E9F3"/>
            <w:noWrap/>
            <w:vAlign w:val="bottom"/>
            <w:hideMark/>
          </w:tcPr>
          <w:p w14:paraId="38B2EBA5" w14:textId="35040E95" w:rsidR="00CA6879" w:rsidRPr="003E3C14" w:rsidRDefault="00CA6879" w:rsidP="00CA6879">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0</w:t>
            </w:r>
          </w:p>
        </w:tc>
        <w:tc>
          <w:tcPr>
            <w:tcW w:w="700" w:type="pct"/>
            <w:shd w:val="clear" w:color="auto" w:fill="E4E9F3"/>
            <w:noWrap/>
            <w:vAlign w:val="bottom"/>
            <w:hideMark/>
          </w:tcPr>
          <w:p w14:paraId="4306E691" w14:textId="3EEA6140" w:rsidR="00CA6879" w:rsidRPr="003E3C14" w:rsidRDefault="00CA6879" w:rsidP="00CA6879">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0</w:t>
            </w:r>
          </w:p>
        </w:tc>
        <w:tc>
          <w:tcPr>
            <w:tcW w:w="699" w:type="pct"/>
            <w:shd w:val="clear" w:color="auto" w:fill="E4E9F3"/>
            <w:noWrap/>
            <w:vAlign w:val="bottom"/>
            <w:hideMark/>
          </w:tcPr>
          <w:p w14:paraId="7AC82968" w14:textId="15C2F87A" w:rsidR="00CA6879" w:rsidRPr="003E3C14" w:rsidRDefault="00CA6879" w:rsidP="00CA6879">
            <w:pPr>
              <w:spacing w:after="0" w:line="240" w:lineRule="auto"/>
              <w:jc w:val="right"/>
              <w:rPr>
                <w:rFonts w:eastAsia="Times New Roman" w:cs="Arial"/>
                <w:b/>
                <w:color w:val="000000"/>
                <w:sz w:val="20"/>
                <w:szCs w:val="20"/>
                <w:lang w:eastAsia="en-AU"/>
              </w:rPr>
            </w:pPr>
            <w:r w:rsidRPr="003E3C14">
              <w:rPr>
                <w:rFonts w:eastAsia="Times New Roman" w:cs="Arial"/>
                <w:b/>
                <w:color w:val="000000"/>
                <w:sz w:val="20"/>
                <w:szCs w:val="20"/>
                <w:lang w:eastAsia="en-AU"/>
              </w:rPr>
              <w:t>47</w:t>
            </w:r>
          </w:p>
        </w:tc>
      </w:tr>
    </w:tbl>
    <w:p w14:paraId="48ADB28E" w14:textId="0AE1FA6A" w:rsidR="00B12B54" w:rsidRPr="003E3C14" w:rsidRDefault="00B12B54">
      <w:r w:rsidRPr="003E3C14">
        <w:br w:type="page"/>
      </w:r>
    </w:p>
    <w:p w14:paraId="15D53C43" w14:textId="6BFEA9EF" w:rsidR="00C62233" w:rsidRPr="003E3C14" w:rsidRDefault="00D57EDE" w:rsidP="003F7BC7">
      <w:pPr>
        <w:pStyle w:val="Heading1"/>
      </w:pPr>
      <w:bookmarkStart w:id="29" w:name="_Toc153314044"/>
      <w:r w:rsidRPr="00501ED4">
        <w:rPr>
          <w:rFonts w:cs="Arial"/>
          <w:lang w:val="es-ES"/>
        </w:rPr>
        <w:lastRenderedPageBreak/>
        <w:t>Acciones en la práctica</w:t>
      </w:r>
      <w:bookmarkEnd w:id="29"/>
    </w:p>
    <w:p w14:paraId="3271941A" w14:textId="77777777" w:rsidR="00D57EDE" w:rsidRPr="00501ED4" w:rsidRDefault="00D57EDE" w:rsidP="00D57EDE">
      <w:pPr>
        <w:spacing w:before="240" w:after="240"/>
        <w:rPr>
          <w:rFonts w:cs="Arial"/>
          <w:lang w:val="es-ES"/>
        </w:rPr>
      </w:pPr>
      <w:r w:rsidRPr="00501ED4">
        <w:rPr>
          <w:rFonts w:cs="Arial"/>
          <w:lang w:val="es-ES"/>
        </w:rPr>
        <w:t xml:space="preserve">Todos los gobiernos trabajaron durante el período del informe para avanzar aún más las acciones incluidas en los TAP. </w:t>
      </w:r>
    </w:p>
    <w:p w14:paraId="4D50DE6B" w14:textId="4A4B6C22" w:rsidR="00D57EDE" w:rsidRPr="003E3C14" w:rsidRDefault="00D57EDE" w:rsidP="00D57EDE">
      <w:pPr>
        <w:spacing w:before="240" w:after="240"/>
        <w:rPr>
          <w:rFonts w:cs="Arial"/>
          <w:sz w:val="20"/>
          <w:szCs w:val="20"/>
        </w:rPr>
      </w:pPr>
      <w:r w:rsidRPr="00501ED4">
        <w:rPr>
          <w:rFonts w:cs="Arial"/>
          <w:lang w:val="es-ES"/>
        </w:rPr>
        <w:t>En la siguiente sección, se proporcionan ejemplos seleccionados de cada TAP y de cada gobierno, respecto de las actividades logradas y la forma en la que estas acciones contribuyen a mejorar los resultados para las personas con discapacidad.</w:t>
      </w:r>
    </w:p>
    <w:p w14:paraId="66B0D314" w14:textId="364F4688" w:rsidR="00D1030A" w:rsidRPr="003E3C14" w:rsidRDefault="00D1030A" w:rsidP="00D57EDE">
      <w:pPr>
        <w:spacing w:before="240" w:after="240"/>
        <w:rPr>
          <w:rFonts w:cs="Arial"/>
          <w:sz w:val="20"/>
          <w:szCs w:val="20"/>
        </w:rPr>
      </w:pPr>
      <w:r w:rsidRPr="003E3C14">
        <w:rPr>
          <w:rFonts w:cs="Arial"/>
          <w:sz w:val="20"/>
          <w:szCs w:val="20"/>
        </w:rPr>
        <w:br w:type="page"/>
      </w:r>
    </w:p>
    <w:p w14:paraId="64ADD195" w14:textId="4BE33F59" w:rsidR="00D1030A" w:rsidRPr="003E3C14" w:rsidRDefault="00855497" w:rsidP="00515A1C">
      <w:pPr>
        <w:pStyle w:val="Heading2"/>
      </w:pPr>
      <w:bookmarkStart w:id="30" w:name="_Toc153314045"/>
      <w:r w:rsidRPr="00501ED4">
        <w:rPr>
          <w:rFonts w:cs="Arial"/>
          <w:lang w:val="es-ES"/>
        </w:rPr>
        <w:lastRenderedPageBreak/>
        <w:t>Empleados con discapacidad en el sector público de Queensland</w:t>
      </w:r>
      <w:bookmarkEnd w:id="30"/>
      <w:r w:rsidR="00D1030A" w:rsidRPr="003E3C14">
        <w:t xml:space="preserve"> </w:t>
      </w:r>
    </w:p>
    <w:p w14:paraId="56F18DD6" w14:textId="77777777" w:rsidR="00855497" w:rsidRPr="00501ED4" w:rsidRDefault="00855497" w:rsidP="00855497">
      <w:pPr>
        <w:spacing w:before="240" w:after="240" w:line="240" w:lineRule="auto"/>
        <w:rPr>
          <w:rFonts w:cs="Arial"/>
          <w:b/>
          <w:lang w:val="es-ES"/>
        </w:rPr>
      </w:pPr>
      <w:r w:rsidRPr="00501ED4">
        <w:rPr>
          <w:rFonts w:cs="Arial"/>
          <w:b/>
          <w:lang w:val="es-ES"/>
        </w:rPr>
        <w:t xml:space="preserve">Jurisdicción: </w:t>
      </w:r>
      <w:r w:rsidRPr="00501ED4">
        <w:rPr>
          <w:rFonts w:cs="Arial"/>
          <w:lang w:val="es-ES"/>
        </w:rPr>
        <w:t>Queensland</w:t>
      </w:r>
    </w:p>
    <w:p w14:paraId="0BDB3CDD" w14:textId="77777777" w:rsidR="00855497" w:rsidRPr="00501ED4" w:rsidRDefault="00855497" w:rsidP="00855497">
      <w:pPr>
        <w:spacing w:before="240" w:after="240" w:line="240" w:lineRule="auto"/>
        <w:rPr>
          <w:rFonts w:cs="Arial"/>
          <w:b/>
          <w:lang w:val="es-ES"/>
        </w:rPr>
      </w:pPr>
      <w:r w:rsidRPr="00501ED4">
        <w:rPr>
          <w:rFonts w:cs="Arial"/>
          <w:b/>
          <w:lang w:val="es-ES"/>
        </w:rPr>
        <w:t xml:space="preserve">Plan de Acción Específica: </w:t>
      </w:r>
      <w:r w:rsidRPr="00501ED4">
        <w:rPr>
          <w:rFonts w:cs="Arial"/>
          <w:lang w:val="es-ES"/>
        </w:rPr>
        <w:t>Empleo</w:t>
      </w:r>
    </w:p>
    <w:p w14:paraId="74BA8FE5" w14:textId="77777777" w:rsidR="00855497" w:rsidRPr="00501ED4" w:rsidRDefault="00855497" w:rsidP="00855497">
      <w:pPr>
        <w:spacing w:before="240" w:after="240" w:line="240" w:lineRule="auto"/>
        <w:rPr>
          <w:rFonts w:cs="Arial"/>
          <w:b/>
          <w:lang w:val="es-ES"/>
        </w:rPr>
      </w:pPr>
      <w:r w:rsidRPr="00501ED4">
        <w:rPr>
          <w:rFonts w:cs="Arial"/>
          <w:b/>
          <w:lang w:val="es-ES"/>
        </w:rPr>
        <w:t xml:space="preserve">Objetivo del TAP: </w:t>
      </w:r>
      <w:r w:rsidRPr="00501ED4">
        <w:rPr>
          <w:rFonts w:cs="Arial"/>
          <w:lang w:val="es-ES"/>
        </w:rPr>
        <w:t>1. Aumento del empleo de personas con discapacidad.</w:t>
      </w:r>
    </w:p>
    <w:p w14:paraId="342F4B70" w14:textId="77777777" w:rsidR="00855497" w:rsidRPr="00501ED4" w:rsidRDefault="00855497" w:rsidP="00855497">
      <w:pPr>
        <w:spacing w:before="240" w:after="240" w:line="240" w:lineRule="auto"/>
        <w:rPr>
          <w:rFonts w:cs="Arial"/>
          <w:b/>
          <w:lang w:val="es-ES"/>
        </w:rPr>
      </w:pPr>
      <w:r w:rsidRPr="00501ED4">
        <w:rPr>
          <w:rFonts w:cs="Arial"/>
          <w:b/>
          <w:lang w:val="es-ES"/>
        </w:rPr>
        <w:t>Acción:</w:t>
      </w:r>
      <w:r w:rsidRPr="00501ED4">
        <w:rPr>
          <w:rFonts w:cs="Arial"/>
          <w:lang w:val="es-ES"/>
        </w:rPr>
        <w:t xml:space="preserve"> 1.4 Llevar a cabo el próximo plan estatal de discapacidad en colaboración con el Grupo de Trabajo de Queensland, incorporando un enfoque en oportunidades de empleo para personas con discapacidad.</w:t>
      </w:r>
    </w:p>
    <w:p w14:paraId="156DDC49" w14:textId="77777777" w:rsidR="00855497" w:rsidRPr="00501ED4" w:rsidRDefault="00855497" w:rsidP="00855497">
      <w:pPr>
        <w:spacing w:before="240" w:after="240" w:line="240" w:lineRule="auto"/>
        <w:rPr>
          <w:rFonts w:cs="Arial"/>
          <w:b/>
          <w:lang w:val="es-ES"/>
        </w:rPr>
      </w:pPr>
      <w:r w:rsidRPr="00501ED4">
        <w:rPr>
          <w:rFonts w:cs="Arial"/>
          <w:b/>
          <w:lang w:val="es-ES"/>
        </w:rPr>
        <w:t xml:space="preserve">Indicador: </w:t>
      </w:r>
    </w:p>
    <w:p w14:paraId="32A892C5" w14:textId="77777777" w:rsidR="00855497" w:rsidRPr="00501ED4" w:rsidRDefault="00855497" w:rsidP="00855497">
      <w:pPr>
        <w:pStyle w:val="ListParagraph"/>
        <w:numPr>
          <w:ilvl w:val="0"/>
          <w:numId w:val="8"/>
        </w:numPr>
        <w:spacing w:after="120" w:line="240" w:lineRule="auto"/>
        <w:contextualSpacing w:val="0"/>
        <w:rPr>
          <w:rFonts w:cs="Arial"/>
          <w:lang w:val="es-ES"/>
        </w:rPr>
      </w:pPr>
      <w:r w:rsidRPr="00501ED4">
        <w:rPr>
          <w:rFonts w:cs="Arial"/>
          <w:lang w:val="es-ES"/>
        </w:rPr>
        <w:t>El nuevo plan de discapacidad estatal contiene un enfoque en oportunidades de empleo para personas con discapacidad</w:t>
      </w:r>
      <w:r>
        <w:rPr>
          <w:rFonts w:cs="Arial"/>
          <w:lang w:val="es-ES"/>
        </w:rPr>
        <w:t>.</w:t>
      </w:r>
    </w:p>
    <w:p w14:paraId="08135687" w14:textId="77777777" w:rsidR="00855497" w:rsidRPr="00501ED4" w:rsidRDefault="00855497" w:rsidP="00855497">
      <w:pPr>
        <w:pStyle w:val="ListParagraph"/>
        <w:numPr>
          <w:ilvl w:val="0"/>
          <w:numId w:val="8"/>
        </w:numPr>
        <w:spacing w:after="120" w:line="240" w:lineRule="auto"/>
        <w:contextualSpacing w:val="0"/>
        <w:rPr>
          <w:rFonts w:cs="Arial"/>
          <w:lang w:val="es-ES"/>
        </w:rPr>
      </w:pPr>
      <w:r w:rsidRPr="00501ED4">
        <w:rPr>
          <w:rFonts w:cs="Arial"/>
          <w:lang w:val="es-ES"/>
        </w:rPr>
        <w:t>Proporción de habitantes de Queensland con discapacidad que son parte de los aumentos de empleo, tanto dentro del sector público como del privado, en todo Queensland.</w:t>
      </w:r>
    </w:p>
    <w:p w14:paraId="68EB2D0B" w14:textId="77777777" w:rsidR="00855497" w:rsidRPr="00501ED4" w:rsidRDefault="00855497" w:rsidP="00855497">
      <w:pPr>
        <w:spacing w:before="240" w:after="240" w:line="240" w:lineRule="auto"/>
        <w:rPr>
          <w:rFonts w:cs="Arial"/>
          <w:b/>
          <w:lang w:val="es-ES"/>
        </w:rPr>
      </w:pPr>
      <w:r w:rsidRPr="00501ED4">
        <w:rPr>
          <w:rFonts w:cs="Arial"/>
          <w:b/>
          <w:lang w:val="es-ES"/>
        </w:rPr>
        <w:t xml:space="preserve">Estado: </w:t>
      </w:r>
      <w:r w:rsidRPr="00501ED4">
        <w:rPr>
          <w:rFonts w:cs="Arial"/>
          <w:lang w:val="es-ES"/>
        </w:rPr>
        <w:t>Completad</w:t>
      </w:r>
      <w:r>
        <w:rPr>
          <w:rFonts w:cs="Arial"/>
          <w:lang w:val="es-ES"/>
        </w:rPr>
        <w:t>a</w:t>
      </w:r>
    </w:p>
    <w:p w14:paraId="212BDB16" w14:textId="77777777" w:rsidR="00855497" w:rsidRPr="00501ED4" w:rsidRDefault="00855497" w:rsidP="00855497">
      <w:pPr>
        <w:spacing w:before="240" w:after="240" w:line="240" w:lineRule="auto"/>
        <w:rPr>
          <w:rFonts w:cs="Arial"/>
          <w:b/>
          <w:lang w:val="es-ES"/>
        </w:rPr>
      </w:pPr>
      <w:r w:rsidRPr="00501ED4">
        <w:rPr>
          <w:rFonts w:cs="Arial"/>
          <w:b/>
          <w:lang w:val="es-ES"/>
        </w:rPr>
        <w:t>Descripción:</w:t>
      </w:r>
    </w:p>
    <w:p w14:paraId="2A809789" w14:textId="77777777" w:rsidR="00855497" w:rsidRPr="00501ED4" w:rsidRDefault="00855497" w:rsidP="00855497">
      <w:pPr>
        <w:spacing w:before="240" w:after="240" w:line="240" w:lineRule="auto"/>
        <w:rPr>
          <w:rFonts w:cs="Arial"/>
          <w:lang w:val="es-ES"/>
        </w:rPr>
      </w:pPr>
      <w:r w:rsidRPr="00501ED4">
        <w:rPr>
          <w:lang w:val="es-ES"/>
        </w:rPr>
        <w:t xml:space="preserve">El </w:t>
      </w:r>
      <w:hyperlink r:id="rId18" w:history="1">
        <w:r w:rsidRPr="00501ED4">
          <w:rPr>
            <w:rStyle w:val="Hyperlink"/>
            <w:rFonts w:eastAsia="Times New Roman" w:cs="Arial"/>
            <w:i/>
            <w:iCs/>
            <w:lang w:val="es-ES" w:eastAsia="en-AU"/>
          </w:rPr>
          <w:t>Plan de Discapacidad de Queensland 2022-27: Juntos, un mejor Queensland (Queensland's Disability Plan 2022-27: Together, a better Queensland</w:t>
        </w:r>
      </w:hyperlink>
      <w:r w:rsidRPr="00501ED4">
        <w:rPr>
          <w:rStyle w:val="Hyperlink"/>
          <w:rFonts w:eastAsia="Times New Roman" w:cs="Arial"/>
          <w:i/>
          <w:iCs/>
          <w:lang w:val="es-ES" w:eastAsia="en-AU"/>
        </w:rPr>
        <w:t>)</w:t>
      </w:r>
      <w:r w:rsidRPr="00501ED4">
        <w:rPr>
          <w:rFonts w:eastAsia="Times New Roman" w:cs="Arial"/>
          <w:b/>
          <w:bCs/>
          <w:i/>
          <w:iCs/>
          <w:lang w:val="es-ES" w:eastAsia="en-AU"/>
        </w:rPr>
        <w:t xml:space="preserve"> </w:t>
      </w:r>
      <w:r w:rsidRPr="00501ED4">
        <w:rPr>
          <w:rFonts w:cs="Arial"/>
          <w:lang w:val="es-ES"/>
        </w:rPr>
        <w:t xml:space="preserve">(QDP) se lanzó en noviembre de 2022. El QDP es el mecanismo general para implementar los compromisos de Queensland según la </w:t>
      </w:r>
      <w:r w:rsidRPr="00501ED4">
        <w:rPr>
          <w:rFonts w:cs="Arial"/>
          <w:i/>
          <w:iCs/>
          <w:lang w:val="es-ES"/>
        </w:rPr>
        <w:t>Estrategia para la Discapacidad de Australia</w:t>
      </w:r>
      <w:r w:rsidRPr="00501ED4">
        <w:rPr>
          <w:rFonts w:cs="Arial"/>
          <w:lang w:val="es-ES"/>
        </w:rPr>
        <w:t xml:space="preserve"> </w:t>
      </w:r>
      <w:r w:rsidRPr="00501ED4">
        <w:rPr>
          <w:rFonts w:cs="Arial"/>
          <w:i/>
          <w:lang w:val="es-ES"/>
        </w:rPr>
        <w:t>2021-2031</w:t>
      </w:r>
      <w:r w:rsidRPr="00501ED4">
        <w:rPr>
          <w:rFonts w:cs="Arial"/>
          <w:lang w:val="es-ES"/>
        </w:rPr>
        <w:t xml:space="preserve"> (ADS) y fue diseñado en colaboración con personas con discapacidad.</w:t>
      </w:r>
    </w:p>
    <w:p w14:paraId="2242339F" w14:textId="77777777" w:rsidR="00855497" w:rsidRPr="00501ED4" w:rsidRDefault="00855497" w:rsidP="00855497">
      <w:pPr>
        <w:spacing w:before="240" w:after="240" w:line="240" w:lineRule="auto"/>
        <w:rPr>
          <w:rFonts w:eastAsia="Times New Roman" w:cs="Arial"/>
          <w:lang w:val="es-ES" w:eastAsia="en-AU"/>
        </w:rPr>
      </w:pPr>
      <w:r w:rsidRPr="00501ED4">
        <w:rPr>
          <w:rFonts w:eastAsia="Times New Roman" w:cs="Arial"/>
          <w:lang w:val="es-ES" w:eastAsia="en-AU"/>
        </w:rPr>
        <w:t xml:space="preserve">El QDP adopta siete áreas de resultados de la ADS y es un llamado a la acción en todos los niveles de gobierno, la industria y la comunidad para ampliar el compromiso con un Queensland inclusivo. </w:t>
      </w:r>
    </w:p>
    <w:p w14:paraId="60C30DDC" w14:textId="77777777" w:rsidR="00855497" w:rsidRPr="00501ED4" w:rsidRDefault="00855497" w:rsidP="00855497">
      <w:pPr>
        <w:spacing w:before="240" w:after="240" w:line="240" w:lineRule="auto"/>
        <w:rPr>
          <w:rFonts w:eastAsia="Times New Roman" w:cs="Arial"/>
          <w:lang w:val="es-ES" w:eastAsia="en-AU"/>
        </w:rPr>
      </w:pPr>
      <w:r w:rsidRPr="00501ED4">
        <w:rPr>
          <w:rFonts w:eastAsia="Times New Roman" w:cs="Arial"/>
          <w:lang w:val="es-ES" w:eastAsia="en-AU"/>
        </w:rPr>
        <w:t>El Gobierno de Queensland se compromete a llevar a cabo sus acciones según Planes de Acción Específica individuales para mejorar el acceso a la educación, el empleo, la vivienda adecuada y una sociedad sin barreras ni estigmas.</w:t>
      </w:r>
    </w:p>
    <w:p w14:paraId="35F7AC7B" w14:textId="77777777" w:rsidR="00855497" w:rsidRPr="00501ED4" w:rsidRDefault="00855497" w:rsidP="00855497">
      <w:pPr>
        <w:spacing w:before="240" w:after="240" w:line="240" w:lineRule="auto"/>
        <w:rPr>
          <w:rFonts w:eastAsia="Times New Roman" w:cs="Arial"/>
          <w:lang w:val="es-ES" w:eastAsia="en-AU"/>
        </w:rPr>
      </w:pPr>
      <w:r w:rsidRPr="00501ED4">
        <w:rPr>
          <w:rFonts w:eastAsia="Times New Roman" w:cs="Arial"/>
          <w:lang w:val="es-ES" w:eastAsia="en-AU"/>
        </w:rPr>
        <w:t>El QDP guía el desarrollo de los Planes del Servicio de Discapacidad (DSP) de los departamentos. Cada director ejecutivo departamental de Queensland tiene la obligación legal de desarrollar un DSP. El QDP reconoce que, además de tener lugares de trabajo y centros de servicio inclusivos, el sector no gubernamental también puede considerar el desarrollo de planes de acción para la discapacidad, para informar sobre logros y tasas de empleo de personas con discapacidad.</w:t>
      </w:r>
    </w:p>
    <w:p w14:paraId="79A0B250" w14:textId="77777777" w:rsidR="00855497" w:rsidRPr="003E7607" w:rsidRDefault="00855497" w:rsidP="00855497">
      <w:pPr>
        <w:spacing w:before="240" w:after="240" w:line="240" w:lineRule="auto"/>
        <w:rPr>
          <w:rFonts w:eastAsia="Times New Roman" w:cs="Arial"/>
          <w:lang w:val="es-ES" w:eastAsia="en-AU"/>
        </w:rPr>
      </w:pPr>
      <w:r w:rsidRPr="00501ED4">
        <w:rPr>
          <w:rFonts w:eastAsia="Times New Roman" w:cs="Arial"/>
          <w:lang w:val="es-ES" w:eastAsia="en-AU"/>
        </w:rPr>
        <w:t xml:space="preserve">Un informe del progreso se publicará anualmente. Hacia el final del período de </w:t>
      </w:r>
      <w:r w:rsidRPr="003E7607">
        <w:rPr>
          <w:rFonts w:eastAsia="Times New Roman" w:cs="Arial"/>
          <w:lang w:val="es-ES" w:eastAsia="en-AU"/>
        </w:rPr>
        <w:t>cinco años, el QDP se evaluará en términos de impacto y efecto.</w:t>
      </w:r>
    </w:p>
    <w:p w14:paraId="7828F951" w14:textId="24E599C8" w:rsidR="00855497" w:rsidRPr="00855497" w:rsidRDefault="00855497" w:rsidP="00855497">
      <w:pPr>
        <w:spacing w:before="240" w:after="240" w:line="240" w:lineRule="auto"/>
      </w:pPr>
      <w:r w:rsidRPr="00855497">
        <w:rPr>
          <w:rFonts w:cs="Arial"/>
          <w:bCs/>
          <w:lang w:val="es-ES" w:eastAsia="en-AU"/>
        </w:rPr>
        <w:t xml:space="preserve">En junio de 2023, Queensland fue sede del foro jurisdiccional inaugural de la </w:t>
      </w:r>
      <w:r w:rsidRPr="00855497">
        <w:rPr>
          <w:rFonts w:cs="Arial"/>
          <w:bCs/>
          <w:i/>
          <w:iCs/>
          <w:lang w:val="es-ES" w:eastAsia="en-AU"/>
        </w:rPr>
        <w:t>Estrategia para la Discapacidad de Australia</w:t>
      </w:r>
      <w:r w:rsidRPr="00855497">
        <w:rPr>
          <w:rFonts w:cs="Arial"/>
          <w:bCs/>
          <w:lang w:val="es-ES" w:eastAsia="en-AU"/>
        </w:rPr>
        <w:t xml:space="preserve"> titulado </w:t>
      </w:r>
      <w:hyperlink r:id="rId19" w:history="1">
        <w:r w:rsidRPr="00855497">
          <w:rPr>
            <w:rStyle w:val="Hyperlink"/>
            <w:rFonts w:cs="Arial"/>
            <w:bCs w:val="0"/>
            <w:lang w:val="es-ES" w:eastAsia="en-AU"/>
          </w:rPr>
          <w:t>“</w:t>
        </w:r>
        <w:r w:rsidRPr="00855497">
          <w:rPr>
            <w:rStyle w:val="Hyperlink"/>
            <w:rFonts w:cs="Arial"/>
            <w:bCs w:val="0"/>
            <w:i/>
            <w:iCs/>
            <w:lang w:val="es-ES" w:eastAsia="en-AU"/>
          </w:rPr>
          <w:t>Juntos hacemos un Queensland inclusivo</w:t>
        </w:r>
        <w:proofErr w:type="gramStart"/>
        <w:r w:rsidRPr="00855497">
          <w:rPr>
            <w:rStyle w:val="Hyperlink"/>
            <w:rFonts w:cs="Arial"/>
            <w:bCs w:val="0"/>
            <w:i/>
            <w:iCs/>
            <w:lang w:val="es-ES" w:eastAsia="en-AU"/>
          </w:rPr>
          <w:t>”(</w:t>
        </w:r>
        <w:proofErr w:type="gramEnd"/>
        <w:r w:rsidRPr="00855497">
          <w:rPr>
            <w:rStyle w:val="Hyperlink"/>
            <w:rFonts w:cs="Arial"/>
            <w:bCs w:val="0"/>
            <w:i/>
            <w:iCs/>
            <w:lang w:val="es-ES" w:eastAsia="en-AU"/>
          </w:rPr>
          <w:t>Together making an inclusive Queensland)</w:t>
        </w:r>
        <w:r w:rsidRPr="00855497">
          <w:rPr>
            <w:rStyle w:val="Hyperlink"/>
            <w:rFonts w:cs="Arial"/>
            <w:bCs w:val="0"/>
            <w:lang w:val="es-ES" w:eastAsia="en-AU"/>
          </w:rPr>
          <w:t>.</w:t>
        </w:r>
      </w:hyperlink>
      <w:r w:rsidRPr="00855497">
        <w:rPr>
          <w:rFonts w:cs="Arial"/>
          <w:lang w:val="es-ES" w:eastAsia="en-AU"/>
        </w:rPr>
        <w:t xml:space="preserve"> </w:t>
      </w:r>
      <w:r w:rsidRPr="00855497">
        <w:rPr>
          <w:rFonts w:cs="Arial"/>
          <w:bCs/>
          <w:lang w:val="es-ES" w:eastAsia="en-AU"/>
        </w:rPr>
        <w:t xml:space="preserve">El foro promovió la ADS y el </w:t>
      </w:r>
      <w:r w:rsidRPr="00855497">
        <w:rPr>
          <w:rFonts w:cs="Arial"/>
          <w:bCs/>
          <w:lang w:val="es-ES" w:eastAsia="en-AU"/>
        </w:rPr>
        <w:lastRenderedPageBreak/>
        <w:t>QDP, a través de la facilitación de conversaciones en paneles centradas en el empleo y la inclusión en acción, con asistentes del sector de la discapacidad, la industria en general, el gobierno y la comunidad.</w:t>
      </w:r>
    </w:p>
    <w:p w14:paraId="111DA4BD" w14:textId="4416B5A5" w:rsidR="00F60B29" w:rsidRPr="003E3C14" w:rsidRDefault="00F60B29">
      <w:r w:rsidRPr="003E3C14">
        <w:br w:type="page"/>
      </w:r>
    </w:p>
    <w:p w14:paraId="7F566F52" w14:textId="0F56F14D" w:rsidR="00DC4167" w:rsidRPr="00AA01F6" w:rsidRDefault="00AA01F6" w:rsidP="00515A1C">
      <w:pPr>
        <w:pStyle w:val="Heading2"/>
        <w:rPr>
          <w:szCs w:val="40"/>
        </w:rPr>
      </w:pPr>
      <w:bookmarkStart w:id="31" w:name="_Toc153314046"/>
      <w:r w:rsidRPr="00AA01F6">
        <w:rPr>
          <w:rFonts w:cs="Arial"/>
          <w:szCs w:val="40"/>
          <w:lang w:val="es-ES" w:eastAsia="en-AU"/>
        </w:rPr>
        <w:lastRenderedPageBreak/>
        <w:t>Pilotos de Empleo</w:t>
      </w:r>
      <w:bookmarkEnd w:id="31"/>
    </w:p>
    <w:p w14:paraId="3E9ADDED" w14:textId="77777777" w:rsidR="00AA01F6" w:rsidRPr="003E7607" w:rsidRDefault="00AA01F6" w:rsidP="00AA01F6">
      <w:pPr>
        <w:spacing w:before="240" w:after="240" w:line="240" w:lineRule="auto"/>
        <w:rPr>
          <w:rFonts w:cs="Arial"/>
          <w:b/>
          <w:bCs/>
          <w:lang w:val="es-ES"/>
        </w:rPr>
      </w:pPr>
      <w:r w:rsidRPr="003E7607">
        <w:rPr>
          <w:rFonts w:cs="Arial"/>
          <w:b/>
          <w:bCs/>
          <w:lang w:val="es-ES"/>
        </w:rPr>
        <w:t xml:space="preserve">Jurisdicción: </w:t>
      </w:r>
      <w:r w:rsidRPr="003E7607">
        <w:rPr>
          <w:rFonts w:cs="Arial"/>
          <w:lang w:val="es-ES"/>
        </w:rPr>
        <w:t>Gobierno de Australia, Departamento de Servicios Sociales</w:t>
      </w:r>
    </w:p>
    <w:p w14:paraId="5640A67C" w14:textId="77777777" w:rsidR="00AA01F6" w:rsidRPr="003E7607" w:rsidRDefault="00AA01F6" w:rsidP="00AA01F6">
      <w:pPr>
        <w:spacing w:before="240" w:after="240" w:line="240" w:lineRule="auto"/>
        <w:rPr>
          <w:rFonts w:cs="Arial"/>
          <w:b/>
          <w:bCs/>
          <w:lang w:val="es-ES"/>
        </w:rPr>
      </w:pPr>
      <w:r w:rsidRPr="003E7607">
        <w:rPr>
          <w:rFonts w:cs="Arial"/>
          <w:b/>
          <w:bCs/>
          <w:lang w:val="es-ES"/>
        </w:rPr>
        <w:t xml:space="preserve">Plan de Acción Específica: </w:t>
      </w:r>
      <w:r w:rsidRPr="003E7607">
        <w:rPr>
          <w:rFonts w:cs="Arial"/>
          <w:lang w:val="es-ES"/>
        </w:rPr>
        <w:t>Empleo</w:t>
      </w:r>
    </w:p>
    <w:p w14:paraId="093FD7A4" w14:textId="77777777" w:rsidR="00AA01F6" w:rsidRPr="003E7607" w:rsidRDefault="00AA01F6" w:rsidP="00AA01F6">
      <w:pPr>
        <w:spacing w:before="240" w:after="240" w:line="240" w:lineRule="auto"/>
        <w:rPr>
          <w:rFonts w:cs="Arial"/>
          <w:b/>
          <w:bCs/>
          <w:lang w:val="es-ES"/>
        </w:rPr>
      </w:pPr>
      <w:r w:rsidRPr="003E7607">
        <w:rPr>
          <w:rFonts w:cs="Arial"/>
          <w:b/>
          <w:bCs/>
          <w:lang w:val="es-ES"/>
        </w:rPr>
        <w:t xml:space="preserve">Objetivo del TAP: </w:t>
      </w:r>
      <w:r w:rsidRPr="003E7607">
        <w:rPr>
          <w:rFonts w:cs="Arial"/>
          <w:lang w:val="es-ES"/>
        </w:rPr>
        <w:t xml:space="preserve">Objetivo 1: Aumento del empleo de personas con discapacidad. </w:t>
      </w:r>
    </w:p>
    <w:p w14:paraId="714053F7" w14:textId="77777777" w:rsidR="00AA01F6" w:rsidRPr="003E7607" w:rsidRDefault="00AA01F6" w:rsidP="00AA01F6">
      <w:pPr>
        <w:spacing w:before="240" w:after="240" w:line="240" w:lineRule="auto"/>
        <w:rPr>
          <w:rFonts w:cs="Arial"/>
          <w:b/>
          <w:bCs/>
          <w:lang w:val="es-ES"/>
        </w:rPr>
      </w:pPr>
      <w:r w:rsidRPr="003E7607">
        <w:rPr>
          <w:rFonts w:cs="Arial"/>
          <w:b/>
          <w:bCs/>
          <w:lang w:val="es-ES"/>
        </w:rPr>
        <w:t xml:space="preserve">Acción: </w:t>
      </w:r>
      <w:r w:rsidRPr="003E7607">
        <w:rPr>
          <w:rFonts w:cs="Arial"/>
          <w:lang w:val="es-ES"/>
        </w:rPr>
        <w:t>1.8 Pilotos de empleo: conectar a las personas con empleos en áreas donde hay escasez de habilidades.</w:t>
      </w:r>
    </w:p>
    <w:p w14:paraId="4BE21D12" w14:textId="77777777" w:rsidR="00AA01F6" w:rsidRPr="003E7607" w:rsidRDefault="00AA01F6" w:rsidP="00AA01F6">
      <w:pPr>
        <w:spacing w:before="240" w:after="240" w:line="240" w:lineRule="auto"/>
        <w:rPr>
          <w:rFonts w:cs="Arial"/>
          <w:lang w:val="es-ES"/>
        </w:rPr>
      </w:pPr>
      <w:r w:rsidRPr="003E7607">
        <w:rPr>
          <w:rFonts w:cs="Arial"/>
          <w:lang w:val="es-ES"/>
        </w:rPr>
        <w:t>Asociarse con la industria para poner a prueba programas piloto que conecten a los participantes de los Servicios de Empleo para Personas con Discapacidad con trabajos en sectores que tengan escasez de habilidades.</w:t>
      </w:r>
    </w:p>
    <w:p w14:paraId="3C821C6C" w14:textId="77777777" w:rsidR="00AA01F6" w:rsidRPr="003E7607" w:rsidRDefault="00AA01F6" w:rsidP="00AA01F6">
      <w:pPr>
        <w:spacing w:before="240" w:after="240" w:line="240" w:lineRule="auto"/>
        <w:rPr>
          <w:rFonts w:cs="Arial"/>
          <w:b/>
          <w:bCs/>
          <w:lang w:val="es-ES"/>
        </w:rPr>
      </w:pPr>
      <w:r w:rsidRPr="003E7607">
        <w:rPr>
          <w:rFonts w:cs="Arial"/>
          <w:b/>
          <w:bCs/>
          <w:lang w:val="es-ES"/>
        </w:rPr>
        <w:t xml:space="preserve">Indicador: </w:t>
      </w:r>
      <w:r w:rsidRPr="003E7607">
        <w:rPr>
          <w:rFonts w:cs="Arial"/>
          <w:lang w:val="es-ES"/>
        </w:rPr>
        <w:t>Los indicadores se adaptarán a cada piloto.</w:t>
      </w:r>
    </w:p>
    <w:p w14:paraId="66892FC0" w14:textId="77777777" w:rsidR="00AA01F6" w:rsidRPr="003E7607" w:rsidRDefault="00AA01F6" w:rsidP="00AA01F6">
      <w:pPr>
        <w:spacing w:before="240" w:after="240" w:line="240" w:lineRule="auto"/>
        <w:rPr>
          <w:rFonts w:cs="Arial"/>
          <w:b/>
          <w:bCs/>
          <w:lang w:val="es-ES"/>
        </w:rPr>
      </w:pPr>
      <w:r w:rsidRPr="003E7607">
        <w:rPr>
          <w:rFonts w:cs="Arial"/>
          <w:b/>
          <w:bCs/>
          <w:lang w:val="es-ES"/>
        </w:rPr>
        <w:t xml:space="preserve">Estado: </w:t>
      </w:r>
      <w:r w:rsidRPr="003E7607">
        <w:rPr>
          <w:rFonts w:cs="Arial"/>
          <w:lang w:val="es-ES"/>
        </w:rPr>
        <w:t>En curso</w:t>
      </w:r>
    </w:p>
    <w:p w14:paraId="37F9D4C2" w14:textId="77777777" w:rsidR="00AA01F6" w:rsidRPr="003E7607" w:rsidRDefault="00AA01F6" w:rsidP="00AA01F6">
      <w:pPr>
        <w:spacing w:before="240" w:after="240" w:line="240" w:lineRule="auto"/>
        <w:rPr>
          <w:rFonts w:cs="Arial"/>
          <w:lang w:val="es-ES"/>
        </w:rPr>
      </w:pPr>
      <w:r w:rsidRPr="003E7607">
        <w:rPr>
          <w:rFonts w:cs="Arial"/>
          <w:lang w:val="es-ES"/>
        </w:rPr>
        <w:t>El Departamento de Servicios Sociales y Austrade colaboraron para diseñar un piloto que prueba un nuevo enfoque para mejorar los resultados laborales para las personas con discapacidad. El Piloto de Navegadores Locales de Turismo proporcionará Navegadores locales basados en el lugar en regiones específicas, para ayudar a pequeñas y medianas empresas del sector turístico a reformar las culturas laborales y las prácticas de empleo, así como a fomentar la confianza de los empleadores para contratar a personas con discapacidad.</w:t>
      </w:r>
    </w:p>
    <w:p w14:paraId="0663E18F" w14:textId="77777777" w:rsidR="00AA01F6" w:rsidRPr="003E7607" w:rsidRDefault="00AA01F6" w:rsidP="00AA01F6">
      <w:pPr>
        <w:pStyle w:val="ListParagraph"/>
        <w:numPr>
          <w:ilvl w:val="0"/>
          <w:numId w:val="10"/>
        </w:numPr>
        <w:spacing w:after="120" w:line="240" w:lineRule="auto"/>
        <w:contextualSpacing w:val="0"/>
        <w:rPr>
          <w:rFonts w:cs="Arial"/>
          <w:lang w:val="es-ES"/>
        </w:rPr>
      </w:pPr>
      <w:r w:rsidRPr="003E7607">
        <w:rPr>
          <w:rFonts w:cs="Arial"/>
          <w:lang w:val="es-ES"/>
        </w:rPr>
        <w:t>El piloto comenzó a principios de julio de 2023 y continuará durante un período de doce meses.</w:t>
      </w:r>
    </w:p>
    <w:p w14:paraId="40D0DE93" w14:textId="77777777" w:rsidR="00AA01F6" w:rsidRPr="003E7607" w:rsidRDefault="00AA01F6" w:rsidP="00AA01F6">
      <w:pPr>
        <w:pStyle w:val="ListParagraph"/>
        <w:numPr>
          <w:ilvl w:val="0"/>
          <w:numId w:val="10"/>
        </w:numPr>
        <w:spacing w:after="120" w:line="240" w:lineRule="auto"/>
        <w:contextualSpacing w:val="0"/>
        <w:rPr>
          <w:rFonts w:cs="Arial"/>
          <w:lang w:val="es-ES"/>
        </w:rPr>
      </w:pPr>
      <w:r w:rsidRPr="003E7607">
        <w:rPr>
          <w:rFonts w:cs="Arial"/>
          <w:lang w:val="es-ES"/>
        </w:rPr>
        <w:t>Se otorgaron subvenciones para suministrar Navegadores locales a 12 proveedores en 8 regiones de empleo prioritario.</w:t>
      </w:r>
    </w:p>
    <w:p w14:paraId="27F78D03" w14:textId="77777777" w:rsidR="00AA01F6" w:rsidRPr="003E7607" w:rsidRDefault="00AA01F6" w:rsidP="00AA01F6">
      <w:pPr>
        <w:spacing w:before="240" w:after="240" w:line="240" w:lineRule="auto"/>
        <w:rPr>
          <w:rFonts w:cs="Arial"/>
          <w:lang w:val="es-ES"/>
        </w:rPr>
      </w:pPr>
      <w:r w:rsidRPr="003E7607">
        <w:rPr>
          <w:rFonts w:cs="Arial"/>
          <w:lang w:val="es-ES"/>
        </w:rPr>
        <w:t>El Departamento de Servicios Sociales se asoció con el Consejo Empresarial de Australia (Business Council of Australia) (BCA), cuatro de sus grandes miembros empleadores y la Red de Discapacidad de Australia (Australian Network on Disability) (AND) para diseñar un piloto que se centre en impulsar el cambio de actitud mediante la demostración de liderazgo a través de la comunidad empresarial, y en alentar a los empleadores más grandes de Australia a centrarse más allá de los trabajos de nivel de inicial para personas con discapacidad, demostrando que son lugares seguros para que las personas con discapacidad trabajen y prosperen en sus carreras, y promoviendo resultados laborales a largo plazo para personas con discapacidad, con un enfoque en el avance profesional y el liderazgo futuro.</w:t>
      </w:r>
    </w:p>
    <w:p w14:paraId="5EE97D3C" w14:textId="77777777" w:rsidR="00AA01F6" w:rsidRPr="003E7607" w:rsidRDefault="00AA01F6" w:rsidP="00AA01F6">
      <w:pPr>
        <w:pStyle w:val="ListParagraph"/>
        <w:numPr>
          <w:ilvl w:val="0"/>
          <w:numId w:val="11"/>
        </w:numPr>
        <w:spacing w:after="120" w:line="240" w:lineRule="auto"/>
        <w:contextualSpacing w:val="0"/>
        <w:rPr>
          <w:rFonts w:cs="Arial"/>
          <w:lang w:val="es-ES"/>
        </w:rPr>
      </w:pPr>
      <w:r w:rsidRPr="003E7607">
        <w:rPr>
          <w:rFonts w:cs="Arial"/>
          <w:lang w:val="es-ES"/>
        </w:rPr>
        <w:t>El piloto comenzó en agosto de 2023 y continuará hasta febrero de 2025.</w:t>
      </w:r>
    </w:p>
    <w:p w14:paraId="7FA6D734" w14:textId="3E765C23" w:rsidR="00AA01F6" w:rsidRPr="003E3C14" w:rsidRDefault="00AA01F6" w:rsidP="00AA01F6">
      <w:pPr>
        <w:pStyle w:val="ListParagraph"/>
        <w:numPr>
          <w:ilvl w:val="0"/>
          <w:numId w:val="11"/>
        </w:numPr>
        <w:spacing w:after="120" w:line="240" w:lineRule="auto"/>
        <w:contextualSpacing w:val="0"/>
        <w:rPr>
          <w:rFonts w:cs="Arial"/>
        </w:rPr>
      </w:pPr>
      <w:r w:rsidRPr="003E7607">
        <w:rPr>
          <w:rFonts w:cs="Arial"/>
          <w:lang w:val="es-ES"/>
        </w:rPr>
        <w:t>Se otorgó una subvención a la AND para diseñar pilotos junto con los cuatro grandes empleadores y sus empleados con discapacidad, para aprender la mejor manera de identificar y abordar las barreras que enfrentan los empleados con discapacidad para progresar en sus carreras.</w:t>
      </w:r>
    </w:p>
    <w:p w14:paraId="1DD453E2" w14:textId="18E870B3" w:rsidR="00F60B29" w:rsidRPr="003E3C14" w:rsidRDefault="00F60B29">
      <w:pPr>
        <w:rPr>
          <w:rFonts w:asciiTheme="minorHAnsi" w:hAnsiTheme="minorHAnsi" w:cstheme="minorHAnsi"/>
        </w:rPr>
      </w:pPr>
      <w:r w:rsidRPr="003E3C14">
        <w:rPr>
          <w:rFonts w:asciiTheme="minorHAnsi" w:hAnsiTheme="minorHAnsi" w:cstheme="minorHAnsi"/>
        </w:rPr>
        <w:br w:type="page"/>
      </w:r>
    </w:p>
    <w:p w14:paraId="771A24C3" w14:textId="4AD5AC3B" w:rsidR="0034572C" w:rsidRPr="003E3C14" w:rsidRDefault="00301527" w:rsidP="00515A1C">
      <w:pPr>
        <w:pStyle w:val="Heading2"/>
      </w:pPr>
      <w:bookmarkStart w:id="32" w:name="_Toc153314047"/>
      <w:r w:rsidRPr="003E7607">
        <w:rPr>
          <w:rFonts w:cs="Arial"/>
          <w:lang w:val="es-ES"/>
        </w:rPr>
        <w:lastRenderedPageBreak/>
        <w:t>Comisionado para la Discapacidad de Tasmania</w:t>
      </w:r>
      <w:bookmarkEnd w:id="32"/>
    </w:p>
    <w:p w14:paraId="327673E3" w14:textId="77777777" w:rsidR="00301527" w:rsidRPr="003E7607" w:rsidRDefault="00301527" w:rsidP="00301527">
      <w:pPr>
        <w:spacing w:before="240" w:after="240" w:line="240" w:lineRule="auto"/>
        <w:rPr>
          <w:rFonts w:cs="Arial"/>
          <w:b/>
          <w:lang w:val="es-ES"/>
        </w:rPr>
      </w:pPr>
      <w:r w:rsidRPr="003E7607">
        <w:rPr>
          <w:rFonts w:cs="Arial"/>
          <w:b/>
          <w:lang w:val="es-ES"/>
        </w:rPr>
        <w:t xml:space="preserve">Jurisdicción: </w:t>
      </w:r>
      <w:r w:rsidRPr="003E7607">
        <w:rPr>
          <w:rFonts w:cs="Arial"/>
          <w:lang w:val="es-ES"/>
        </w:rPr>
        <w:t>Tasmania</w:t>
      </w:r>
    </w:p>
    <w:p w14:paraId="05489652" w14:textId="77777777" w:rsidR="00301527" w:rsidRPr="003E7607" w:rsidRDefault="00301527" w:rsidP="00301527">
      <w:pPr>
        <w:spacing w:before="240" w:after="240" w:line="240" w:lineRule="auto"/>
        <w:rPr>
          <w:rFonts w:cs="Arial"/>
          <w:b/>
          <w:lang w:val="es-ES"/>
        </w:rPr>
      </w:pPr>
      <w:r w:rsidRPr="003E7607">
        <w:rPr>
          <w:rFonts w:cs="Arial"/>
          <w:b/>
          <w:lang w:val="es-ES"/>
        </w:rPr>
        <w:t xml:space="preserve">TAP: </w:t>
      </w:r>
      <w:r w:rsidRPr="003E7607">
        <w:rPr>
          <w:rFonts w:cs="Arial"/>
          <w:lang w:val="es-ES"/>
        </w:rPr>
        <w:t>Actitudes en la Comunidad</w:t>
      </w:r>
    </w:p>
    <w:p w14:paraId="4CBB8CDF" w14:textId="77777777" w:rsidR="00301527" w:rsidRPr="003E7607" w:rsidRDefault="00301527" w:rsidP="00301527">
      <w:pPr>
        <w:spacing w:before="240" w:after="240" w:line="240" w:lineRule="auto"/>
        <w:rPr>
          <w:rFonts w:cs="Arial"/>
          <w:b/>
          <w:lang w:val="es-ES"/>
        </w:rPr>
      </w:pPr>
      <w:r w:rsidRPr="003E7607">
        <w:rPr>
          <w:rFonts w:cs="Arial"/>
          <w:b/>
          <w:lang w:val="es-ES"/>
        </w:rPr>
        <w:t xml:space="preserve">Objetivo del TAP: </w:t>
      </w:r>
      <w:r w:rsidRPr="003E7607">
        <w:rPr>
          <w:rFonts w:cs="Arial"/>
          <w:lang w:val="es-ES"/>
        </w:rPr>
        <w:t>4. Mejora de las actitudes en la comunidad para que tengan un efecto positivo en las Prioridades de las políticas de la ADS.</w:t>
      </w:r>
    </w:p>
    <w:p w14:paraId="521832FC" w14:textId="77777777" w:rsidR="00301527" w:rsidRPr="003E7607" w:rsidRDefault="00301527" w:rsidP="00301527">
      <w:pPr>
        <w:spacing w:before="240" w:after="240" w:line="240" w:lineRule="auto"/>
        <w:rPr>
          <w:rFonts w:cs="Arial"/>
          <w:b/>
          <w:lang w:val="es-ES"/>
        </w:rPr>
      </w:pPr>
      <w:r w:rsidRPr="003E7607">
        <w:rPr>
          <w:rFonts w:cs="Arial"/>
          <w:b/>
          <w:lang w:val="es-ES"/>
        </w:rPr>
        <w:t xml:space="preserve">Acción: </w:t>
      </w:r>
      <w:r w:rsidRPr="003E7607">
        <w:rPr>
          <w:rFonts w:cs="Arial"/>
          <w:lang w:val="es-ES"/>
        </w:rPr>
        <w:t>4.1 - La creación de un Comisionado de Discapacidad de Tasmania (Tasmanian Disability Commissiorer) tendrá como objetivo asegurar que las personas con discapacidad, y sus familias, reciban los apoyos y servicios inclusivos y accesibles que necesitan, incluidos aquellos respaldados a través de servicios generales, con una inversión de $300.000 por año durante cuatro años, a partir de 2021-2022.</w:t>
      </w:r>
    </w:p>
    <w:p w14:paraId="0568BD93" w14:textId="77777777" w:rsidR="00301527" w:rsidRPr="003E7607" w:rsidRDefault="00301527" w:rsidP="00301527">
      <w:pPr>
        <w:spacing w:before="240" w:after="240" w:line="240" w:lineRule="auto"/>
        <w:rPr>
          <w:rFonts w:cs="Arial"/>
          <w:b/>
          <w:lang w:val="es-ES"/>
        </w:rPr>
      </w:pPr>
      <w:r w:rsidRPr="003E7607">
        <w:rPr>
          <w:rFonts w:cs="Arial"/>
          <w:b/>
          <w:lang w:val="es-ES"/>
        </w:rPr>
        <w:t>Indicador:</w:t>
      </w:r>
    </w:p>
    <w:p w14:paraId="1E3D6395" w14:textId="77777777" w:rsidR="00301527" w:rsidRPr="003E7607" w:rsidRDefault="00301527" w:rsidP="00301527">
      <w:pPr>
        <w:numPr>
          <w:ilvl w:val="0"/>
          <w:numId w:val="1"/>
        </w:numPr>
        <w:spacing w:after="120" w:line="240" w:lineRule="auto"/>
        <w:rPr>
          <w:rFonts w:cs="Arial"/>
          <w:lang w:val="es-ES"/>
        </w:rPr>
      </w:pPr>
      <w:r w:rsidRPr="003E7607">
        <w:rPr>
          <w:rFonts w:cs="Arial"/>
          <w:lang w:val="es-ES"/>
        </w:rPr>
        <w:t>La consulta con la comunidad de Tasmania está completada.</w:t>
      </w:r>
    </w:p>
    <w:p w14:paraId="342200EE" w14:textId="77777777" w:rsidR="00301527" w:rsidRPr="003E7607" w:rsidRDefault="00301527" w:rsidP="00301527">
      <w:pPr>
        <w:numPr>
          <w:ilvl w:val="0"/>
          <w:numId w:val="1"/>
        </w:numPr>
        <w:spacing w:after="120" w:line="240" w:lineRule="auto"/>
        <w:rPr>
          <w:rFonts w:cs="Arial"/>
          <w:lang w:val="es-ES"/>
        </w:rPr>
      </w:pPr>
      <w:r w:rsidRPr="003E7607">
        <w:rPr>
          <w:rFonts w:cs="Arial"/>
          <w:lang w:val="es-ES"/>
        </w:rPr>
        <w:t>El marco para establecer el Comisionado de Discapacidad inaugural está preparado.</w:t>
      </w:r>
    </w:p>
    <w:p w14:paraId="178A6DF9" w14:textId="77777777" w:rsidR="00301527" w:rsidRPr="003E7607" w:rsidRDefault="00301527" w:rsidP="00301527">
      <w:pPr>
        <w:spacing w:before="240" w:after="240" w:line="240" w:lineRule="auto"/>
        <w:rPr>
          <w:rFonts w:cs="Arial"/>
          <w:b/>
          <w:lang w:val="es-ES"/>
        </w:rPr>
      </w:pPr>
      <w:r w:rsidRPr="003E7607">
        <w:rPr>
          <w:rFonts w:cs="Arial"/>
          <w:b/>
          <w:lang w:val="es-ES"/>
        </w:rPr>
        <w:t>Estado</w:t>
      </w:r>
      <w:r w:rsidRPr="003E7607">
        <w:rPr>
          <w:rFonts w:cs="Arial"/>
          <w:lang w:val="es-ES"/>
        </w:rPr>
        <w:t xml:space="preserve"> Algunas demoras</w:t>
      </w:r>
    </w:p>
    <w:p w14:paraId="34A9B62F" w14:textId="77777777" w:rsidR="00301527" w:rsidRPr="003E7607" w:rsidRDefault="00301527" w:rsidP="00301527">
      <w:pPr>
        <w:spacing w:before="240" w:after="240" w:line="240" w:lineRule="auto"/>
        <w:rPr>
          <w:rFonts w:cs="Arial"/>
          <w:lang w:val="es-ES"/>
        </w:rPr>
      </w:pPr>
      <w:r w:rsidRPr="003E7607">
        <w:rPr>
          <w:rFonts w:cs="Arial"/>
          <w:b/>
          <w:lang w:val="es-ES"/>
        </w:rPr>
        <w:t>Descripción</w:t>
      </w:r>
      <w:r w:rsidRPr="003E7607">
        <w:rPr>
          <w:rFonts w:cs="Arial"/>
          <w:lang w:val="es-ES"/>
        </w:rPr>
        <w:t xml:space="preserve">: A fines de 2022, se realizó un proceso de reclutamiento, y la nueva Comisionada Interina, Mary Mallett, comenzó en sus funciones en enero de 2023. </w:t>
      </w:r>
    </w:p>
    <w:p w14:paraId="6DBF02E9" w14:textId="77777777" w:rsidR="00301527" w:rsidRPr="003E7607" w:rsidRDefault="00301527" w:rsidP="00301527">
      <w:pPr>
        <w:spacing w:before="240" w:after="240" w:line="240" w:lineRule="auto"/>
        <w:rPr>
          <w:rFonts w:cs="Arial"/>
          <w:lang w:val="es-ES"/>
        </w:rPr>
      </w:pPr>
      <w:r w:rsidRPr="003E7607">
        <w:rPr>
          <w:rFonts w:cs="Arial"/>
          <w:lang w:val="es-ES"/>
        </w:rPr>
        <w:t>El Gobierno de Tasmania está comprometido a crear una legislación actualizada que celebre la fortaleza, diversidad y experiencia de los habitantes de Tasmania con discapacidad, y se espera que un nuevo Proyecto de Ley de Discapacidad esté listo para la consulta a mediados o finales de 2023.</w:t>
      </w:r>
    </w:p>
    <w:p w14:paraId="53DF9CAE" w14:textId="77777777" w:rsidR="00301527" w:rsidRPr="003E7607" w:rsidRDefault="00301527" w:rsidP="00301527">
      <w:pPr>
        <w:spacing w:before="240" w:after="240" w:line="240" w:lineRule="auto"/>
        <w:rPr>
          <w:rFonts w:cs="Arial"/>
          <w:lang w:val="es-ES"/>
        </w:rPr>
      </w:pPr>
      <w:r w:rsidRPr="003E7607">
        <w:rPr>
          <w:rFonts w:cs="Arial"/>
          <w:lang w:val="es-ES"/>
        </w:rPr>
        <w:t>El establecimiento de un Comisionado de Discapacidad Interino brinda tiempo y oportunidad, antes de la legislación para establecer un Comisionado de Discapacidad, para trabajar con otros funcionarios estatutarios para el desarrollo de la capacidad y la competencia para resolver quejas de personas con discapacidad.</w:t>
      </w:r>
    </w:p>
    <w:p w14:paraId="448A989A" w14:textId="77777777" w:rsidR="00301527" w:rsidRPr="003E7607" w:rsidRDefault="00301527" w:rsidP="00301527">
      <w:pPr>
        <w:spacing w:before="240" w:after="240" w:line="240" w:lineRule="auto"/>
        <w:rPr>
          <w:rFonts w:cs="Arial"/>
          <w:lang w:val="es-ES"/>
        </w:rPr>
      </w:pPr>
      <w:r w:rsidRPr="003E7607">
        <w:rPr>
          <w:rFonts w:cs="Arial"/>
          <w:lang w:val="es-ES"/>
        </w:rPr>
        <w:t>El Comisionado de Discapacidad Interino fue investido con los poderes de un Funcionario Autorizado, según la Ley de Servicios de Discapacidad de 2011 (Tasmania). Un Funcionario Autorizado puede ingresar a instalaciones para:</w:t>
      </w:r>
    </w:p>
    <w:p w14:paraId="140D1A2C" w14:textId="77777777" w:rsidR="00301527" w:rsidRPr="003E7607" w:rsidRDefault="00301527" w:rsidP="00301527">
      <w:pPr>
        <w:numPr>
          <w:ilvl w:val="0"/>
          <w:numId w:val="3"/>
        </w:numPr>
        <w:spacing w:after="120" w:line="240" w:lineRule="auto"/>
        <w:ind w:left="720"/>
        <w:rPr>
          <w:rFonts w:cs="Arial"/>
          <w:lang w:val="es-ES"/>
        </w:rPr>
      </w:pPr>
      <w:r w:rsidRPr="003E7607">
        <w:rPr>
          <w:rFonts w:cs="Arial"/>
          <w:lang w:val="es-ES"/>
        </w:rPr>
        <w:t>asegurar que las personas con discapacidad que residen o reciben servicios especializados de discapacidad en las instalaciones reciban la atención y el apoyo necesarios o deseables para su salud y bienestar; o</w:t>
      </w:r>
    </w:p>
    <w:p w14:paraId="55B1D5BC" w14:textId="77777777" w:rsidR="00301527" w:rsidRPr="003E7607" w:rsidRDefault="00301527" w:rsidP="00301527">
      <w:pPr>
        <w:numPr>
          <w:ilvl w:val="0"/>
          <w:numId w:val="2"/>
        </w:numPr>
        <w:spacing w:after="120" w:line="240" w:lineRule="auto"/>
        <w:ind w:left="720"/>
        <w:rPr>
          <w:rFonts w:cs="Arial"/>
          <w:lang w:val="es-ES"/>
        </w:rPr>
      </w:pPr>
      <w:r w:rsidRPr="003E7607">
        <w:rPr>
          <w:rFonts w:cs="Arial"/>
          <w:lang w:val="es-ES"/>
        </w:rPr>
        <w:t>asegurar la seguridad de las personas.</w:t>
      </w:r>
    </w:p>
    <w:p w14:paraId="22617FA4" w14:textId="77777777" w:rsidR="00301527" w:rsidRPr="003E7607" w:rsidRDefault="00301527" w:rsidP="00301527">
      <w:pPr>
        <w:spacing w:before="240" w:after="240" w:line="240" w:lineRule="auto"/>
        <w:rPr>
          <w:rFonts w:cs="Arial"/>
          <w:lang w:val="es-ES"/>
        </w:rPr>
      </w:pPr>
      <w:r w:rsidRPr="003E7607">
        <w:rPr>
          <w:rFonts w:cs="Arial"/>
          <w:lang w:val="es-ES"/>
        </w:rPr>
        <w:t>El Comisionado de Discapacidad Interino también:</w:t>
      </w:r>
    </w:p>
    <w:p w14:paraId="116A711A" w14:textId="77777777" w:rsidR="00301527" w:rsidRPr="003E7607" w:rsidRDefault="00301527" w:rsidP="00301527">
      <w:pPr>
        <w:numPr>
          <w:ilvl w:val="0"/>
          <w:numId w:val="2"/>
        </w:numPr>
        <w:spacing w:after="120" w:line="240" w:lineRule="auto"/>
        <w:ind w:left="720"/>
        <w:rPr>
          <w:rFonts w:cs="Arial"/>
          <w:lang w:val="es-ES"/>
        </w:rPr>
      </w:pPr>
      <w:r w:rsidRPr="003E7607">
        <w:rPr>
          <w:rFonts w:cs="Arial"/>
          <w:lang w:val="es-ES"/>
        </w:rPr>
        <w:t xml:space="preserve">proporcionará liderazgo, fomentará la inclusión y promoverá la accesibilidad en el gobierno y los servicios generales; </w:t>
      </w:r>
    </w:p>
    <w:p w14:paraId="3B81A09A" w14:textId="77777777" w:rsidR="00301527" w:rsidRPr="003E7607" w:rsidRDefault="00301527" w:rsidP="00301527">
      <w:pPr>
        <w:numPr>
          <w:ilvl w:val="0"/>
          <w:numId w:val="2"/>
        </w:numPr>
        <w:spacing w:after="120" w:line="240" w:lineRule="auto"/>
        <w:ind w:left="720" w:hanging="284"/>
        <w:rPr>
          <w:rFonts w:cs="Arial"/>
          <w:lang w:val="es-ES"/>
        </w:rPr>
      </w:pPr>
      <w:r w:rsidRPr="003E7607">
        <w:rPr>
          <w:rFonts w:cs="Arial"/>
          <w:lang w:val="es-ES"/>
        </w:rPr>
        <w:t>promoverá los derechos de las personas con discapacidad;</w:t>
      </w:r>
    </w:p>
    <w:p w14:paraId="76FB0996" w14:textId="77777777" w:rsidR="00301527" w:rsidRPr="003E7607" w:rsidRDefault="00301527" w:rsidP="00301527">
      <w:pPr>
        <w:numPr>
          <w:ilvl w:val="0"/>
          <w:numId w:val="2"/>
        </w:numPr>
        <w:spacing w:after="120" w:line="240" w:lineRule="auto"/>
        <w:ind w:left="720" w:hanging="284"/>
        <w:rPr>
          <w:rFonts w:cs="Arial"/>
          <w:lang w:val="es-ES"/>
        </w:rPr>
      </w:pPr>
      <w:r w:rsidRPr="003E7607">
        <w:rPr>
          <w:rFonts w:cs="Arial"/>
          <w:lang w:val="es-ES"/>
        </w:rPr>
        <w:lastRenderedPageBreak/>
        <w:t>establecerá y supervisará mecanismos de protección que aborden la violencia, el abuso, la negligencia y la explotación de personas con discapacidad; y</w:t>
      </w:r>
    </w:p>
    <w:p w14:paraId="5AB02489" w14:textId="17ABB0F0" w:rsidR="00301527" w:rsidRPr="003E3C14" w:rsidRDefault="00301527" w:rsidP="00301527">
      <w:pPr>
        <w:numPr>
          <w:ilvl w:val="0"/>
          <w:numId w:val="2"/>
        </w:numPr>
        <w:spacing w:after="120" w:line="240" w:lineRule="auto"/>
        <w:ind w:left="720" w:hanging="288"/>
        <w:rPr>
          <w:rFonts w:cs="Arial"/>
        </w:rPr>
      </w:pPr>
      <w:r w:rsidRPr="003E7607">
        <w:rPr>
          <w:rFonts w:cs="Arial"/>
          <w:lang w:val="es-ES"/>
        </w:rPr>
        <w:t>responderá a las denuncias de abuso, negligencia y explotación de personas con discapacidad.</w:t>
      </w:r>
    </w:p>
    <w:p w14:paraId="7F82F7A3" w14:textId="785E3E0C" w:rsidR="001F7ED0" w:rsidRPr="003E3C14" w:rsidRDefault="001F7ED0" w:rsidP="00C41CE0">
      <w:pPr>
        <w:pStyle w:val="NoSpacing"/>
        <w:spacing w:before="240" w:after="240"/>
      </w:pPr>
      <w:r w:rsidRPr="003E3C14">
        <w:br w:type="page"/>
      </w:r>
    </w:p>
    <w:p w14:paraId="1E6923E4" w14:textId="3C5EC731" w:rsidR="0034572C" w:rsidRPr="003E3C14" w:rsidRDefault="00301527" w:rsidP="00515A1C">
      <w:pPr>
        <w:pStyle w:val="Heading2"/>
      </w:pPr>
      <w:bookmarkStart w:id="33" w:name="_Toc153314048"/>
      <w:r w:rsidRPr="003E7607">
        <w:rPr>
          <w:rFonts w:cs="Arial"/>
          <w:lang w:val="es-ES"/>
        </w:rPr>
        <w:lastRenderedPageBreak/>
        <w:t>Taller de crianza para el desarrollo diferente</w:t>
      </w:r>
      <w:bookmarkEnd w:id="33"/>
    </w:p>
    <w:p w14:paraId="75C5836E" w14:textId="77777777" w:rsidR="00301527" w:rsidRPr="003E7607" w:rsidRDefault="00301527" w:rsidP="00301527">
      <w:pPr>
        <w:spacing w:before="240" w:after="240" w:line="240" w:lineRule="auto"/>
        <w:rPr>
          <w:rFonts w:cs="Arial"/>
          <w:b/>
          <w:lang w:val="es-ES"/>
        </w:rPr>
      </w:pPr>
      <w:r w:rsidRPr="003E7607">
        <w:rPr>
          <w:rFonts w:cs="Arial"/>
          <w:b/>
          <w:lang w:val="es-ES"/>
        </w:rPr>
        <w:t xml:space="preserve">Jurisdicción: </w:t>
      </w:r>
      <w:r w:rsidRPr="003E7607">
        <w:rPr>
          <w:rFonts w:cs="Arial"/>
          <w:lang w:val="es-ES"/>
        </w:rPr>
        <w:t>Australia Meridional</w:t>
      </w:r>
    </w:p>
    <w:p w14:paraId="35500394" w14:textId="77777777" w:rsidR="00301527" w:rsidRPr="003E7607" w:rsidRDefault="00301527" w:rsidP="00301527">
      <w:pPr>
        <w:spacing w:before="240" w:after="240" w:line="240" w:lineRule="auto"/>
        <w:rPr>
          <w:rFonts w:cs="Arial"/>
          <w:b/>
          <w:lang w:val="es-ES"/>
        </w:rPr>
      </w:pPr>
      <w:r w:rsidRPr="003E7607">
        <w:rPr>
          <w:rFonts w:cs="Arial"/>
          <w:b/>
          <w:lang w:val="es-ES"/>
        </w:rPr>
        <w:t xml:space="preserve">TAP: </w:t>
      </w:r>
      <w:r w:rsidRPr="003E7607">
        <w:rPr>
          <w:rFonts w:cs="Arial"/>
          <w:lang w:val="es-ES"/>
        </w:rPr>
        <w:t>Primera infancia</w:t>
      </w:r>
    </w:p>
    <w:p w14:paraId="59A61EE7" w14:textId="77777777" w:rsidR="00301527" w:rsidRPr="003E7607" w:rsidRDefault="00301527" w:rsidP="00301527">
      <w:pPr>
        <w:spacing w:before="240" w:after="240" w:line="240" w:lineRule="auto"/>
        <w:rPr>
          <w:rFonts w:cs="Arial"/>
          <w:b/>
          <w:lang w:val="es-ES"/>
        </w:rPr>
      </w:pPr>
      <w:r w:rsidRPr="003E7607">
        <w:rPr>
          <w:rFonts w:cs="Arial"/>
          <w:b/>
          <w:lang w:val="es-ES"/>
        </w:rPr>
        <w:t xml:space="preserve">Objetivo del TAP: </w:t>
      </w:r>
      <w:r w:rsidRPr="003E7607">
        <w:rPr>
          <w:rFonts w:cs="Arial"/>
          <w:lang w:val="es-ES"/>
        </w:rPr>
        <w:t>2. Fortalecer la capacidad y competencia de los servicios y sistemas clave para apoyar a padres/madres y cuidadores a la hora de tomar decisiones informadas acerca de sus hijos.</w:t>
      </w:r>
    </w:p>
    <w:p w14:paraId="54FC7176" w14:textId="77777777" w:rsidR="00301527" w:rsidRPr="003E7607" w:rsidRDefault="00301527" w:rsidP="00301527">
      <w:pPr>
        <w:spacing w:before="240" w:after="240" w:line="240" w:lineRule="auto"/>
        <w:rPr>
          <w:rFonts w:cs="Arial"/>
          <w:b/>
          <w:lang w:val="es-ES"/>
        </w:rPr>
      </w:pPr>
      <w:r w:rsidRPr="003E7607">
        <w:rPr>
          <w:rFonts w:cs="Arial"/>
          <w:b/>
          <w:lang w:val="es-ES"/>
        </w:rPr>
        <w:t xml:space="preserve">Acción: </w:t>
      </w:r>
      <w:r w:rsidRPr="003E7607">
        <w:rPr>
          <w:rFonts w:cs="Arial"/>
          <w:lang w:val="es-ES"/>
        </w:rPr>
        <w:t>2.8 Avanzar en el desarrollo de un taller específico para padres/madres o cuidadores que viven con un niño con discapacidad: “Desarrollo diferente”.</w:t>
      </w:r>
    </w:p>
    <w:p w14:paraId="7399AB22" w14:textId="77777777" w:rsidR="00301527" w:rsidRPr="003E7607" w:rsidRDefault="00301527" w:rsidP="00301527">
      <w:pPr>
        <w:spacing w:before="240" w:after="240" w:line="240" w:lineRule="auto"/>
        <w:rPr>
          <w:rFonts w:cs="Arial"/>
          <w:b/>
          <w:lang w:val="es-ES"/>
        </w:rPr>
      </w:pPr>
      <w:r w:rsidRPr="003E7607">
        <w:rPr>
          <w:rFonts w:cs="Arial"/>
          <w:b/>
          <w:lang w:val="es-ES"/>
        </w:rPr>
        <w:t>Indicador</w:t>
      </w:r>
      <w:r w:rsidRPr="003E7607">
        <w:rPr>
          <w:rFonts w:cs="Arial"/>
          <w:lang w:val="es-ES"/>
        </w:rPr>
        <w:t>:</w:t>
      </w:r>
    </w:p>
    <w:p w14:paraId="69472D70" w14:textId="77777777" w:rsidR="00301527" w:rsidRPr="003E7607" w:rsidRDefault="00301527" w:rsidP="00301527">
      <w:pPr>
        <w:numPr>
          <w:ilvl w:val="0"/>
          <w:numId w:val="5"/>
        </w:numPr>
        <w:spacing w:after="120" w:line="240" w:lineRule="auto"/>
        <w:rPr>
          <w:rFonts w:cs="Arial"/>
          <w:lang w:val="es-ES"/>
        </w:rPr>
      </w:pPr>
      <w:r w:rsidRPr="003E7607">
        <w:rPr>
          <w:rFonts w:cs="Arial"/>
          <w:lang w:val="es-ES"/>
        </w:rPr>
        <w:t>Taller completado y aprobado.</w:t>
      </w:r>
    </w:p>
    <w:p w14:paraId="6AA705B7" w14:textId="77777777" w:rsidR="00301527" w:rsidRPr="003E7607" w:rsidRDefault="00301527" w:rsidP="00301527">
      <w:pPr>
        <w:numPr>
          <w:ilvl w:val="0"/>
          <w:numId w:val="5"/>
        </w:numPr>
        <w:spacing w:after="120" w:line="240" w:lineRule="auto"/>
        <w:rPr>
          <w:rFonts w:cs="Arial"/>
          <w:lang w:val="es-ES"/>
        </w:rPr>
      </w:pPr>
      <w:r w:rsidRPr="003E7607">
        <w:rPr>
          <w:rFonts w:cs="Arial"/>
          <w:lang w:val="es-ES"/>
        </w:rPr>
        <w:t>Piloto completado e informe enviado.</w:t>
      </w:r>
    </w:p>
    <w:p w14:paraId="24932A21" w14:textId="77777777" w:rsidR="00301527" w:rsidRPr="003E7607" w:rsidRDefault="00301527" w:rsidP="00301527">
      <w:pPr>
        <w:spacing w:before="240" w:after="240" w:line="240" w:lineRule="auto"/>
        <w:rPr>
          <w:rFonts w:cs="Arial"/>
          <w:b/>
          <w:lang w:val="es-ES"/>
        </w:rPr>
      </w:pPr>
      <w:r w:rsidRPr="003E7607">
        <w:rPr>
          <w:rFonts w:cs="Arial"/>
          <w:b/>
          <w:lang w:val="es-ES"/>
        </w:rPr>
        <w:t xml:space="preserve">Estado: </w:t>
      </w:r>
      <w:r w:rsidRPr="003E7607">
        <w:rPr>
          <w:rFonts w:cs="Arial"/>
          <w:lang w:val="es-ES"/>
        </w:rPr>
        <w:t>Completada</w:t>
      </w:r>
    </w:p>
    <w:p w14:paraId="3CC3F600" w14:textId="77777777" w:rsidR="00301527" w:rsidRPr="003E7607" w:rsidRDefault="00301527" w:rsidP="00301527">
      <w:pPr>
        <w:spacing w:before="240" w:after="240" w:line="240" w:lineRule="auto"/>
        <w:rPr>
          <w:rFonts w:cs="Arial"/>
          <w:b/>
          <w:lang w:val="es-ES"/>
        </w:rPr>
      </w:pPr>
      <w:r w:rsidRPr="003E7607">
        <w:rPr>
          <w:rFonts w:cs="Arial"/>
          <w:b/>
          <w:lang w:val="es-ES"/>
        </w:rPr>
        <w:t>Descripción</w:t>
      </w:r>
      <w:r w:rsidRPr="003E7607">
        <w:rPr>
          <w:rFonts w:cs="Arial"/>
          <w:lang w:val="es-ES"/>
        </w:rPr>
        <w:t>:</w:t>
      </w:r>
      <w:r w:rsidRPr="003E7607">
        <w:rPr>
          <w:rFonts w:cs="Arial"/>
          <w:lang w:val="es-ES"/>
        </w:rPr>
        <w:tab/>
      </w:r>
    </w:p>
    <w:p w14:paraId="44C138D0" w14:textId="77777777" w:rsidR="00301527" w:rsidRPr="003E7607" w:rsidRDefault="00301527" w:rsidP="00301527">
      <w:pPr>
        <w:spacing w:before="240" w:after="240" w:line="240" w:lineRule="auto"/>
        <w:rPr>
          <w:rFonts w:cs="Arial"/>
          <w:lang w:val="es-ES"/>
        </w:rPr>
      </w:pPr>
      <w:r w:rsidRPr="003E7607">
        <w:rPr>
          <w:rFonts w:cs="Arial"/>
          <w:lang w:val="es-ES"/>
        </w:rPr>
        <w:t>Los comentarios recibidos de los padres que asistieron a los talleres de crianza de Familias que crecen juntas (Families Growing Together) (FGT) identificaron que muchos padres que viven con un niño con discapacidad buscan más apoyo. Basándose en esto, el equipo de FGT desarrolló un taller específico que hace referencia a información de las Guías de crianza sencillas (Parent Easy Guides) (PEG) de Parenting SA, tituladas “Niños con discapacidad” (Children with a disability) y “Retraso en el desarrollo” (Developmental delay).</w:t>
      </w:r>
    </w:p>
    <w:p w14:paraId="43AD6319" w14:textId="77777777" w:rsidR="00301527" w:rsidRPr="003E7607" w:rsidRDefault="00301527" w:rsidP="00301527">
      <w:pPr>
        <w:spacing w:before="240" w:after="240" w:line="240" w:lineRule="auto"/>
        <w:rPr>
          <w:rFonts w:cs="Arial"/>
          <w:lang w:val="es-ES"/>
        </w:rPr>
      </w:pPr>
      <w:r w:rsidRPr="003E7607">
        <w:rPr>
          <w:rFonts w:cs="Arial"/>
          <w:lang w:val="es-ES"/>
        </w:rPr>
        <w:t>El nuevo taller proporciona una visión general del desarrollo típico, "banderas rojas" del desarrollo, qué buscar y estrategias prácticas para criar a un niño con discapacidad. Utilizando el Modelo Social de Discapacidad, el taller se basa en una nueva forma de ver, pensar, hacer y ser, al proporcionar un espacio para que los padres hablen entre ellos, aprendan juntos y reflexionen sobre sus experiencias.</w:t>
      </w:r>
    </w:p>
    <w:p w14:paraId="6DBF8042" w14:textId="77777777" w:rsidR="00301527" w:rsidRPr="003E7607" w:rsidRDefault="00301527" w:rsidP="00301527">
      <w:pPr>
        <w:spacing w:before="240" w:after="240" w:line="240" w:lineRule="auto"/>
        <w:rPr>
          <w:rFonts w:cs="Arial"/>
          <w:lang w:val="es-ES"/>
        </w:rPr>
      </w:pPr>
      <w:r w:rsidRPr="003E7607">
        <w:rPr>
          <w:rFonts w:cs="Arial"/>
          <w:lang w:val="es-ES"/>
        </w:rPr>
        <w:t>Los padres trabajan hacia una nueva dirección y forma de sentir a través de videos, actividades y discusiones grupales. Al final del taller, los padres completan un plan de acción para la crianza, que incluye identificar una red de apoyo.</w:t>
      </w:r>
    </w:p>
    <w:p w14:paraId="7A825A0C" w14:textId="66A85D6F" w:rsidR="00301527" w:rsidRPr="003E3C14" w:rsidRDefault="00301527" w:rsidP="00301527">
      <w:pPr>
        <w:spacing w:before="240" w:after="240" w:line="240" w:lineRule="auto"/>
        <w:rPr>
          <w:rFonts w:cs="Arial"/>
        </w:rPr>
      </w:pPr>
      <w:r w:rsidRPr="003E7607">
        <w:rPr>
          <w:rFonts w:cs="Arial"/>
          <w:lang w:val="es-ES"/>
        </w:rPr>
        <w:t>Los comentarios de los padres que asistieron al taller piloto fueron abrumadoramente positivos y el taller de crianza “Desarrollo diferente” ahora se ofrecerá en todo el estado para que los padres asistan en sus comunidades locales.</w:t>
      </w:r>
    </w:p>
    <w:p w14:paraId="2A8D0E4C" w14:textId="1C41E75C" w:rsidR="0034572C" w:rsidRPr="003E3C14" w:rsidRDefault="0034572C" w:rsidP="00C41CE0">
      <w:pPr>
        <w:spacing w:before="240" w:after="240" w:line="240" w:lineRule="auto"/>
        <w:rPr>
          <w:rFonts w:cs="Arial"/>
          <w:u w:val="single"/>
        </w:rPr>
      </w:pPr>
      <w:r w:rsidRPr="003E3C14">
        <w:rPr>
          <w:rFonts w:cs="Arial"/>
          <w:u w:val="single"/>
        </w:rPr>
        <w:br w:type="page"/>
      </w:r>
    </w:p>
    <w:p w14:paraId="2DE334AB" w14:textId="444F182B" w:rsidR="002A08E0" w:rsidRPr="003E3C14" w:rsidRDefault="0047052B" w:rsidP="00515A1C">
      <w:pPr>
        <w:pStyle w:val="Heading2"/>
      </w:pPr>
      <w:bookmarkStart w:id="34" w:name="_Toc153314049"/>
      <w:r w:rsidRPr="003E7607">
        <w:rPr>
          <w:rFonts w:cs="Arial"/>
          <w:lang w:val="es-ES"/>
        </w:rPr>
        <w:lastRenderedPageBreak/>
        <w:t>Programa de Centros para Niños y Familias Aborígenes (Aboriginal Child and Family Centre) (ACFC)</w:t>
      </w:r>
      <w:bookmarkEnd w:id="34"/>
    </w:p>
    <w:p w14:paraId="3A00EB6E" w14:textId="77777777" w:rsidR="0047052B" w:rsidRPr="003E7607" w:rsidRDefault="0047052B" w:rsidP="0047052B">
      <w:pPr>
        <w:spacing w:before="240" w:after="240" w:line="240" w:lineRule="auto"/>
        <w:rPr>
          <w:rFonts w:cs="Arial"/>
          <w:b/>
          <w:lang w:val="es-ES"/>
        </w:rPr>
      </w:pPr>
      <w:r w:rsidRPr="003E7607">
        <w:rPr>
          <w:rFonts w:cs="Arial"/>
          <w:b/>
          <w:lang w:val="es-ES"/>
        </w:rPr>
        <w:t xml:space="preserve">Jurisdicción: </w:t>
      </w:r>
      <w:r w:rsidRPr="003E7607">
        <w:rPr>
          <w:rFonts w:cs="Arial"/>
          <w:lang w:val="es-ES"/>
        </w:rPr>
        <w:t>Nueva Gales del Sur</w:t>
      </w:r>
    </w:p>
    <w:p w14:paraId="5054A357" w14:textId="77777777" w:rsidR="0047052B" w:rsidRPr="003E7607" w:rsidRDefault="0047052B" w:rsidP="0047052B">
      <w:pPr>
        <w:spacing w:before="240" w:after="240" w:line="240" w:lineRule="auto"/>
        <w:rPr>
          <w:rFonts w:cs="Arial"/>
          <w:b/>
          <w:lang w:val="es-ES"/>
        </w:rPr>
      </w:pPr>
      <w:r w:rsidRPr="003E7607">
        <w:rPr>
          <w:rFonts w:cs="Arial"/>
          <w:b/>
          <w:lang w:val="es-ES"/>
        </w:rPr>
        <w:t>TAP</w:t>
      </w:r>
      <w:r w:rsidRPr="003E7607">
        <w:rPr>
          <w:rFonts w:cs="Arial"/>
          <w:lang w:val="es-ES"/>
        </w:rPr>
        <w:t>:</w:t>
      </w:r>
      <w:r w:rsidRPr="003E7607">
        <w:rPr>
          <w:rFonts w:cs="Arial"/>
          <w:lang w:val="es-ES"/>
        </w:rPr>
        <w:tab/>
        <w:t>Primera infancia</w:t>
      </w:r>
    </w:p>
    <w:p w14:paraId="5A0B2C47" w14:textId="77777777" w:rsidR="0047052B" w:rsidRPr="003E7607" w:rsidRDefault="0047052B" w:rsidP="0047052B">
      <w:pPr>
        <w:spacing w:before="240" w:after="240" w:line="240" w:lineRule="auto"/>
        <w:rPr>
          <w:rFonts w:cs="Arial"/>
          <w:b/>
          <w:lang w:val="es-ES"/>
        </w:rPr>
      </w:pPr>
      <w:r w:rsidRPr="003E7607">
        <w:rPr>
          <w:rFonts w:cs="Arial"/>
          <w:b/>
          <w:lang w:val="es-ES"/>
        </w:rPr>
        <w:t>Objetivo del TAP</w:t>
      </w:r>
      <w:r w:rsidRPr="003E7607">
        <w:rPr>
          <w:rFonts w:cs="Arial"/>
          <w:lang w:val="es-ES"/>
        </w:rPr>
        <w:t>: 3. Fomentar un sentido más arraigado de inclusión y proporcionar oportunidades para que padres/madres, cuidadores y niños generen redes de pares, incluidos padres/madres y cuidadores aborígenes y de las islas del Estrecho de Torres, y de orígenes culturales y lingüísticos diversos.</w:t>
      </w:r>
    </w:p>
    <w:p w14:paraId="79AE7A4E" w14:textId="77777777" w:rsidR="0047052B" w:rsidRPr="003E7607" w:rsidRDefault="0047052B" w:rsidP="0047052B">
      <w:pPr>
        <w:spacing w:before="240" w:after="240" w:line="240" w:lineRule="auto"/>
        <w:rPr>
          <w:rFonts w:cs="Arial"/>
          <w:b/>
          <w:lang w:val="es-ES"/>
        </w:rPr>
      </w:pPr>
      <w:r w:rsidRPr="003E7607">
        <w:rPr>
          <w:rFonts w:cs="Arial"/>
          <w:b/>
          <w:lang w:val="es-ES"/>
        </w:rPr>
        <w:t>Acción</w:t>
      </w:r>
      <w:r w:rsidRPr="003E7607">
        <w:rPr>
          <w:rFonts w:cs="Arial"/>
          <w:lang w:val="es-ES"/>
        </w:rPr>
        <w:t>: 3.1 Aumentar la capacidad de los Centros para Niños y Familias Aborígenes (ACFC) de Nueva Gales del Sur para ofrecer educación de calidad para la primera infancia y servicios integrados de salud y familiares a niños, familias y comunidades aborígenes.</w:t>
      </w:r>
    </w:p>
    <w:p w14:paraId="3596EC5C" w14:textId="77777777" w:rsidR="0047052B" w:rsidRPr="003E7607" w:rsidRDefault="0047052B" w:rsidP="0047052B">
      <w:pPr>
        <w:spacing w:before="240" w:after="240" w:line="240" w:lineRule="auto"/>
        <w:rPr>
          <w:rFonts w:cs="Arial"/>
          <w:lang w:val="es-ES"/>
        </w:rPr>
      </w:pPr>
      <w:r w:rsidRPr="003E7607">
        <w:rPr>
          <w:rFonts w:cs="Arial"/>
          <w:lang w:val="es-ES"/>
        </w:rPr>
        <w:t>Los ACFC apoyan a los niños aborígenes para alcanzar hitos clave en su desarrollo y mejorar el acceso a una variedad de servicios de calidad en un entorno culturalmente seguro.</w:t>
      </w:r>
    </w:p>
    <w:p w14:paraId="79F66028" w14:textId="77777777" w:rsidR="0047052B" w:rsidRPr="003E7607" w:rsidRDefault="0047052B" w:rsidP="0047052B">
      <w:pPr>
        <w:spacing w:before="240" w:after="240" w:line="240" w:lineRule="auto"/>
        <w:rPr>
          <w:rFonts w:cs="Arial"/>
          <w:b/>
          <w:lang w:val="es-ES"/>
        </w:rPr>
      </w:pPr>
      <w:r w:rsidRPr="003E7607">
        <w:rPr>
          <w:rFonts w:cs="Arial"/>
          <w:b/>
          <w:lang w:val="es-ES"/>
        </w:rPr>
        <w:t>Indicador</w:t>
      </w:r>
      <w:r w:rsidRPr="003E7607">
        <w:rPr>
          <w:rFonts w:cs="Arial"/>
          <w:lang w:val="es-ES"/>
        </w:rPr>
        <w:t xml:space="preserve">: </w:t>
      </w:r>
    </w:p>
    <w:p w14:paraId="7BD3DD75" w14:textId="77777777" w:rsidR="0047052B" w:rsidRPr="003E7607" w:rsidRDefault="0047052B" w:rsidP="0047052B">
      <w:pPr>
        <w:spacing w:before="240" w:after="240" w:line="240" w:lineRule="auto"/>
        <w:rPr>
          <w:rFonts w:cs="Arial"/>
          <w:lang w:val="es-ES"/>
        </w:rPr>
      </w:pPr>
      <w:r w:rsidRPr="003E7607">
        <w:rPr>
          <w:rFonts w:cs="Arial"/>
          <w:lang w:val="es-ES"/>
        </w:rPr>
        <w:t>Informe anual:</w:t>
      </w:r>
    </w:p>
    <w:p w14:paraId="09E3C62C" w14:textId="18C05A43" w:rsidR="0047052B" w:rsidRPr="003E7607" w:rsidRDefault="0047052B" w:rsidP="0047052B">
      <w:pPr>
        <w:spacing w:after="120" w:line="240" w:lineRule="auto"/>
        <w:ind w:left="360" w:hanging="360"/>
        <w:rPr>
          <w:rFonts w:cs="Arial"/>
          <w:lang w:val="es-ES"/>
        </w:rPr>
      </w:pPr>
      <w:r w:rsidRPr="003E7607">
        <w:rPr>
          <w:rFonts w:cs="Arial"/>
          <w:lang w:val="es-ES"/>
        </w:rPr>
        <w:t xml:space="preserve">• </w:t>
      </w:r>
      <w:r>
        <w:rPr>
          <w:rFonts w:cs="Arial"/>
          <w:lang w:val="es-ES"/>
        </w:rPr>
        <w:tab/>
      </w:r>
      <w:r w:rsidRPr="003E7607">
        <w:rPr>
          <w:rFonts w:cs="Arial"/>
          <w:lang w:val="es-ES"/>
        </w:rPr>
        <w:t>Aumento de la asistencia y logros escolares.</w:t>
      </w:r>
    </w:p>
    <w:p w14:paraId="0236326C" w14:textId="2653853F" w:rsidR="0047052B" w:rsidRPr="003E7607" w:rsidRDefault="0047052B" w:rsidP="0047052B">
      <w:pPr>
        <w:spacing w:after="120" w:line="240" w:lineRule="auto"/>
        <w:ind w:left="360" w:hanging="360"/>
        <w:rPr>
          <w:rFonts w:cs="Arial"/>
          <w:lang w:val="es-ES"/>
        </w:rPr>
      </w:pPr>
      <w:r w:rsidRPr="003E7607">
        <w:rPr>
          <w:rFonts w:cs="Arial"/>
          <w:lang w:val="es-ES"/>
        </w:rPr>
        <w:t xml:space="preserve">• </w:t>
      </w:r>
      <w:r>
        <w:rPr>
          <w:rFonts w:cs="Arial"/>
          <w:lang w:val="es-ES"/>
        </w:rPr>
        <w:tab/>
      </w:r>
      <w:r w:rsidRPr="003E7607">
        <w:rPr>
          <w:rFonts w:cs="Arial"/>
          <w:lang w:val="es-ES"/>
        </w:rPr>
        <w:t>Menor cantidad de niños aborígenes que ingresan al sistema de protección infantil.</w:t>
      </w:r>
    </w:p>
    <w:p w14:paraId="743901B1" w14:textId="6D2B919C" w:rsidR="0047052B" w:rsidRPr="003E7607" w:rsidRDefault="0047052B" w:rsidP="0047052B">
      <w:pPr>
        <w:spacing w:after="120" w:line="240" w:lineRule="auto"/>
        <w:ind w:left="360" w:hanging="360"/>
        <w:rPr>
          <w:rFonts w:cs="Arial"/>
          <w:lang w:val="es-ES"/>
        </w:rPr>
      </w:pPr>
      <w:r w:rsidRPr="003E7607">
        <w:rPr>
          <w:rFonts w:cs="Arial"/>
          <w:lang w:val="es-ES"/>
        </w:rPr>
        <w:t xml:space="preserve">• </w:t>
      </w:r>
      <w:r>
        <w:rPr>
          <w:rFonts w:cs="Arial"/>
          <w:lang w:val="es-ES"/>
        </w:rPr>
        <w:tab/>
      </w:r>
      <w:r w:rsidRPr="003E7607">
        <w:rPr>
          <w:rFonts w:cs="Arial"/>
          <w:lang w:val="es-ES"/>
        </w:rPr>
        <w:t>Mejora en la salud de niños y jóvenes aborígenes.</w:t>
      </w:r>
    </w:p>
    <w:p w14:paraId="4A02E6CD" w14:textId="77777777" w:rsidR="0047052B" w:rsidRPr="003E7607" w:rsidRDefault="0047052B" w:rsidP="0047052B">
      <w:pPr>
        <w:spacing w:before="240" w:after="240" w:line="240" w:lineRule="auto"/>
        <w:rPr>
          <w:rFonts w:cs="Arial"/>
          <w:b/>
          <w:lang w:val="es-ES"/>
        </w:rPr>
      </w:pPr>
      <w:r w:rsidRPr="003E7607">
        <w:rPr>
          <w:rFonts w:cs="Arial"/>
          <w:b/>
          <w:lang w:val="es-ES"/>
        </w:rPr>
        <w:t>Estado</w:t>
      </w:r>
      <w:r w:rsidRPr="003E7607">
        <w:rPr>
          <w:rFonts w:cs="Arial"/>
          <w:lang w:val="es-ES"/>
        </w:rPr>
        <w:t>: En curso</w:t>
      </w:r>
    </w:p>
    <w:p w14:paraId="6C5D2ED8" w14:textId="77777777" w:rsidR="0047052B" w:rsidRPr="003E7607" w:rsidRDefault="0047052B" w:rsidP="0047052B">
      <w:pPr>
        <w:spacing w:before="240" w:after="240" w:line="240" w:lineRule="auto"/>
        <w:rPr>
          <w:rFonts w:cs="Arial"/>
          <w:b/>
          <w:lang w:val="es-ES"/>
        </w:rPr>
      </w:pPr>
      <w:r w:rsidRPr="003E7607">
        <w:rPr>
          <w:rFonts w:cs="Arial"/>
          <w:b/>
          <w:lang w:val="es-ES"/>
        </w:rPr>
        <w:t>Descripción</w:t>
      </w:r>
      <w:r w:rsidRPr="003E7607">
        <w:rPr>
          <w:rFonts w:cs="Arial"/>
          <w:lang w:val="es-ES"/>
        </w:rPr>
        <w:t>:</w:t>
      </w:r>
    </w:p>
    <w:p w14:paraId="4DDB15A5" w14:textId="77777777" w:rsidR="0047052B" w:rsidRPr="003E7607" w:rsidRDefault="0047052B" w:rsidP="0047052B">
      <w:pPr>
        <w:spacing w:before="240" w:after="240" w:line="240" w:lineRule="auto"/>
        <w:rPr>
          <w:rFonts w:cs="Arial"/>
          <w:lang w:val="es-ES"/>
        </w:rPr>
      </w:pPr>
      <w:r w:rsidRPr="003E7607">
        <w:rPr>
          <w:rFonts w:cs="Arial"/>
          <w:lang w:val="es-ES"/>
        </w:rPr>
        <w:t>“Comienzos más prometedores” (Brighter Beginnings) es una iniciativa integral del gobierno centrada en mejorar los resultados de los niños de Nueva Gales del Sur y sus familias, en los primeros 2000 días, desde la concepción hasta la edad escolar.</w:t>
      </w:r>
    </w:p>
    <w:p w14:paraId="68DA3A79" w14:textId="77777777" w:rsidR="0047052B" w:rsidRPr="003E7607" w:rsidRDefault="0047052B" w:rsidP="0047052B">
      <w:pPr>
        <w:spacing w:before="240" w:after="240" w:line="240" w:lineRule="auto"/>
        <w:rPr>
          <w:rFonts w:cs="Arial"/>
          <w:lang w:val="es-ES"/>
        </w:rPr>
      </w:pPr>
      <w:r w:rsidRPr="003E7607">
        <w:rPr>
          <w:rFonts w:cs="Arial"/>
          <w:lang w:val="es-ES"/>
        </w:rPr>
        <w:t>La expansión del programa de Centros para Niños y Familias Aborígenes (ACFC) es una iniciativa de “Comienzos más prometedores”.</w:t>
      </w:r>
    </w:p>
    <w:p w14:paraId="17022481" w14:textId="77777777" w:rsidR="0047052B" w:rsidRPr="003E7607" w:rsidRDefault="0047052B" w:rsidP="0047052B">
      <w:pPr>
        <w:spacing w:before="240" w:after="240" w:line="240" w:lineRule="auto"/>
        <w:rPr>
          <w:rFonts w:cs="Arial"/>
          <w:lang w:val="es-ES"/>
        </w:rPr>
      </w:pPr>
      <w:r w:rsidRPr="003E7607">
        <w:rPr>
          <w:rFonts w:cs="Arial"/>
          <w:lang w:val="es-ES"/>
        </w:rPr>
        <w:t>El financiamiento para expandir el programa de los ACFC incluye:</w:t>
      </w:r>
    </w:p>
    <w:p w14:paraId="483F1598" w14:textId="77777777" w:rsidR="0047052B" w:rsidRPr="003E7607" w:rsidRDefault="0047052B" w:rsidP="0047052B">
      <w:pPr>
        <w:numPr>
          <w:ilvl w:val="0"/>
          <w:numId w:val="4"/>
        </w:numPr>
        <w:spacing w:after="120" w:line="240" w:lineRule="auto"/>
        <w:ind w:left="432" w:hanging="288"/>
        <w:rPr>
          <w:rFonts w:cs="Arial"/>
          <w:lang w:val="es-ES"/>
        </w:rPr>
      </w:pPr>
      <w:r w:rsidRPr="003E7607">
        <w:rPr>
          <w:rFonts w:cs="Arial"/>
          <w:lang w:val="es-ES"/>
        </w:rPr>
        <w:t>$42 millones para construir seis nuevos ACFC, entre 2024 y 2027,</w:t>
      </w:r>
    </w:p>
    <w:p w14:paraId="372C52EB" w14:textId="77777777" w:rsidR="0047052B" w:rsidRPr="003E7607" w:rsidRDefault="0047052B" w:rsidP="0047052B">
      <w:pPr>
        <w:numPr>
          <w:ilvl w:val="0"/>
          <w:numId w:val="4"/>
        </w:numPr>
        <w:spacing w:after="120" w:line="240" w:lineRule="auto"/>
        <w:ind w:left="432" w:hanging="288"/>
        <w:rPr>
          <w:rFonts w:cs="Arial"/>
          <w:lang w:val="es-ES"/>
        </w:rPr>
      </w:pPr>
      <w:r w:rsidRPr="003E7607">
        <w:rPr>
          <w:rFonts w:cs="Arial"/>
          <w:lang w:val="es-ES"/>
        </w:rPr>
        <w:t>$22,5 millones para renovar nueve centros existentes en Ballina, Brewarrina, Gunnedah, Lightening Ridge, Minto, Mount Druitt, Nowra, Toronto y Doonside, entre 2024 y 2027</w:t>
      </w:r>
    </w:p>
    <w:p w14:paraId="3A75CE06" w14:textId="77777777" w:rsidR="0047052B" w:rsidRPr="003E7607" w:rsidRDefault="0047052B" w:rsidP="0047052B">
      <w:pPr>
        <w:numPr>
          <w:ilvl w:val="0"/>
          <w:numId w:val="4"/>
        </w:numPr>
        <w:spacing w:after="120" w:line="240" w:lineRule="auto"/>
        <w:ind w:left="432" w:hanging="288"/>
        <w:rPr>
          <w:rFonts w:cs="Arial"/>
          <w:lang w:val="es-ES"/>
        </w:rPr>
      </w:pPr>
      <w:r w:rsidRPr="003E7607">
        <w:rPr>
          <w:rFonts w:cs="Arial"/>
          <w:lang w:val="es-ES"/>
        </w:rPr>
        <w:t>$1 millón por centro, por año, para gastos de funcionamiento (previamente $535.000).</w:t>
      </w:r>
    </w:p>
    <w:p w14:paraId="352A7CC2" w14:textId="546D8F0D" w:rsidR="0047052B" w:rsidRPr="003E3C14" w:rsidRDefault="0047052B" w:rsidP="0047052B">
      <w:pPr>
        <w:spacing w:before="240" w:after="240" w:line="240" w:lineRule="auto"/>
        <w:rPr>
          <w:rFonts w:cs="Arial"/>
        </w:rPr>
      </w:pPr>
      <w:r w:rsidRPr="003E7607">
        <w:rPr>
          <w:rFonts w:cs="Arial"/>
          <w:lang w:val="es-ES"/>
        </w:rPr>
        <w:lastRenderedPageBreak/>
        <w:t>“Comienzos más prometedores” tiene como objetivo garantizar que el 67 por ciento de los niños de Nueva Gales del Sur estén encaminados según los cinco dominios del Censo del Desarrollo Temprano de Australia (Australian Early Development Census) (AEDC) para 2027 y apoyar a Nueva Gales del Sur para superar el objetivo de “Cerrar la Brecha” (Closing the Gap), que busca que el 55 por ciento de los niños aborígenes y del Estrecho de Torres estén encaminados en los cinco dominios del AEDC para 2031.</w:t>
      </w:r>
    </w:p>
    <w:p w14:paraId="17A9D2DB" w14:textId="6437C0CF" w:rsidR="001F7ED0" w:rsidRPr="003E3C14" w:rsidRDefault="001F7ED0" w:rsidP="0047052B">
      <w:pPr>
        <w:spacing w:before="240" w:after="240" w:line="240" w:lineRule="auto"/>
        <w:rPr>
          <w:rFonts w:asciiTheme="minorHAnsi" w:hAnsiTheme="minorHAnsi" w:cstheme="minorHAnsi"/>
        </w:rPr>
      </w:pPr>
      <w:r w:rsidRPr="003E3C14">
        <w:rPr>
          <w:rFonts w:asciiTheme="minorHAnsi" w:hAnsiTheme="minorHAnsi" w:cstheme="minorHAnsi"/>
        </w:rPr>
        <w:br w:type="page"/>
      </w:r>
    </w:p>
    <w:p w14:paraId="730B8E22" w14:textId="05D59E92" w:rsidR="00D1030A" w:rsidRPr="003E3C14" w:rsidRDefault="00067B97" w:rsidP="00515A1C">
      <w:pPr>
        <w:pStyle w:val="Heading2"/>
      </w:pPr>
      <w:bookmarkStart w:id="35" w:name="_Toc153314050"/>
      <w:r w:rsidRPr="003E7607">
        <w:rPr>
          <w:rFonts w:cs="Arial"/>
          <w:lang w:val="es-ES"/>
        </w:rPr>
        <w:lastRenderedPageBreak/>
        <w:t>Apoyo al comportamiento y reducción y eliminación de prácticas restrictivas</w:t>
      </w:r>
      <w:bookmarkEnd w:id="35"/>
    </w:p>
    <w:p w14:paraId="1C9083A9" w14:textId="77777777" w:rsidR="00067B97" w:rsidRPr="003E7607" w:rsidRDefault="00067B97" w:rsidP="00067B97">
      <w:pPr>
        <w:spacing w:before="240" w:after="240" w:line="240" w:lineRule="auto"/>
        <w:rPr>
          <w:rFonts w:cs="Arial"/>
          <w:b/>
          <w:lang w:val="es-ES"/>
        </w:rPr>
      </w:pPr>
      <w:r w:rsidRPr="003E7607">
        <w:rPr>
          <w:rFonts w:cs="Arial"/>
          <w:b/>
          <w:lang w:val="es-ES"/>
        </w:rPr>
        <w:t xml:space="preserve">Jurisdicción: </w:t>
      </w:r>
      <w:r w:rsidRPr="003E7607">
        <w:rPr>
          <w:rFonts w:cs="Arial"/>
          <w:bCs/>
          <w:lang w:val="es-ES"/>
        </w:rPr>
        <w:t>Comisión de Calidad y Salvaguardias del NDIS (</w:t>
      </w:r>
      <w:r w:rsidRPr="003E7607">
        <w:rPr>
          <w:rFonts w:cs="Arial"/>
          <w:lang w:val="es-ES"/>
        </w:rPr>
        <w:t>Programa Nacional de Seguro por Discapacidad</w:t>
      </w:r>
      <w:r w:rsidRPr="003E7607">
        <w:rPr>
          <w:rFonts w:cs="Arial"/>
          <w:bCs/>
          <w:lang w:val="es-ES"/>
        </w:rPr>
        <w:t>) del gobierno australiano</w:t>
      </w:r>
    </w:p>
    <w:p w14:paraId="6F17A1D7" w14:textId="77777777" w:rsidR="00067B97" w:rsidRPr="003E7607" w:rsidRDefault="00067B97" w:rsidP="00067B97">
      <w:pPr>
        <w:spacing w:before="240" w:after="240" w:line="240" w:lineRule="auto"/>
        <w:rPr>
          <w:rFonts w:cs="Arial"/>
          <w:b/>
          <w:lang w:val="es-ES"/>
        </w:rPr>
      </w:pPr>
      <w:r w:rsidRPr="003E7607">
        <w:rPr>
          <w:rFonts w:cs="Arial"/>
          <w:b/>
          <w:lang w:val="es-ES"/>
        </w:rPr>
        <w:t>TAP:</w:t>
      </w:r>
      <w:r w:rsidRPr="003E7607">
        <w:rPr>
          <w:rFonts w:cs="Arial"/>
          <w:lang w:val="es-ES"/>
        </w:rPr>
        <w:tab/>
        <w:t>Seguridad</w:t>
      </w:r>
    </w:p>
    <w:p w14:paraId="78A89ED3" w14:textId="77777777" w:rsidR="00067B97" w:rsidRPr="003E7607" w:rsidRDefault="00067B97" w:rsidP="00067B97">
      <w:pPr>
        <w:spacing w:before="240" w:after="240" w:line="240" w:lineRule="auto"/>
        <w:rPr>
          <w:rFonts w:cs="Arial"/>
          <w:b/>
          <w:lang w:val="es-ES"/>
        </w:rPr>
      </w:pPr>
      <w:r w:rsidRPr="003E7607">
        <w:rPr>
          <w:rFonts w:cs="Arial"/>
          <w:b/>
          <w:lang w:val="es-ES"/>
        </w:rPr>
        <w:t xml:space="preserve">Objetivo del TAP: </w:t>
      </w:r>
      <w:r w:rsidRPr="003E7607">
        <w:rPr>
          <w:rFonts w:cs="Arial"/>
          <w:lang w:val="es-ES"/>
        </w:rPr>
        <w:t>4. Reducir y prescindir del uso de prácticas restrictivas en todos los sistemas de servicios gubernamentales.</w:t>
      </w:r>
    </w:p>
    <w:p w14:paraId="77E2103E" w14:textId="77777777" w:rsidR="00067B97" w:rsidRPr="003E7607" w:rsidRDefault="00067B97" w:rsidP="00067B97">
      <w:pPr>
        <w:spacing w:before="240" w:after="240" w:line="240" w:lineRule="auto"/>
        <w:rPr>
          <w:rFonts w:cs="Arial"/>
          <w:b/>
          <w:lang w:val="es-ES"/>
        </w:rPr>
      </w:pPr>
      <w:r w:rsidRPr="003E7607">
        <w:rPr>
          <w:rFonts w:cs="Arial"/>
          <w:b/>
          <w:lang w:val="es-ES"/>
        </w:rPr>
        <w:t xml:space="preserve">Acción: </w:t>
      </w:r>
      <w:r w:rsidRPr="003E7607">
        <w:rPr>
          <w:rFonts w:cs="Arial"/>
          <w:lang w:val="es-ES"/>
        </w:rPr>
        <w:t>4.4 Aumentar los esfuerzos para educar y generar capacidad del sector de la discapacidad y del sector de la comunidad para apoyar al comportamiento y la reducción y eliminación de prácticas restrictivas.</w:t>
      </w:r>
    </w:p>
    <w:p w14:paraId="369603A6" w14:textId="77777777" w:rsidR="00067B97" w:rsidRPr="003E7607" w:rsidRDefault="00067B97" w:rsidP="00067B97">
      <w:pPr>
        <w:spacing w:before="240" w:after="240" w:line="240" w:lineRule="auto"/>
        <w:rPr>
          <w:rFonts w:cs="Arial"/>
          <w:b/>
          <w:lang w:val="es-ES"/>
        </w:rPr>
      </w:pPr>
      <w:r w:rsidRPr="003E7607">
        <w:rPr>
          <w:rFonts w:cs="Arial"/>
          <w:b/>
          <w:lang w:val="es-ES"/>
        </w:rPr>
        <w:t>Indicador:</w:t>
      </w:r>
      <w:r w:rsidRPr="003E7607">
        <w:rPr>
          <w:rFonts w:cs="Arial"/>
          <w:lang w:val="es-ES"/>
        </w:rPr>
        <w:tab/>
      </w:r>
    </w:p>
    <w:p w14:paraId="3416CB27" w14:textId="77777777" w:rsidR="00067B97" w:rsidRPr="003E7607" w:rsidRDefault="00067B97" w:rsidP="00067B97">
      <w:pPr>
        <w:spacing w:before="240" w:after="240" w:line="240" w:lineRule="auto"/>
        <w:rPr>
          <w:rFonts w:cs="Arial"/>
          <w:i/>
          <w:lang w:val="es-ES"/>
        </w:rPr>
      </w:pPr>
      <w:r w:rsidRPr="003E7607">
        <w:rPr>
          <w:rFonts w:cs="Arial"/>
          <w:i/>
          <w:lang w:val="es-ES"/>
        </w:rPr>
        <w:t>Indicadores de resultados</w:t>
      </w:r>
    </w:p>
    <w:p w14:paraId="697C5475" w14:textId="77777777" w:rsidR="00067B97" w:rsidRPr="003E7607" w:rsidRDefault="00067B97" w:rsidP="00067B97">
      <w:pPr>
        <w:numPr>
          <w:ilvl w:val="0"/>
          <w:numId w:val="6"/>
        </w:numPr>
        <w:spacing w:after="120" w:line="240" w:lineRule="auto"/>
        <w:rPr>
          <w:rFonts w:cs="Arial"/>
          <w:lang w:val="es-ES"/>
        </w:rPr>
      </w:pPr>
      <w:r w:rsidRPr="003E7607">
        <w:rPr>
          <w:rFonts w:cs="Arial"/>
          <w:lang w:val="es-ES"/>
        </w:rPr>
        <w:t>Reducción en el uso de prácticas restrictivas con el paso del tiempo.</w:t>
      </w:r>
    </w:p>
    <w:p w14:paraId="61C0FCAB" w14:textId="77777777" w:rsidR="00067B97" w:rsidRPr="003E7607" w:rsidRDefault="00067B97" w:rsidP="00067B97">
      <w:pPr>
        <w:spacing w:before="240" w:after="240" w:line="240" w:lineRule="auto"/>
        <w:rPr>
          <w:rFonts w:cs="Arial"/>
          <w:i/>
          <w:lang w:val="es-ES"/>
        </w:rPr>
      </w:pPr>
      <w:r w:rsidRPr="003E7607">
        <w:rPr>
          <w:rFonts w:cs="Arial"/>
          <w:i/>
          <w:lang w:val="es-ES"/>
        </w:rPr>
        <w:t>Indicadores de efectividad y eficiencia</w:t>
      </w:r>
    </w:p>
    <w:p w14:paraId="43AA291A" w14:textId="77777777" w:rsidR="00067B97" w:rsidRPr="003E7607" w:rsidRDefault="00067B97" w:rsidP="00067B97">
      <w:pPr>
        <w:numPr>
          <w:ilvl w:val="0"/>
          <w:numId w:val="6"/>
        </w:numPr>
        <w:spacing w:after="120" w:line="240" w:lineRule="auto"/>
        <w:rPr>
          <w:rFonts w:cs="Arial"/>
          <w:lang w:val="es-ES"/>
        </w:rPr>
      </w:pPr>
      <w:r w:rsidRPr="003E7607">
        <w:rPr>
          <w:rFonts w:cs="Arial"/>
          <w:lang w:val="es-ES"/>
        </w:rPr>
        <w:t>Las herramientas de educación y desarrollo de capacidades aumentan de manera efectiva la conciencia y la capacidad del sector de discapacidad, de los sistemas generales y de la comunidad para eliminar prácticas restrictivas.</w:t>
      </w:r>
    </w:p>
    <w:p w14:paraId="71F7A362" w14:textId="77777777" w:rsidR="00067B97" w:rsidRPr="003E7607" w:rsidRDefault="00067B97" w:rsidP="00067B97">
      <w:pPr>
        <w:spacing w:before="240" w:after="240" w:line="240" w:lineRule="auto"/>
        <w:rPr>
          <w:rFonts w:cs="Arial"/>
          <w:bCs/>
          <w:lang w:val="es-ES"/>
        </w:rPr>
      </w:pPr>
      <w:r w:rsidRPr="003E7607">
        <w:rPr>
          <w:rFonts w:cs="Arial"/>
          <w:b/>
          <w:lang w:val="es-ES"/>
        </w:rPr>
        <w:t xml:space="preserve">Estado: </w:t>
      </w:r>
      <w:r w:rsidRPr="003E7607">
        <w:rPr>
          <w:rFonts w:cs="Arial"/>
          <w:bCs/>
          <w:lang w:val="es-ES"/>
        </w:rPr>
        <w:t>En curso</w:t>
      </w:r>
    </w:p>
    <w:p w14:paraId="4443D7BE" w14:textId="77777777" w:rsidR="00067B97" w:rsidRPr="003E7607" w:rsidRDefault="00067B97" w:rsidP="00067B97">
      <w:pPr>
        <w:spacing w:before="240" w:after="240" w:line="240" w:lineRule="auto"/>
        <w:rPr>
          <w:rFonts w:cs="Arial"/>
          <w:b/>
          <w:lang w:val="es-ES"/>
        </w:rPr>
      </w:pPr>
      <w:r w:rsidRPr="003E7607">
        <w:rPr>
          <w:rFonts w:cs="Arial"/>
          <w:b/>
          <w:lang w:val="es-ES"/>
        </w:rPr>
        <w:t>Descripción:</w:t>
      </w:r>
    </w:p>
    <w:p w14:paraId="79B87880" w14:textId="77777777" w:rsidR="00067B97" w:rsidRPr="003E7607" w:rsidRDefault="00067B97" w:rsidP="00067B97">
      <w:pPr>
        <w:spacing w:before="240" w:after="240" w:line="240" w:lineRule="auto"/>
        <w:rPr>
          <w:rFonts w:cs="Arial"/>
          <w:lang w:val="es-ES"/>
        </w:rPr>
      </w:pPr>
      <w:r w:rsidRPr="003E7607">
        <w:rPr>
          <w:rFonts w:cs="Arial"/>
          <w:lang w:val="es-ES"/>
        </w:rPr>
        <w:t>Durante el período del informe, la Comisión del NDIS continuó educando al sector usando una variedad de métodos. Entre ellos:</w:t>
      </w:r>
    </w:p>
    <w:p w14:paraId="34F3B698" w14:textId="77777777" w:rsidR="00067B97" w:rsidRPr="003E7607" w:rsidRDefault="00067B97" w:rsidP="00067B97">
      <w:pPr>
        <w:numPr>
          <w:ilvl w:val="0"/>
          <w:numId w:val="12"/>
        </w:numPr>
        <w:spacing w:after="120" w:line="240" w:lineRule="auto"/>
        <w:ind w:left="432" w:hanging="432"/>
        <w:rPr>
          <w:rFonts w:cs="Arial"/>
          <w:lang w:val="es-ES"/>
        </w:rPr>
      </w:pPr>
      <w:r w:rsidRPr="003E7607">
        <w:rPr>
          <w:rFonts w:cs="Arial"/>
          <w:lang w:val="es-ES"/>
        </w:rPr>
        <w:t>659 actividades de participación, como reuniones con proveedores individuales, talleres grupales, comunidades de práctica, reuniones de redes interinstitucionales y sesiones educativas realizadas en colaboración con otras agencias, como la NDIA (Agencia nacional de Seguro por Discapacidad), el NDS (Servicio Nacional de Discapacidad), TAFE (Educación Técnica y Superior), organismos principales, y organismos de autorización a nivel estatal y territorial. La participación abarcó una gama de temas que abordan requisitos legislativos, calidad de los planes de apoyo al comportamiento y reducción y eliminación de prácticas restrictivas.</w:t>
      </w:r>
    </w:p>
    <w:p w14:paraId="04B0B4DF" w14:textId="77777777" w:rsidR="00067B97" w:rsidRPr="003E7607" w:rsidRDefault="00067B97" w:rsidP="00067B97">
      <w:pPr>
        <w:numPr>
          <w:ilvl w:val="0"/>
          <w:numId w:val="12"/>
        </w:numPr>
        <w:spacing w:after="120" w:line="240" w:lineRule="auto"/>
        <w:ind w:left="432" w:hanging="432"/>
        <w:rPr>
          <w:rFonts w:cs="Arial"/>
          <w:lang w:val="es-ES"/>
        </w:rPr>
      </w:pPr>
      <w:r w:rsidRPr="003E7607">
        <w:rPr>
          <w:rFonts w:cs="Arial"/>
          <w:lang w:val="es-ES"/>
        </w:rPr>
        <w:t>Enlace con universidades para apoyar los cursos de Apoyo al comportamiento positivo de la Universidad de Queensland, Universidad Flinders, Universidad Curtin, Universidad Monash y Universidad de Melbourne.</w:t>
      </w:r>
    </w:p>
    <w:p w14:paraId="0A1785B7" w14:textId="77777777" w:rsidR="00067B97" w:rsidRPr="003E7607" w:rsidRDefault="00067B97" w:rsidP="00067B97">
      <w:pPr>
        <w:numPr>
          <w:ilvl w:val="0"/>
          <w:numId w:val="12"/>
        </w:numPr>
        <w:spacing w:after="120" w:line="240" w:lineRule="auto"/>
        <w:ind w:left="432" w:hanging="432"/>
        <w:rPr>
          <w:rFonts w:cs="Arial"/>
          <w:lang w:val="es-ES"/>
        </w:rPr>
      </w:pPr>
      <w:r w:rsidRPr="003E7607">
        <w:rPr>
          <w:rFonts w:cs="Arial"/>
          <w:lang w:val="es-ES"/>
        </w:rPr>
        <w:t>Desarrollo de recursos de prácticas relacionados con el apoyo al comportamiento, las prácticas restrictivas y las obligaciones según la Ley de NDIS, que incluyen:</w:t>
      </w:r>
    </w:p>
    <w:p w14:paraId="43716185" w14:textId="77777777" w:rsidR="00067B97" w:rsidRPr="003E7607" w:rsidRDefault="00067B97" w:rsidP="00067B97">
      <w:pPr>
        <w:numPr>
          <w:ilvl w:val="0"/>
          <w:numId w:val="14"/>
        </w:numPr>
        <w:spacing w:after="120" w:line="240" w:lineRule="auto"/>
        <w:ind w:left="1167" w:hanging="562"/>
        <w:rPr>
          <w:rFonts w:cs="Arial"/>
          <w:lang w:val="es-ES"/>
        </w:rPr>
      </w:pPr>
      <w:r w:rsidRPr="003E7607">
        <w:rPr>
          <w:rFonts w:cs="Arial"/>
          <w:lang w:val="es-ES"/>
        </w:rPr>
        <w:t>Guías prácticas en relación con la identificación y el abordaje de problemas prácticos relacionados con prácticas restrictivas (por ejemplo, Guía de Práctica sobre Tecnología de Vigilancia, Guía Revisada de Transporte Seguro).</w:t>
      </w:r>
    </w:p>
    <w:p w14:paraId="6FB71350" w14:textId="77777777" w:rsidR="00067B97" w:rsidRPr="003E7607" w:rsidRDefault="00067B97" w:rsidP="00067B97">
      <w:pPr>
        <w:pStyle w:val="ListParagraph"/>
        <w:numPr>
          <w:ilvl w:val="0"/>
          <w:numId w:val="14"/>
        </w:numPr>
        <w:spacing w:after="120" w:line="240" w:lineRule="auto"/>
        <w:ind w:left="1167" w:hanging="562"/>
        <w:contextualSpacing w:val="0"/>
        <w:rPr>
          <w:rFonts w:cs="Arial"/>
          <w:lang w:val="es-ES"/>
        </w:rPr>
      </w:pPr>
      <w:r w:rsidRPr="003E7607">
        <w:rPr>
          <w:rFonts w:cs="Arial"/>
          <w:lang w:val="es-ES"/>
        </w:rPr>
        <w:lastRenderedPageBreak/>
        <w:t xml:space="preserve">Diseño conjunto de cinco hojas informativas para participantes acerca de apoyo al comportamiento, disponibles aquí: </w:t>
      </w:r>
      <w:hyperlink r:id="rId20" w:history="1">
        <w:r w:rsidRPr="003E7607">
          <w:rPr>
            <w:rFonts w:cs="Arial"/>
            <w:color w:val="0000FF"/>
            <w:u w:val="single"/>
            <w:lang w:val="es-ES"/>
          </w:rPr>
          <w:t>Hojas informativas para participantes acerca de apoyo al comportamiento | Comisión de Calidad y Salvaguardias del NDIS (ndiscommission.gov.au)</w:t>
        </w:r>
      </w:hyperlink>
      <w:r w:rsidRPr="003E7607">
        <w:rPr>
          <w:rFonts w:cs="Arial"/>
          <w:color w:val="0000FF"/>
          <w:lang w:val="es-ES"/>
        </w:rPr>
        <w:t>.</w:t>
      </w:r>
    </w:p>
    <w:p w14:paraId="5D6CE8C2" w14:textId="77777777" w:rsidR="00067B97" w:rsidRPr="003E7607" w:rsidRDefault="00067B97" w:rsidP="00067B97">
      <w:pPr>
        <w:pStyle w:val="ListParagraph"/>
        <w:numPr>
          <w:ilvl w:val="0"/>
          <w:numId w:val="14"/>
        </w:numPr>
        <w:spacing w:after="120" w:line="240" w:lineRule="auto"/>
        <w:ind w:left="1167" w:hanging="562"/>
        <w:contextualSpacing w:val="0"/>
        <w:rPr>
          <w:rFonts w:cs="Arial"/>
          <w:lang w:val="es-ES"/>
        </w:rPr>
      </w:pPr>
      <w:r w:rsidRPr="003E7607">
        <w:rPr>
          <w:rFonts w:cs="Arial"/>
          <w:lang w:val="es-ES"/>
        </w:rPr>
        <w:t>“Listas de verificación del plan de apoyo al comportamiento” que describen las buenas prácticas y las condiciones de registro que se aplican a los proveedores especializados en apoyo al comportamiento al desarrollar planes de apoyo al comportamiento.</w:t>
      </w:r>
    </w:p>
    <w:p w14:paraId="362A4EB1" w14:textId="77777777" w:rsidR="00067B97" w:rsidRPr="003E7607" w:rsidRDefault="00067B97" w:rsidP="00067B97">
      <w:pPr>
        <w:numPr>
          <w:ilvl w:val="0"/>
          <w:numId w:val="12"/>
        </w:numPr>
        <w:spacing w:before="240" w:after="240" w:line="240" w:lineRule="auto"/>
        <w:ind w:left="426" w:hanging="426"/>
        <w:rPr>
          <w:rFonts w:cs="Arial"/>
          <w:lang w:val="es-ES"/>
        </w:rPr>
      </w:pPr>
      <w:r w:rsidRPr="003E7607">
        <w:rPr>
          <w:rFonts w:cs="Arial"/>
          <w:lang w:val="es-ES"/>
        </w:rPr>
        <w:t>Publicación de recursos, entre ellos:</w:t>
      </w:r>
    </w:p>
    <w:p w14:paraId="1019AB94" w14:textId="77777777" w:rsidR="00067B97" w:rsidRPr="003E7607" w:rsidRDefault="007354AB" w:rsidP="00067B97">
      <w:pPr>
        <w:numPr>
          <w:ilvl w:val="0"/>
          <w:numId w:val="13"/>
        </w:numPr>
        <w:spacing w:after="120" w:line="240" w:lineRule="auto"/>
        <w:ind w:left="1170" w:hanging="432"/>
        <w:rPr>
          <w:rFonts w:cs="Arial"/>
          <w:lang w:val="es-ES"/>
        </w:rPr>
      </w:pPr>
      <w:hyperlink r:id="rId21" w:history="1">
        <w:r w:rsidR="00067B97" w:rsidRPr="003E7607">
          <w:rPr>
            <w:rFonts w:cs="Arial"/>
            <w:color w:val="0000FF"/>
            <w:u w:val="single"/>
            <w:lang w:val="es-ES"/>
          </w:rPr>
          <w:t>La evidencia importa | Comisión de Calidad y Salvaguardias del NDIS</w:t>
        </w:r>
      </w:hyperlink>
      <w:r w:rsidR="00067B97" w:rsidRPr="003E7607">
        <w:rPr>
          <w:rFonts w:cs="Arial"/>
          <w:lang w:val="es-ES"/>
        </w:rPr>
        <w:t>: una colección de recursos basados en evidencia para proveedores, participantes y sus ayudantes para mejorar la práctica de apoyo al comportamiento y reducir prácticas restrictivas</w:t>
      </w:r>
    </w:p>
    <w:p w14:paraId="43D806FC" w14:textId="77777777" w:rsidR="00067B97" w:rsidRPr="003E7607" w:rsidRDefault="007354AB" w:rsidP="00067B97">
      <w:pPr>
        <w:numPr>
          <w:ilvl w:val="1"/>
          <w:numId w:val="12"/>
        </w:numPr>
        <w:spacing w:after="120" w:line="240" w:lineRule="auto"/>
        <w:ind w:left="1170" w:hanging="432"/>
        <w:rPr>
          <w:rFonts w:cs="Arial"/>
          <w:lang w:val="es-ES"/>
        </w:rPr>
      </w:pPr>
      <w:hyperlink r:id="rId22" w:history="1">
        <w:r w:rsidR="00067B97" w:rsidRPr="003E7607">
          <w:rPr>
            <w:rFonts w:cs="Arial"/>
            <w:color w:val="0000FF"/>
            <w:u w:val="single"/>
            <w:lang w:val="es-ES"/>
          </w:rPr>
          <w:t>Medicamentos para la salud, no para el control | Comisión de Calidad y Salvaguardia del NDIS</w:t>
        </w:r>
        <w:r w:rsidR="00067B97" w:rsidRPr="003E7607">
          <w:rPr>
            <w:rFonts w:cs="Arial"/>
            <w:lang w:val="es-ES"/>
          </w:rPr>
          <w:t>:</w:t>
        </w:r>
      </w:hyperlink>
      <w:r w:rsidR="00067B97" w:rsidRPr="003E7607">
        <w:rPr>
          <w:rFonts w:cs="Arial"/>
          <w:lang w:val="es-ES"/>
        </w:rPr>
        <w:t xml:space="preserve"> una colección centralizada de recursos y herramientas prácticas para proveedores, participantes y sus ayudantes para reducir y eliminar el uso de prácticas restrictivas.</w:t>
      </w:r>
    </w:p>
    <w:p w14:paraId="5190D08E" w14:textId="77777777" w:rsidR="00067B97" w:rsidRPr="003E7607" w:rsidRDefault="00067B97" w:rsidP="00067B97">
      <w:pPr>
        <w:spacing w:before="240" w:after="240" w:line="240" w:lineRule="auto"/>
        <w:rPr>
          <w:rFonts w:cs="Arial"/>
          <w:lang w:val="es-ES"/>
        </w:rPr>
      </w:pPr>
      <w:r w:rsidRPr="003E7607">
        <w:rPr>
          <w:rFonts w:cs="Arial"/>
          <w:lang w:val="es-ES"/>
        </w:rPr>
        <w:t xml:space="preserve">La Comisión del NDIS publicó 15 Alertas de prácticas que ofrecen orientación sobre las mejores prácticas a los proveedores de servicios para personas con discapacidad, para que identifiquen y respondan a riesgos, disponibles en: </w:t>
      </w:r>
      <w:hyperlink r:id="rId23" w:history="1">
        <w:r w:rsidRPr="003E7607">
          <w:rPr>
            <w:rFonts w:cs="Arial"/>
            <w:color w:val="0000FF"/>
            <w:u w:val="single"/>
            <w:lang w:val="es-ES"/>
          </w:rPr>
          <w:t>Alertas de prácticas | Comisión de Calidad y Salvaguardias del NDIS (ndiscommission.gov.au)</w:t>
        </w:r>
      </w:hyperlink>
      <w:r w:rsidRPr="003E7607">
        <w:rPr>
          <w:rFonts w:cs="Arial"/>
          <w:color w:val="0000FF"/>
          <w:lang w:val="es-ES"/>
        </w:rPr>
        <w:t>.</w:t>
      </w:r>
    </w:p>
    <w:p w14:paraId="3B9DBDB7" w14:textId="77777777" w:rsidR="00067B97" w:rsidRPr="003E7607" w:rsidRDefault="00067B97" w:rsidP="00067B97">
      <w:pPr>
        <w:spacing w:before="240" w:after="240" w:line="240" w:lineRule="auto"/>
        <w:rPr>
          <w:rFonts w:cs="Arial"/>
          <w:lang w:val="es-ES"/>
        </w:rPr>
      </w:pPr>
      <w:r w:rsidRPr="003E7607">
        <w:rPr>
          <w:rFonts w:cs="Arial"/>
          <w:lang w:val="es-ES"/>
        </w:rPr>
        <w:t>La división de Calidad de Prácticas y Asesoramiento Clínico gestionó cuatro subvenciones administradas, relacionadas con el aumento de la calidad de los servicios de apoyo al comportamiento en el sector.</w:t>
      </w:r>
    </w:p>
    <w:p w14:paraId="60D6693F" w14:textId="2D83DF10" w:rsidR="00067B97" w:rsidRPr="003E3C14" w:rsidRDefault="00067B97" w:rsidP="00067B97">
      <w:pPr>
        <w:spacing w:before="240" w:after="240" w:line="240" w:lineRule="auto"/>
        <w:rPr>
          <w:rFonts w:cs="Arial"/>
        </w:rPr>
      </w:pPr>
      <w:r w:rsidRPr="003E7607">
        <w:rPr>
          <w:rFonts w:cs="Arial"/>
          <w:lang w:val="es-ES"/>
        </w:rPr>
        <w:t>Además, se llevaron a cabo tres clases magistrales en línea para proveedores de servicios para personas con discapacidad. Estas clases magistrales abordaron temas como medicamentos para la salud, no para el control, riesgos de estilo de vida y evaluación integral de la salud, y manejo de la epilepsia.</w:t>
      </w:r>
    </w:p>
    <w:p w14:paraId="64D9602E" w14:textId="77777777" w:rsidR="001F7ED0" w:rsidRPr="003E3C14" w:rsidRDefault="001F7ED0" w:rsidP="00067B97">
      <w:pPr>
        <w:pStyle w:val="NoSpacing"/>
        <w:spacing w:before="240" w:after="240"/>
      </w:pPr>
      <w:r w:rsidRPr="003E3C14">
        <w:br w:type="page"/>
      </w:r>
    </w:p>
    <w:p w14:paraId="024BBC3A" w14:textId="3768BC1A" w:rsidR="001F7ED0" w:rsidRPr="003E3C14" w:rsidRDefault="008A4F02" w:rsidP="00515A1C">
      <w:pPr>
        <w:pStyle w:val="Heading2"/>
      </w:pPr>
      <w:bookmarkStart w:id="36" w:name="_Toc153314051"/>
      <w:r w:rsidRPr="003E7607">
        <w:rPr>
          <w:rFonts w:cs="Arial"/>
          <w:lang w:val="es-ES"/>
        </w:rPr>
        <w:lastRenderedPageBreak/>
        <w:t>Las reuniones de Gestión de Emergencias deben incluir a los proveedores de servicios para personas con discapacidad</w:t>
      </w:r>
      <w:bookmarkEnd w:id="36"/>
    </w:p>
    <w:p w14:paraId="070C1DE2" w14:textId="77777777" w:rsidR="008A4F02" w:rsidRPr="003E7607" w:rsidRDefault="008A4F02" w:rsidP="008A4F02">
      <w:pPr>
        <w:spacing w:before="240" w:after="240" w:line="240" w:lineRule="auto"/>
        <w:rPr>
          <w:rFonts w:cs="Arial"/>
          <w:b/>
          <w:lang w:val="es-ES"/>
        </w:rPr>
      </w:pPr>
      <w:r w:rsidRPr="003E7607">
        <w:rPr>
          <w:rFonts w:cs="Arial"/>
          <w:b/>
          <w:lang w:val="es-ES"/>
        </w:rPr>
        <w:t xml:space="preserve">Jurisdicción: </w:t>
      </w:r>
      <w:r w:rsidRPr="003E7607">
        <w:rPr>
          <w:rFonts w:cs="Arial"/>
          <w:lang w:val="es-ES"/>
        </w:rPr>
        <w:t>Territorio del Norte: Policía, bomberos y servicios de emergencia</w:t>
      </w:r>
    </w:p>
    <w:p w14:paraId="76E3212B" w14:textId="77777777" w:rsidR="008A4F02" w:rsidRPr="003E7607" w:rsidRDefault="008A4F02" w:rsidP="008A4F02">
      <w:pPr>
        <w:spacing w:before="240" w:after="240" w:line="240" w:lineRule="auto"/>
        <w:rPr>
          <w:rFonts w:cs="Arial"/>
          <w:b/>
          <w:lang w:val="es-ES"/>
        </w:rPr>
      </w:pPr>
      <w:r w:rsidRPr="003E7607">
        <w:rPr>
          <w:rFonts w:cs="Arial"/>
          <w:b/>
          <w:lang w:val="es-ES"/>
        </w:rPr>
        <w:t xml:space="preserve">TAP: </w:t>
      </w:r>
      <w:r w:rsidRPr="003E7607">
        <w:rPr>
          <w:rFonts w:cs="Arial"/>
          <w:lang w:val="es-ES"/>
        </w:rPr>
        <w:t>Gestión de emergencias</w:t>
      </w:r>
    </w:p>
    <w:p w14:paraId="027C6610" w14:textId="77777777" w:rsidR="008A4F02" w:rsidRPr="003E7607" w:rsidRDefault="008A4F02" w:rsidP="008A4F02">
      <w:pPr>
        <w:spacing w:before="240" w:after="240" w:line="240" w:lineRule="auto"/>
        <w:rPr>
          <w:rFonts w:cs="Arial"/>
          <w:b/>
          <w:lang w:val="es-ES"/>
        </w:rPr>
      </w:pPr>
      <w:r w:rsidRPr="003E7607">
        <w:rPr>
          <w:rFonts w:cs="Arial"/>
          <w:b/>
          <w:lang w:val="es-ES"/>
        </w:rPr>
        <w:t xml:space="preserve">Objetivo del TAP </w:t>
      </w:r>
      <w:r w:rsidRPr="003E7607">
        <w:rPr>
          <w:rFonts w:cs="Arial"/>
          <w:lang w:val="es-ES"/>
        </w:rPr>
        <w:t xml:space="preserve">1. Garantizar que los procesos de planificación ante catástrofes o emergencias para llevar a cabo evaluaciones de riesgos de catástrofes, y el posterior desarrollo y mantenimiento de planes de gestión de catástrofes o emergencias incluyan a las personas con discapacidad. </w:t>
      </w:r>
      <w:r w:rsidRPr="003E7607">
        <w:rPr>
          <w:rFonts w:cs="Arial"/>
          <w:lang w:val="es-ES"/>
        </w:rPr>
        <w:tab/>
      </w:r>
    </w:p>
    <w:p w14:paraId="79641574" w14:textId="77777777" w:rsidR="008A4F02" w:rsidRPr="003E7607" w:rsidRDefault="008A4F02" w:rsidP="008A4F02">
      <w:pPr>
        <w:spacing w:before="240" w:after="240" w:line="240" w:lineRule="auto"/>
        <w:rPr>
          <w:rFonts w:cs="Arial"/>
          <w:b/>
          <w:lang w:val="es-ES"/>
        </w:rPr>
      </w:pPr>
      <w:r w:rsidRPr="003E7607">
        <w:rPr>
          <w:rFonts w:cs="Arial"/>
          <w:b/>
          <w:lang w:val="es-ES"/>
        </w:rPr>
        <w:t>Acción:</w:t>
      </w:r>
      <w:r w:rsidRPr="003E7607">
        <w:rPr>
          <w:rFonts w:cs="Arial"/>
          <w:lang w:val="es-ES"/>
        </w:rPr>
        <w:t xml:space="preserve"> 1.2 Las reuniones interinstitucionales y sectoriales de Gestión de Emergencias deben incluir a los proveedores de servicios para personas con discapacidad.</w:t>
      </w:r>
    </w:p>
    <w:p w14:paraId="0F97F257" w14:textId="77777777" w:rsidR="008A4F02" w:rsidRPr="003E7607" w:rsidRDefault="008A4F02" w:rsidP="008A4F02">
      <w:pPr>
        <w:spacing w:before="240" w:after="240" w:line="240" w:lineRule="auto"/>
        <w:rPr>
          <w:rFonts w:cs="Arial"/>
          <w:lang w:val="es-ES"/>
        </w:rPr>
      </w:pPr>
      <w:r w:rsidRPr="003E7607">
        <w:rPr>
          <w:rFonts w:cs="Arial"/>
          <w:lang w:val="es-ES"/>
        </w:rPr>
        <w:t>El Equipo de Desarrollo de Discapacidades dentro del Departamento de Familias, Vivienda y Comunidades del Territorio apoya a la División de Justicia Juvenil; a los cuidadores familiares y temporales, y a las familias clientes del Territorio con discapacidades o retraso en el desarrollo diagnosticados o sospechados.</w:t>
      </w:r>
    </w:p>
    <w:p w14:paraId="5338ACED" w14:textId="77777777" w:rsidR="008A4F02" w:rsidRPr="003E7607" w:rsidRDefault="008A4F02" w:rsidP="008A4F02">
      <w:pPr>
        <w:spacing w:before="240" w:after="240" w:line="240" w:lineRule="auto"/>
        <w:rPr>
          <w:rFonts w:cs="Arial"/>
          <w:b/>
          <w:lang w:val="es-ES"/>
        </w:rPr>
      </w:pPr>
      <w:r w:rsidRPr="003E7607">
        <w:rPr>
          <w:rFonts w:cs="Arial"/>
          <w:b/>
          <w:lang w:val="es-ES"/>
        </w:rPr>
        <w:t>Indicador:</w:t>
      </w:r>
    </w:p>
    <w:p w14:paraId="404ED837" w14:textId="77777777" w:rsidR="008A4F02" w:rsidRPr="003E7607" w:rsidRDefault="008A4F02" w:rsidP="008A4F02">
      <w:pPr>
        <w:pStyle w:val="ListParagraph"/>
        <w:numPr>
          <w:ilvl w:val="0"/>
          <w:numId w:val="9"/>
        </w:numPr>
        <w:spacing w:after="120" w:line="240" w:lineRule="auto"/>
        <w:ind w:left="461" w:hanging="425"/>
        <w:contextualSpacing w:val="0"/>
        <w:rPr>
          <w:rFonts w:cs="Arial"/>
          <w:lang w:val="es-ES"/>
        </w:rPr>
      </w:pPr>
      <w:r w:rsidRPr="003E7607">
        <w:rPr>
          <w:rFonts w:cs="Arial"/>
          <w:lang w:val="es-ES"/>
        </w:rPr>
        <w:t>Las redes interinstitucionales aumentaron la representación del sector de discapacidad y de personas con experiencias vividas de discapacidad mediante su participación en reuniones de gestión de incidentes, reuniones de grupos de bienestar y sesiones informativas del sector de grupos de bienestar.</w:t>
      </w:r>
    </w:p>
    <w:p w14:paraId="2BC980D6" w14:textId="77777777" w:rsidR="008A4F02" w:rsidRPr="003E7607" w:rsidRDefault="008A4F02" w:rsidP="008A4F02">
      <w:pPr>
        <w:pStyle w:val="ListParagraph"/>
        <w:numPr>
          <w:ilvl w:val="0"/>
          <w:numId w:val="9"/>
        </w:numPr>
        <w:spacing w:after="120" w:line="240" w:lineRule="auto"/>
        <w:ind w:left="461" w:hanging="426"/>
        <w:contextualSpacing w:val="0"/>
        <w:rPr>
          <w:rFonts w:cs="Arial"/>
          <w:lang w:val="es-ES"/>
        </w:rPr>
      </w:pPr>
      <w:r w:rsidRPr="003E7607">
        <w:rPr>
          <w:rFonts w:cs="Arial"/>
          <w:lang w:val="es-ES"/>
        </w:rPr>
        <w:t>Las personas con experiencias vividas de discapacidad, cuidadores y tutores están informados y acceden a información en tiempo real durante las etapas de planificación y preparación en la planificación de la gestión de catástrofes o emergencias.</w:t>
      </w:r>
    </w:p>
    <w:p w14:paraId="6C6056D3" w14:textId="77777777" w:rsidR="008A4F02" w:rsidRPr="003E7607" w:rsidRDefault="008A4F02" w:rsidP="008A4F02">
      <w:pPr>
        <w:spacing w:before="240" w:after="240" w:line="240" w:lineRule="auto"/>
        <w:rPr>
          <w:rFonts w:cs="Arial"/>
          <w:bCs/>
          <w:lang w:val="es-ES"/>
        </w:rPr>
      </w:pPr>
      <w:r w:rsidRPr="003E7607">
        <w:rPr>
          <w:rFonts w:cs="Arial"/>
          <w:b/>
          <w:lang w:val="es-ES"/>
        </w:rPr>
        <w:t>Estado:</w:t>
      </w:r>
      <w:r w:rsidRPr="003E7607">
        <w:rPr>
          <w:rFonts w:cs="Arial"/>
          <w:bCs/>
          <w:lang w:val="es-ES"/>
        </w:rPr>
        <w:t xml:space="preserve"> En curso</w:t>
      </w:r>
    </w:p>
    <w:p w14:paraId="46EFC8A0" w14:textId="77777777" w:rsidR="008A4F02" w:rsidRPr="003E7607" w:rsidRDefault="008A4F02" w:rsidP="008A4F02">
      <w:pPr>
        <w:spacing w:before="240" w:after="240" w:line="240" w:lineRule="auto"/>
        <w:rPr>
          <w:rFonts w:cs="Arial"/>
          <w:b/>
          <w:lang w:val="es-ES"/>
        </w:rPr>
      </w:pPr>
      <w:r w:rsidRPr="003E7607">
        <w:rPr>
          <w:rFonts w:cs="Arial"/>
          <w:b/>
          <w:lang w:val="es-ES"/>
        </w:rPr>
        <w:t>Descripción:</w:t>
      </w:r>
    </w:p>
    <w:p w14:paraId="77F07238" w14:textId="77777777" w:rsidR="008A4F02" w:rsidRPr="003E7607" w:rsidRDefault="008A4F02" w:rsidP="008A4F02">
      <w:pPr>
        <w:spacing w:before="240" w:after="240" w:line="240" w:lineRule="auto"/>
        <w:rPr>
          <w:rFonts w:cs="Arial"/>
          <w:lang w:val="es-ES"/>
        </w:rPr>
      </w:pPr>
      <w:r w:rsidRPr="003E7607">
        <w:rPr>
          <w:rFonts w:cs="Arial"/>
          <w:lang w:val="es-ES"/>
        </w:rPr>
        <w:t>Las agencias líderes de respuesta para peligros identificados (emergencias) se detallan en el Plan de Emergencia del Territorio, liderado por el Departamento del Jefe de Ministros y el Gabinete (Department of Chief Minister and Cabinet) (DCMC). La Autoridad de Gestión de Peligros (Hazard Manangement Authority) (HMA) es la agencia del gobierno del Territorio del Norte (NTG) responsable de coordinar y preparar planes y capacidades en respuesta a un peligro específico. Responder a las necesidades de personas de alto riesgo en una emergencia es una responsabilidad compartida entre la comunidad, los proveedores de servicios y los sectores gubernamentales.</w:t>
      </w:r>
    </w:p>
    <w:p w14:paraId="5E5AD537" w14:textId="77777777" w:rsidR="008A4F02" w:rsidRPr="003E7607" w:rsidRDefault="008A4F02" w:rsidP="008A4F02">
      <w:pPr>
        <w:spacing w:before="240" w:after="240" w:line="240" w:lineRule="auto"/>
        <w:rPr>
          <w:rFonts w:cs="Arial"/>
          <w:lang w:val="es-ES"/>
        </w:rPr>
      </w:pPr>
      <w:r w:rsidRPr="003E7607">
        <w:rPr>
          <w:rFonts w:cs="Arial"/>
          <w:lang w:val="es-ES"/>
        </w:rPr>
        <w:t>Los Servicios de Emergencia del Territorio del Norte ofrecen reuniones informativas públicas y gratuitas acerca de cómo prepararse, responder y recuperarse de peligros identificados, gestionadas a través de nuestra Unidad de Participación Comunitaria, para brindar asesoramiento acerca de cómo una planificación y preparación minuciosas pueden reducir el riesgo de una persona ante un acontecimiento.</w:t>
      </w:r>
    </w:p>
    <w:p w14:paraId="5DB27705" w14:textId="77777777" w:rsidR="008A4F02" w:rsidRPr="003E7607" w:rsidRDefault="008A4F02" w:rsidP="008A4F02">
      <w:pPr>
        <w:spacing w:before="240" w:after="240" w:line="240" w:lineRule="auto"/>
        <w:rPr>
          <w:rFonts w:cs="Arial"/>
          <w:lang w:val="es-ES"/>
        </w:rPr>
      </w:pPr>
      <w:r w:rsidRPr="003E7607">
        <w:rPr>
          <w:rFonts w:cs="Arial"/>
          <w:lang w:val="es-ES"/>
        </w:rPr>
        <w:lastRenderedPageBreak/>
        <w:t>El Grupo de Información Pública (Public Information Group) (PIG), liderado por el DCMC, asegura la difusión oportuna, precisa y coordinada de información pública en caso de una amenaza o emergencia, en colaboración con corporaciones del gobierno y cualquier organización asociada o partes interesadas clave.</w:t>
      </w:r>
    </w:p>
    <w:p w14:paraId="53192779" w14:textId="35511464" w:rsidR="008A4F02" w:rsidRDefault="008A4F02" w:rsidP="008A4F02">
      <w:pPr>
        <w:spacing w:before="240" w:after="240" w:line="240" w:lineRule="auto"/>
        <w:rPr>
          <w:rFonts w:cs="Arial"/>
          <w:lang w:val="es-ES"/>
        </w:rPr>
      </w:pPr>
      <w:r w:rsidRPr="003E7607">
        <w:rPr>
          <w:rFonts w:cs="Arial"/>
          <w:lang w:val="es-ES"/>
        </w:rPr>
        <w:t>Una responsabilidad clave del PIG es liderar el desarrollo y la difusión de todos los mensajes públicos del NTG durante la respuesta y la recuperación; puede estar incluida la coordinación de intérpretes de la lengua de señas australiana (AUSLAN) para mensajes públicos televisados y materiales traducidos. En la actualidad, el PIG está actualizando la memoria caché de los mensajes en idioma para que se alinee con el nuevo Sistema de Advertencias Australiano.</w:t>
      </w:r>
    </w:p>
    <w:p w14:paraId="02881DEB" w14:textId="77777777" w:rsidR="008A4F02" w:rsidRDefault="008A4F02">
      <w:pPr>
        <w:rPr>
          <w:rFonts w:cs="Arial"/>
          <w:lang w:val="es-ES"/>
        </w:rPr>
      </w:pPr>
      <w:r>
        <w:rPr>
          <w:rFonts w:cs="Arial"/>
          <w:lang w:val="es-ES"/>
        </w:rPr>
        <w:br w:type="page"/>
      </w:r>
    </w:p>
    <w:p w14:paraId="5BA2EE5D" w14:textId="05859CF0" w:rsidR="00D1030A" w:rsidRPr="003E3C14" w:rsidRDefault="009F25B5" w:rsidP="00515A1C">
      <w:pPr>
        <w:pStyle w:val="Heading2"/>
      </w:pPr>
      <w:bookmarkStart w:id="37" w:name="_Toc153314052"/>
      <w:r w:rsidRPr="003E7607">
        <w:rPr>
          <w:rFonts w:cs="Arial"/>
          <w:lang w:val="es-ES"/>
        </w:rPr>
        <w:lastRenderedPageBreak/>
        <w:t>Iniciativa de Respuesta a Crisis de Violencia Familiar en Personas con Discapacidad</w:t>
      </w:r>
      <w:bookmarkEnd w:id="37"/>
    </w:p>
    <w:p w14:paraId="509D05BE" w14:textId="77777777" w:rsidR="003C1FCE" w:rsidRPr="003E7607" w:rsidRDefault="003C1FCE" w:rsidP="003C1FCE">
      <w:pPr>
        <w:spacing w:before="240" w:after="240" w:line="240" w:lineRule="auto"/>
        <w:rPr>
          <w:rFonts w:cs="Arial"/>
          <w:b/>
          <w:lang w:val="es-ES"/>
        </w:rPr>
      </w:pPr>
      <w:r w:rsidRPr="003E7607">
        <w:rPr>
          <w:rFonts w:cs="Arial"/>
          <w:b/>
          <w:lang w:val="es-ES"/>
        </w:rPr>
        <w:t xml:space="preserve">Jurisdicción: </w:t>
      </w:r>
      <w:r w:rsidRPr="003E7607">
        <w:rPr>
          <w:rFonts w:cs="Arial"/>
          <w:lang w:val="es-ES"/>
        </w:rPr>
        <w:t>Victoria</w:t>
      </w:r>
    </w:p>
    <w:p w14:paraId="32F2194C" w14:textId="77777777" w:rsidR="003C1FCE" w:rsidRPr="003E7607" w:rsidRDefault="003C1FCE" w:rsidP="003C1FCE">
      <w:pPr>
        <w:spacing w:before="240" w:after="240" w:line="240" w:lineRule="auto"/>
        <w:rPr>
          <w:rFonts w:cs="Arial"/>
          <w:b/>
          <w:lang w:val="es-ES"/>
        </w:rPr>
      </w:pPr>
      <w:r w:rsidRPr="003E7607">
        <w:rPr>
          <w:rFonts w:cs="Arial"/>
          <w:b/>
          <w:lang w:val="es-ES"/>
        </w:rPr>
        <w:t>TAP:</w:t>
      </w:r>
      <w:r w:rsidRPr="003E7607">
        <w:rPr>
          <w:rFonts w:cs="Arial"/>
          <w:lang w:val="es-ES"/>
        </w:rPr>
        <w:tab/>
        <w:t>Seguridad</w:t>
      </w:r>
    </w:p>
    <w:p w14:paraId="0CC15932" w14:textId="77777777" w:rsidR="003C1FCE" w:rsidRPr="003E7607" w:rsidRDefault="003C1FCE" w:rsidP="003C1FCE">
      <w:pPr>
        <w:spacing w:before="240" w:after="240" w:line="240" w:lineRule="auto"/>
        <w:rPr>
          <w:rFonts w:cs="Arial"/>
          <w:b/>
          <w:lang w:val="es-ES"/>
        </w:rPr>
      </w:pPr>
      <w:r w:rsidRPr="003E7607">
        <w:rPr>
          <w:rFonts w:cs="Arial"/>
          <w:b/>
          <w:lang w:val="es-ES"/>
        </w:rPr>
        <w:t xml:space="preserve">Objetivo del TAP: </w:t>
      </w:r>
      <w:r w:rsidRPr="003E7607">
        <w:rPr>
          <w:rFonts w:cs="Arial"/>
          <w:lang w:val="es-ES"/>
        </w:rPr>
        <w:t xml:space="preserve">3. </w:t>
      </w:r>
      <w:r w:rsidRPr="003E7607">
        <w:rPr>
          <w:rFonts w:cs="Arial"/>
          <w:bCs/>
          <w:lang w:val="es-ES"/>
        </w:rPr>
        <w:t>Fortalecer el diseño de todos los sistemas de servicios gubernamentales y los apoyos que proporcionan a las personas con discapacidad en riesgo de daños.</w:t>
      </w:r>
    </w:p>
    <w:p w14:paraId="70878BCF" w14:textId="77777777" w:rsidR="003C1FCE" w:rsidRPr="003E7607" w:rsidRDefault="003C1FCE" w:rsidP="003C1FCE">
      <w:pPr>
        <w:spacing w:before="240" w:after="240" w:line="240" w:lineRule="auto"/>
        <w:rPr>
          <w:rFonts w:cs="Arial"/>
          <w:bCs/>
          <w:lang w:val="es-ES"/>
        </w:rPr>
      </w:pPr>
      <w:r w:rsidRPr="003E7607">
        <w:rPr>
          <w:rFonts w:cs="Arial"/>
          <w:b/>
          <w:lang w:val="es-ES"/>
        </w:rPr>
        <w:t xml:space="preserve">Acción: </w:t>
      </w:r>
      <w:r w:rsidRPr="003E7607">
        <w:rPr>
          <w:rFonts w:cs="Arial"/>
          <w:bCs/>
          <w:lang w:val="es-ES"/>
        </w:rPr>
        <w:t>3.3 Iniciativa de Respuesta a Crisis de Violencia Familiar en Personas con Discapacidad: Esta iniciativa proporciona fondos de intermediación para personas con discapacidad que escapan de la violencia familiar y financia el puesto de Coordinador de Respuesta a Crisis de Violencia Familiar en Personas con Discapacidad.</w:t>
      </w:r>
    </w:p>
    <w:p w14:paraId="1B0B6A54" w14:textId="77777777" w:rsidR="003C1FCE" w:rsidRPr="003E7607" w:rsidRDefault="003C1FCE" w:rsidP="003C1FCE">
      <w:pPr>
        <w:spacing w:before="240" w:after="240" w:line="240" w:lineRule="auto"/>
        <w:rPr>
          <w:rFonts w:cs="Arial"/>
          <w:b/>
          <w:lang w:val="es-ES"/>
        </w:rPr>
      </w:pPr>
      <w:r w:rsidRPr="003E7607">
        <w:rPr>
          <w:rFonts w:cs="Arial"/>
          <w:b/>
          <w:lang w:val="es-ES"/>
        </w:rPr>
        <w:t xml:space="preserve">Indicador: </w:t>
      </w:r>
      <w:r w:rsidRPr="003E7607">
        <w:rPr>
          <w:rFonts w:cs="Arial"/>
          <w:lang w:val="es-ES"/>
        </w:rPr>
        <w:t>Cantidad de clientes asistidos y fondos de intermediación asignados.</w:t>
      </w:r>
    </w:p>
    <w:p w14:paraId="1FFAE22C" w14:textId="77777777" w:rsidR="003C1FCE" w:rsidRPr="003E7607" w:rsidRDefault="003C1FCE" w:rsidP="003C1FCE">
      <w:pPr>
        <w:spacing w:before="240" w:after="240" w:line="240" w:lineRule="auto"/>
        <w:rPr>
          <w:rFonts w:cs="Arial"/>
          <w:b/>
          <w:lang w:val="es-ES"/>
        </w:rPr>
      </w:pPr>
      <w:r w:rsidRPr="003E7607">
        <w:rPr>
          <w:rFonts w:cs="Arial"/>
          <w:b/>
          <w:lang w:val="es-ES"/>
        </w:rPr>
        <w:t xml:space="preserve">Estado: </w:t>
      </w:r>
      <w:r w:rsidRPr="003E7607">
        <w:rPr>
          <w:rFonts w:cs="Arial"/>
          <w:lang w:val="es-ES"/>
        </w:rPr>
        <w:t>Completada</w:t>
      </w:r>
    </w:p>
    <w:p w14:paraId="76C37AA9" w14:textId="77777777" w:rsidR="003C1FCE" w:rsidRPr="003E7607" w:rsidRDefault="003C1FCE" w:rsidP="003C1FCE">
      <w:pPr>
        <w:spacing w:before="240" w:after="240" w:line="240" w:lineRule="auto"/>
        <w:rPr>
          <w:rFonts w:cs="Arial"/>
          <w:b/>
          <w:lang w:val="es-ES"/>
        </w:rPr>
      </w:pPr>
      <w:r w:rsidRPr="003E7607">
        <w:rPr>
          <w:rFonts w:cs="Arial"/>
          <w:b/>
          <w:lang w:val="es-ES"/>
        </w:rPr>
        <w:t>Descripción:</w:t>
      </w:r>
      <w:r w:rsidRPr="003E7607">
        <w:rPr>
          <w:rFonts w:cs="Arial"/>
          <w:lang w:val="es-ES"/>
        </w:rPr>
        <w:t xml:space="preserve"> </w:t>
      </w:r>
    </w:p>
    <w:p w14:paraId="4445ACF1" w14:textId="77777777" w:rsidR="003C1FCE" w:rsidRPr="003E7607" w:rsidRDefault="003C1FCE" w:rsidP="003C1FCE">
      <w:pPr>
        <w:spacing w:before="240" w:after="240" w:line="240" w:lineRule="auto"/>
        <w:rPr>
          <w:rFonts w:cs="Arial"/>
          <w:lang w:val="es-ES"/>
        </w:rPr>
      </w:pPr>
      <w:r w:rsidRPr="003E7607">
        <w:rPr>
          <w:rFonts w:cs="Arial"/>
          <w:lang w:val="es-ES"/>
        </w:rPr>
        <w:t>La Iniciativa de Respuesta a Crisis de Violencia Familiar en Personas con Discapacidad brindó asistencia práctica inmediata a más de 250 víctimas sobrevivientes con discapacidad en crisis. Las víctimas sobrevivientes accedieron a más de $100.000 en apoyos relacionados con la discapacidad para permanecer seguras y/o escapar de la violencia familiar. Están incluidos fondos para trabajadores de atención personal y cuidadores, ayudas para la discapacidad, tecnologías de asistencia y opciones de transporte accesible.</w:t>
      </w:r>
    </w:p>
    <w:p w14:paraId="400863A8" w14:textId="77777777" w:rsidR="003C1FCE" w:rsidRPr="003E7607" w:rsidRDefault="003C1FCE" w:rsidP="003C1FCE">
      <w:pPr>
        <w:spacing w:before="240" w:after="240" w:line="240" w:lineRule="auto"/>
        <w:rPr>
          <w:rFonts w:cs="Arial"/>
          <w:lang w:val="es-ES"/>
        </w:rPr>
      </w:pPr>
      <w:r w:rsidRPr="003E7607">
        <w:rPr>
          <w:rFonts w:cs="Arial"/>
          <w:lang w:val="es-ES"/>
        </w:rPr>
        <w:t>Esta iniciativa también respaldó a profesionales de la violencia familiar y a otros profesionales generales para brindar un apoyo más personalizado y efectivo a las víctimas sobrevivientes con discapacidad, a través de un servicio de consulta secundaria. Este servicio proporciona asesoramiento sobre planificación de la seguridad, necesidades específicas de la discapacidad y derivaciones a otros servicios especializados de apoyo a la discapacidad.</w:t>
      </w:r>
    </w:p>
    <w:p w14:paraId="1CE3F029" w14:textId="77777777" w:rsidR="003C1FCE" w:rsidRPr="003E7607" w:rsidRDefault="003C1FCE" w:rsidP="003C1FCE">
      <w:pPr>
        <w:spacing w:before="240" w:after="240" w:line="240" w:lineRule="auto"/>
        <w:rPr>
          <w:rFonts w:cs="Arial"/>
          <w:lang w:val="es-ES"/>
        </w:rPr>
      </w:pPr>
      <w:r w:rsidRPr="003E7607">
        <w:rPr>
          <w:rFonts w:cs="Arial"/>
          <w:lang w:val="es-ES"/>
        </w:rPr>
        <w:t>Además, se proporcionó financiamiento para un Coordinador de Respuesta de Discapacidad para contribuir al desarrollo de capacidades en el sector y crear conciencia mediante la realización de sesiones informativas y presentaciones acerca de la discapacidad y la violencia familiar basada en la discapacidad a varias organizaciones que tienen contacto o brindan apoyo a víctimas sobrevivientes con discapacidad.</w:t>
      </w:r>
    </w:p>
    <w:p w14:paraId="0107E157" w14:textId="6F811D59" w:rsidR="003C1FCE" w:rsidRPr="003E3C14" w:rsidRDefault="003C1FCE" w:rsidP="003C1FCE">
      <w:pPr>
        <w:spacing w:before="240" w:after="240" w:line="240" w:lineRule="auto"/>
        <w:rPr>
          <w:rFonts w:cs="Arial"/>
        </w:rPr>
      </w:pPr>
      <w:r w:rsidRPr="003E7607">
        <w:rPr>
          <w:rFonts w:cs="Arial"/>
          <w:lang w:val="es-ES"/>
        </w:rPr>
        <w:t>El programa de Funcionarios de enlace para personas con discapacidad (DLO) también respalda la implementación del Plan de Autismo de Victoria y el Plan de Salud Mental de 10 Años.</w:t>
      </w:r>
    </w:p>
    <w:p w14:paraId="717494A3" w14:textId="1932A64F" w:rsidR="00D1030A" w:rsidRPr="003E3C14" w:rsidRDefault="00D1030A" w:rsidP="00AB6088">
      <w:pPr>
        <w:spacing w:before="240" w:after="240"/>
      </w:pPr>
      <w:r w:rsidRPr="003E3C14">
        <w:br w:type="page"/>
      </w:r>
    </w:p>
    <w:p w14:paraId="1182E798" w14:textId="43BEF8BE" w:rsidR="00D1030A" w:rsidRPr="003E3C14" w:rsidRDefault="00BF7CE2" w:rsidP="00515A1C">
      <w:pPr>
        <w:pStyle w:val="Heading2"/>
      </w:pPr>
      <w:bookmarkStart w:id="38" w:name="_Toc153314053"/>
      <w:r w:rsidRPr="003E7607">
        <w:rPr>
          <w:rFonts w:cs="Arial"/>
          <w:lang w:val="es-ES"/>
        </w:rPr>
        <w:lastRenderedPageBreak/>
        <w:t>Alojamiento en y apoyo para refugios accesibles</w:t>
      </w:r>
      <w:bookmarkEnd w:id="38"/>
    </w:p>
    <w:p w14:paraId="58EE74C9" w14:textId="77777777" w:rsidR="00BF7CE2" w:rsidRPr="003E7607" w:rsidRDefault="00BF7CE2" w:rsidP="00BF7CE2">
      <w:pPr>
        <w:spacing w:before="240" w:after="240" w:line="240" w:lineRule="auto"/>
        <w:rPr>
          <w:rFonts w:cs="Arial"/>
          <w:b/>
          <w:lang w:val="es-ES"/>
        </w:rPr>
      </w:pPr>
      <w:r w:rsidRPr="003E7607">
        <w:rPr>
          <w:rFonts w:cs="Arial"/>
          <w:b/>
          <w:lang w:val="es-ES"/>
        </w:rPr>
        <w:t xml:space="preserve">Jurisdicción: </w:t>
      </w:r>
      <w:r w:rsidRPr="003E7607">
        <w:rPr>
          <w:rFonts w:cs="Arial"/>
          <w:lang w:val="es-ES"/>
        </w:rPr>
        <w:t>Australia Occidental</w:t>
      </w:r>
    </w:p>
    <w:p w14:paraId="4F032F37" w14:textId="77777777" w:rsidR="00BF7CE2" w:rsidRPr="003E7607" w:rsidRDefault="00BF7CE2" w:rsidP="00BF7CE2">
      <w:pPr>
        <w:spacing w:before="240" w:after="240" w:line="240" w:lineRule="auto"/>
        <w:rPr>
          <w:rFonts w:cs="Arial"/>
          <w:b/>
          <w:lang w:val="es-ES"/>
        </w:rPr>
      </w:pPr>
      <w:r w:rsidRPr="003E7607">
        <w:rPr>
          <w:rFonts w:cs="Arial"/>
          <w:b/>
          <w:lang w:val="es-ES"/>
        </w:rPr>
        <w:t>TAP:</w:t>
      </w:r>
      <w:r w:rsidRPr="003E7607">
        <w:rPr>
          <w:rFonts w:cs="Arial"/>
          <w:lang w:val="es-ES"/>
        </w:rPr>
        <w:t xml:space="preserve"> TAP de Seguridad</w:t>
      </w:r>
    </w:p>
    <w:p w14:paraId="483735E9" w14:textId="77777777" w:rsidR="00BF7CE2" w:rsidRPr="003E7607" w:rsidRDefault="00BF7CE2" w:rsidP="00BF7CE2">
      <w:pPr>
        <w:spacing w:before="240" w:after="240" w:line="240" w:lineRule="auto"/>
        <w:rPr>
          <w:rFonts w:cs="Arial"/>
          <w:b/>
          <w:lang w:val="es-ES"/>
        </w:rPr>
      </w:pPr>
      <w:r w:rsidRPr="003E7607">
        <w:rPr>
          <w:rFonts w:cs="Arial"/>
          <w:b/>
          <w:lang w:val="es-ES"/>
        </w:rPr>
        <w:t xml:space="preserve">Objetivo del TAP: </w:t>
      </w:r>
      <w:r w:rsidRPr="003E7607">
        <w:rPr>
          <w:rFonts w:cs="Arial"/>
          <w:lang w:val="es-ES"/>
        </w:rPr>
        <w:t>3. Fortalecer el diseño de todos los sistemas de servicios gubernamentales y los apoyos que proporcionan a las personas con discapacidad en riesgo de daños.</w:t>
      </w:r>
    </w:p>
    <w:p w14:paraId="091BF8D3" w14:textId="77777777" w:rsidR="00BF7CE2" w:rsidRPr="003E7607" w:rsidRDefault="00BF7CE2" w:rsidP="00BF7CE2">
      <w:pPr>
        <w:spacing w:before="240" w:after="240" w:line="240" w:lineRule="auto"/>
        <w:rPr>
          <w:rFonts w:cs="Arial"/>
          <w:b/>
          <w:lang w:val="es-ES"/>
        </w:rPr>
      </w:pPr>
      <w:r w:rsidRPr="003E7607">
        <w:rPr>
          <w:rFonts w:cs="Arial"/>
          <w:b/>
          <w:lang w:val="es-ES"/>
        </w:rPr>
        <w:t>Acción:</w:t>
      </w:r>
      <w:r w:rsidRPr="003E7607">
        <w:rPr>
          <w:rFonts w:cs="Arial"/>
          <w:lang w:val="es-ES"/>
        </w:rPr>
        <w:t xml:space="preserve"> 3.1 Alojamiento en y apoyo para refugios accesibles</w:t>
      </w:r>
    </w:p>
    <w:p w14:paraId="11256D94" w14:textId="77777777" w:rsidR="00BF7CE2" w:rsidRPr="003E7607" w:rsidRDefault="00BF7CE2" w:rsidP="00BF7CE2">
      <w:pPr>
        <w:spacing w:before="240" w:after="240" w:line="240" w:lineRule="auto"/>
        <w:rPr>
          <w:rFonts w:cs="Arial"/>
          <w:b/>
          <w:lang w:val="es-ES"/>
        </w:rPr>
      </w:pPr>
      <w:r w:rsidRPr="003E7607">
        <w:rPr>
          <w:rFonts w:cs="Arial"/>
          <w:b/>
          <w:lang w:val="es-ES"/>
        </w:rPr>
        <w:t>Indicador:</w:t>
      </w:r>
      <w:r w:rsidRPr="003E7607">
        <w:rPr>
          <w:rFonts w:cs="Arial"/>
          <w:lang w:val="es-ES"/>
        </w:rPr>
        <w:t xml:space="preserve"> Implementación del programa</w:t>
      </w:r>
    </w:p>
    <w:p w14:paraId="63E97FB6" w14:textId="77777777" w:rsidR="00BF7CE2" w:rsidRPr="003E7607" w:rsidRDefault="00BF7CE2" w:rsidP="00BF7CE2">
      <w:pPr>
        <w:spacing w:before="240" w:after="240" w:line="240" w:lineRule="auto"/>
        <w:rPr>
          <w:rFonts w:cs="Arial"/>
          <w:b/>
          <w:lang w:val="es-ES"/>
        </w:rPr>
      </w:pPr>
      <w:r w:rsidRPr="003E7607">
        <w:rPr>
          <w:rFonts w:cs="Arial"/>
          <w:b/>
          <w:lang w:val="es-ES"/>
        </w:rPr>
        <w:t xml:space="preserve">Estado: </w:t>
      </w:r>
      <w:r w:rsidRPr="003E7607">
        <w:rPr>
          <w:rFonts w:cs="Arial"/>
          <w:lang w:val="es-ES"/>
        </w:rPr>
        <w:t>Completada</w:t>
      </w:r>
    </w:p>
    <w:p w14:paraId="0FD544C2" w14:textId="77777777" w:rsidR="00BF7CE2" w:rsidRPr="003E7607" w:rsidRDefault="00BF7CE2" w:rsidP="00BF7CE2">
      <w:pPr>
        <w:spacing w:before="240" w:after="240" w:line="240" w:lineRule="auto"/>
        <w:rPr>
          <w:rFonts w:cs="Arial"/>
          <w:b/>
          <w:lang w:val="es-ES"/>
        </w:rPr>
      </w:pPr>
      <w:r w:rsidRPr="003E7607">
        <w:rPr>
          <w:rFonts w:cs="Arial"/>
          <w:b/>
          <w:lang w:val="es-ES"/>
        </w:rPr>
        <w:t>Descripción:</w:t>
      </w:r>
    </w:p>
    <w:p w14:paraId="03BB7F93" w14:textId="77777777" w:rsidR="00BF7CE2" w:rsidRPr="003E7607" w:rsidRDefault="00BF7CE2" w:rsidP="00BF7CE2">
      <w:pPr>
        <w:spacing w:before="240" w:after="240" w:line="240" w:lineRule="auto"/>
        <w:rPr>
          <w:rFonts w:cs="Arial"/>
          <w:lang w:val="es-ES"/>
        </w:rPr>
      </w:pPr>
      <w:r w:rsidRPr="003E7607">
        <w:rPr>
          <w:rFonts w:cs="Arial"/>
          <w:lang w:val="es-ES"/>
        </w:rPr>
        <w:t>Los dos nuevos refugios para violencia doméstica y familiar se inauguraron en Kwinana y la región de Peel en diciembre de 2020. El refugio de la región de Peel, Warlang Bidi, es el primer refugio del estado para mujeres centrado en terapias y se basa en un proceso intensivo de diseño conjunto que involucra a mujeres con experiencias vividas. Ofrece respuestas especializadas y centradas en la persona para mujeres que también tienen discapacidades, problemas de salud mental o daño por abuso de alcohol y otras drogas.</w:t>
      </w:r>
    </w:p>
    <w:p w14:paraId="4B19ED9D" w14:textId="77777777" w:rsidR="00BF7CE2" w:rsidRPr="003E7607" w:rsidRDefault="00BF7CE2" w:rsidP="00BF7CE2">
      <w:pPr>
        <w:spacing w:before="240" w:after="240" w:line="240" w:lineRule="auto"/>
        <w:rPr>
          <w:rFonts w:cs="Arial"/>
          <w:lang w:val="es-ES"/>
        </w:rPr>
      </w:pPr>
      <w:r w:rsidRPr="003E7607">
        <w:rPr>
          <w:rFonts w:cs="Arial"/>
          <w:lang w:val="es-ES"/>
        </w:rPr>
        <w:t>El refugio para mujeres Andrea Mia en Kwinana ofrece un servicio crucial de alojamiento de crisis y apoyo, y está diseñado para ser accesible para todas las mujeres, incluidas aquellas con discapacidad.</w:t>
      </w:r>
    </w:p>
    <w:p w14:paraId="405D5E10" w14:textId="3CBD7741" w:rsidR="00BF7CE2" w:rsidRPr="003E3C14" w:rsidRDefault="00BF7CE2" w:rsidP="00BF7CE2">
      <w:pPr>
        <w:spacing w:before="240" w:after="240" w:line="240" w:lineRule="auto"/>
        <w:rPr>
          <w:rFonts w:cs="Arial"/>
        </w:rPr>
      </w:pPr>
      <w:r w:rsidRPr="003E7607">
        <w:rPr>
          <w:rFonts w:cs="Arial"/>
          <w:lang w:val="es-ES"/>
        </w:rPr>
        <w:t>Desde diciembre de 2021 hasta el presente, Warlang Bidi brindó asistencia a 5 mujeres con discapacidad y Andrea Mia asistió a 3 mujeres con discapacidad, incluida una niña. Ningunas de las mujeres fueron asistidas por un cuidador para acceder a los refugios.</w:t>
      </w:r>
    </w:p>
    <w:p w14:paraId="523DE4BF" w14:textId="220502E8" w:rsidR="00D1030A" w:rsidRPr="003E3C14" w:rsidRDefault="00D1030A" w:rsidP="00AB6088">
      <w:pPr>
        <w:spacing w:before="240" w:after="240"/>
      </w:pPr>
      <w:r w:rsidRPr="003E3C14">
        <w:br w:type="page"/>
      </w:r>
    </w:p>
    <w:p w14:paraId="0A2E6B52" w14:textId="4D3DDD62" w:rsidR="00D1030A" w:rsidRPr="003E3C14" w:rsidRDefault="00F12A35" w:rsidP="00515A1C">
      <w:pPr>
        <w:pStyle w:val="Heading2"/>
      </w:pPr>
      <w:bookmarkStart w:id="39" w:name="_Toc153314054"/>
      <w:r w:rsidRPr="003E7607">
        <w:rPr>
          <w:rFonts w:cs="Arial"/>
          <w:lang w:val="es-ES"/>
        </w:rPr>
        <w:lastRenderedPageBreak/>
        <w:t>Programa de intermediarios del ACT</w:t>
      </w:r>
      <w:bookmarkEnd w:id="39"/>
    </w:p>
    <w:p w14:paraId="6321B092" w14:textId="77777777" w:rsidR="00F12A35" w:rsidRPr="003E7607" w:rsidRDefault="00F12A35" w:rsidP="00F12A35">
      <w:pPr>
        <w:spacing w:before="240" w:after="240" w:line="240" w:lineRule="auto"/>
        <w:rPr>
          <w:rFonts w:cs="Arial"/>
          <w:b/>
          <w:lang w:val="es-ES"/>
        </w:rPr>
      </w:pPr>
      <w:r w:rsidRPr="003E7607">
        <w:rPr>
          <w:rFonts w:cs="Arial"/>
          <w:b/>
          <w:lang w:val="es-ES"/>
        </w:rPr>
        <w:t xml:space="preserve">Jurisdicción: </w:t>
      </w:r>
      <w:r w:rsidRPr="003E7607">
        <w:rPr>
          <w:rFonts w:cs="Arial"/>
          <w:lang w:val="es-ES"/>
        </w:rPr>
        <w:t>Territorio de la Capital Australiana (ACT)</w:t>
      </w:r>
    </w:p>
    <w:p w14:paraId="1E7FCD46" w14:textId="77777777" w:rsidR="00F12A35" w:rsidRPr="003E7607" w:rsidRDefault="00F12A35" w:rsidP="00F12A35">
      <w:pPr>
        <w:spacing w:before="240" w:after="240" w:line="240" w:lineRule="auto"/>
        <w:rPr>
          <w:rFonts w:cs="Arial"/>
          <w:b/>
          <w:lang w:val="es-ES"/>
        </w:rPr>
      </w:pPr>
      <w:r w:rsidRPr="003E7607">
        <w:rPr>
          <w:rFonts w:cs="Arial"/>
          <w:b/>
          <w:lang w:val="es-ES"/>
        </w:rPr>
        <w:t>TAP:</w:t>
      </w:r>
      <w:r w:rsidRPr="003E7607">
        <w:rPr>
          <w:rFonts w:cs="Arial"/>
          <w:lang w:val="es-ES"/>
        </w:rPr>
        <w:tab/>
        <w:t>Seguridad</w:t>
      </w:r>
    </w:p>
    <w:p w14:paraId="27F2B00D" w14:textId="77777777" w:rsidR="00F12A35" w:rsidRPr="003E7607" w:rsidRDefault="00F12A35" w:rsidP="00F12A35">
      <w:pPr>
        <w:spacing w:before="240" w:after="240" w:line="240" w:lineRule="auto"/>
        <w:rPr>
          <w:rFonts w:cs="Arial"/>
          <w:b/>
          <w:lang w:val="es-ES"/>
        </w:rPr>
      </w:pPr>
      <w:r w:rsidRPr="003E7607">
        <w:rPr>
          <w:rFonts w:cs="Arial"/>
          <w:b/>
          <w:lang w:val="es-ES"/>
        </w:rPr>
        <w:t>Objetivo del TAP</w:t>
      </w:r>
      <w:r w:rsidRPr="003E7607">
        <w:rPr>
          <w:rFonts w:cs="Arial"/>
          <w:lang w:val="es-ES"/>
        </w:rPr>
        <w:t>: 3. Fortalecer el diseño de todos los sistemas de servicios gubernamentales y los apoyos que proporcionan a las personas con discapacidad en riesgo de daños.</w:t>
      </w:r>
    </w:p>
    <w:p w14:paraId="2458B05A" w14:textId="77777777" w:rsidR="00F12A35" w:rsidRPr="003E7607" w:rsidRDefault="00F12A35" w:rsidP="00F12A35">
      <w:pPr>
        <w:spacing w:before="240" w:after="240" w:line="240" w:lineRule="auto"/>
        <w:rPr>
          <w:rFonts w:cs="Arial"/>
          <w:b/>
          <w:lang w:val="es-ES"/>
        </w:rPr>
      </w:pPr>
      <w:r w:rsidRPr="003E7607">
        <w:rPr>
          <w:rFonts w:cs="Arial"/>
          <w:b/>
          <w:lang w:val="es-ES"/>
        </w:rPr>
        <w:t xml:space="preserve">Acción: </w:t>
      </w:r>
      <w:r w:rsidRPr="003E7607">
        <w:rPr>
          <w:rFonts w:cs="Arial"/>
          <w:lang w:val="es-ES"/>
        </w:rPr>
        <w:t>3.6 Programa de intermediarios</w:t>
      </w:r>
    </w:p>
    <w:p w14:paraId="79722710" w14:textId="77777777" w:rsidR="00F12A35" w:rsidRPr="003E7607" w:rsidRDefault="00F12A35" w:rsidP="00F12A35">
      <w:pPr>
        <w:spacing w:before="240" w:after="240" w:line="240" w:lineRule="auto"/>
        <w:rPr>
          <w:rFonts w:cs="Arial"/>
          <w:b/>
          <w:lang w:val="es-ES"/>
        </w:rPr>
      </w:pPr>
      <w:r w:rsidRPr="003E7607">
        <w:rPr>
          <w:rFonts w:cs="Arial"/>
          <w:b/>
          <w:lang w:val="es-ES"/>
        </w:rPr>
        <w:t>Indicador</w:t>
      </w:r>
      <w:r w:rsidRPr="003E7607">
        <w:rPr>
          <w:rFonts w:cs="Arial"/>
          <w:lang w:val="es-ES"/>
        </w:rPr>
        <w:t>: El programa de intermediarios continúa funcionando.</w:t>
      </w:r>
    </w:p>
    <w:p w14:paraId="2B517DC3" w14:textId="77777777" w:rsidR="00F12A35" w:rsidRPr="003E7607" w:rsidRDefault="00F12A35" w:rsidP="00F12A35">
      <w:pPr>
        <w:spacing w:before="240" w:after="240" w:line="240" w:lineRule="auto"/>
        <w:rPr>
          <w:rFonts w:cs="Arial"/>
          <w:b/>
          <w:lang w:val="es-ES"/>
        </w:rPr>
      </w:pPr>
      <w:r w:rsidRPr="003E7607">
        <w:rPr>
          <w:rFonts w:cs="Arial"/>
          <w:b/>
          <w:lang w:val="es-ES"/>
        </w:rPr>
        <w:t>Estado</w:t>
      </w:r>
      <w:r w:rsidRPr="003E7607">
        <w:rPr>
          <w:rFonts w:cs="Arial"/>
          <w:lang w:val="es-ES"/>
        </w:rPr>
        <w:t>: Completada</w:t>
      </w:r>
    </w:p>
    <w:p w14:paraId="7052595C" w14:textId="77777777" w:rsidR="00F12A35" w:rsidRPr="003E7607" w:rsidRDefault="00F12A35" w:rsidP="00F12A35">
      <w:pPr>
        <w:spacing w:before="240" w:after="240" w:line="240" w:lineRule="auto"/>
        <w:rPr>
          <w:rFonts w:cs="Arial"/>
          <w:b/>
          <w:lang w:val="es-ES"/>
        </w:rPr>
      </w:pPr>
      <w:r w:rsidRPr="003E7607">
        <w:rPr>
          <w:rFonts w:cs="Arial"/>
          <w:b/>
          <w:lang w:val="es-ES"/>
        </w:rPr>
        <w:t>Descripción</w:t>
      </w:r>
      <w:r w:rsidRPr="003E7607">
        <w:rPr>
          <w:rFonts w:cs="Arial"/>
          <w:lang w:val="es-ES"/>
        </w:rPr>
        <w:t>:</w:t>
      </w:r>
      <w:r w:rsidRPr="003E7607">
        <w:rPr>
          <w:rFonts w:cs="Arial"/>
          <w:lang w:val="es-ES"/>
        </w:rPr>
        <w:tab/>
      </w:r>
    </w:p>
    <w:p w14:paraId="223B0F1E" w14:textId="77777777" w:rsidR="00F12A35" w:rsidRPr="003E7607" w:rsidRDefault="00F12A35" w:rsidP="00F12A35">
      <w:pPr>
        <w:spacing w:before="240" w:after="240" w:line="240" w:lineRule="auto"/>
        <w:rPr>
          <w:rFonts w:cs="Arial"/>
          <w:lang w:val="es-ES"/>
        </w:rPr>
      </w:pPr>
      <w:r w:rsidRPr="003E7607">
        <w:rPr>
          <w:rFonts w:cs="Arial"/>
          <w:lang w:val="es-ES"/>
        </w:rPr>
        <w:t>El Programa de intermediarios del ACT continúa proporcionando intermediarios en entrevistas policiales, asuntos judiciales y en reuniones con profesionales legales en todo el ACT. Hasta el 14 de junio de 2023, el Programa de Intermediarios del ACT recibió 787 derivaciones de la Policía del ACT, 129 solicitudes de los Tribunales del ACT (Supremo y de Primera Instancia) y 14 solicitudes de profesionales legales, principalmente de la Asistencia Legal (Legal Aid).</w:t>
      </w:r>
    </w:p>
    <w:p w14:paraId="4EBFAC91" w14:textId="77777777" w:rsidR="00F12A35" w:rsidRPr="003E7607" w:rsidRDefault="00F12A35" w:rsidP="00F12A35">
      <w:pPr>
        <w:spacing w:before="240" w:after="240" w:line="240" w:lineRule="auto"/>
        <w:rPr>
          <w:rFonts w:cs="Arial"/>
          <w:lang w:val="es-ES"/>
        </w:rPr>
      </w:pPr>
      <w:r w:rsidRPr="003E7607">
        <w:rPr>
          <w:rFonts w:cs="Arial"/>
          <w:lang w:val="es-ES"/>
        </w:rPr>
        <w:t>Aproximadamente el 57 % de todas las derivaciones recibidas por el Programa incluyeron a un testigo con dificultades adicionales de comunicación además de la edad. Estas dificultades incluyen problemas como discapacidades de aprendizaje, trastorno del espectro autista, deficiencias cognitivas, retrasos en el lenguaje, discapacidades físicas, problemas de salud mental y trauma.</w:t>
      </w:r>
    </w:p>
    <w:p w14:paraId="2A4C1922" w14:textId="77777777" w:rsidR="00F12A35" w:rsidRPr="003E7607" w:rsidRDefault="00F12A35" w:rsidP="00F12A35">
      <w:pPr>
        <w:spacing w:before="240" w:after="240" w:line="240" w:lineRule="auto"/>
        <w:rPr>
          <w:rFonts w:cs="Arial"/>
          <w:lang w:val="es-ES"/>
        </w:rPr>
      </w:pPr>
      <w:r w:rsidRPr="003E7607">
        <w:rPr>
          <w:rFonts w:cs="Arial"/>
          <w:lang w:val="es-ES"/>
        </w:rPr>
        <w:t>Al realizar una evaluación de la comunicación, los intermediarios con experiencia pertinente brindan recomendaciones personalizadas a la policía, los tribunales y los profesionales legales acerca de las mejores estrategias de participación y el posterior suministro de la mejor evidencia.</w:t>
      </w:r>
    </w:p>
    <w:p w14:paraId="59BA8232" w14:textId="446CFAC1" w:rsidR="00F12A35" w:rsidRPr="003E3C14" w:rsidRDefault="00F12A35" w:rsidP="00F12A35">
      <w:pPr>
        <w:spacing w:before="240" w:after="240" w:line="240" w:lineRule="auto"/>
        <w:rPr>
          <w:rFonts w:cs="Arial"/>
        </w:rPr>
      </w:pPr>
      <w:r w:rsidRPr="003E7607">
        <w:rPr>
          <w:rFonts w:cs="Arial"/>
          <w:lang w:val="es-ES"/>
        </w:rPr>
        <w:t>El Programa continuó combinando todas las derivaciones recibidas (100 %) con un intermediario adecuadamente capacitado.</w:t>
      </w:r>
    </w:p>
    <w:p w14:paraId="0DC759C2" w14:textId="6E6386AC" w:rsidR="00D1030A" w:rsidRPr="003E3C14" w:rsidRDefault="00D1030A">
      <w:pPr>
        <w:rPr>
          <w:rFonts w:asciiTheme="minorHAnsi" w:hAnsiTheme="minorHAnsi" w:cstheme="minorHAnsi"/>
        </w:rPr>
      </w:pPr>
      <w:r w:rsidRPr="003E3C14">
        <w:rPr>
          <w:rFonts w:asciiTheme="minorHAnsi" w:hAnsiTheme="minorHAnsi" w:cstheme="minorHAnsi"/>
        </w:rPr>
        <w:br w:type="page"/>
      </w:r>
    </w:p>
    <w:p w14:paraId="5F4AC7CF" w14:textId="29C3E66A" w:rsidR="00D1030A" w:rsidRPr="003E3C14" w:rsidRDefault="00B51AC5" w:rsidP="00515A1C">
      <w:pPr>
        <w:pStyle w:val="Heading2"/>
      </w:pPr>
      <w:bookmarkStart w:id="40" w:name="_Toc153314055"/>
      <w:r w:rsidRPr="003E7607">
        <w:rPr>
          <w:rFonts w:cs="Arial"/>
          <w:lang w:val="es-ES"/>
        </w:rPr>
        <w:lastRenderedPageBreak/>
        <w:t>Programa de Reducción del Riesgo de Desastres inclusivo para Personas con Discapacidad</w:t>
      </w:r>
      <w:bookmarkEnd w:id="40"/>
    </w:p>
    <w:p w14:paraId="2F24076B" w14:textId="77777777" w:rsidR="00B51AC5" w:rsidRPr="003E7607" w:rsidRDefault="00B51AC5" w:rsidP="00B51AC5">
      <w:pPr>
        <w:spacing w:before="240" w:after="240" w:line="240" w:lineRule="auto"/>
        <w:rPr>
          <w:rFonts w:cs="Arial"/>
          <w:b/>
          <w:lang w:val="es-ES"/>
        </w:rPr>
      </w:pPr>
      <w:r w:rsidRPr="003E7607">
        <w:rPr>
          <w:rFonts w:cs="Arial"/>
          <w:b/>
          <w:lang w:val="es-ES"/>
        </w:rPr>
        <w:t xml:space="preserve">Jurisdicción: </w:t>
      </w:r>
      <w:r w:rsidRPr="003E7607">
        <w:rPr>
          <w:rFonts w:cs="Arial"/>
          <w:lang w:val="es-ES"/>
        </w:rPr>
        <w:t>Agencia Nacional de Gestión de Emergencias del gobierno australiano</w:t>
      </w:r>
    </w:p>
    <w:p w14:paraId="143D6386" w14:textId="77777777" w:rsidR="00B51AC5" w:rsidRPr="003E7607" w:rsidRDefault="00B51AC5" w:rsidP="00B51AC5">
      <w:pPr>
        <w:spacing w:before="240" w:after="240" w:line="240" w:lineRule="auto"/>
        <w:rPr>
          <w:rFonts w:cs="Arial"/>
          <w:b/>
          <w:lang w:val="es-ES"/>
        </w:rPr>
      </w:pPr>
      <w:r w:rsidRPr="003E7607">
        <w:rPr>
          <w:rFonts w:cs="Arial"/>
          <w:b/>
          <w:lang w:val="es-ES"/>
        </w:rPr>
        <w:t>TAP:</w:t>
      </w:r>
      <w:r w:rsidRPr="003E7607">
        <w:rPr>
          <w:rFonts w:cs="Arial"/>
          <w:lang w:val="es-ES"/>
        </w:rPr>
        <w:t xml:space="preserve"> Gestión de emergencias</w:t>
      </w:r>
    </w:p>
    <w:p w14:paraId="121FC261" w14:textId="77777777" w:rsidR="00B51AC5" w:rsidRPr="003E7607" w:rsidRDefault="00B51AC5" w:rsidP="00B51AC5">
      <w:pPr>
        <w:spacing w:before="240" w:after="240" w:line="240" w:lineRule="auto"/>
        <w:rPr>
          <w:rFonts w:cs="Arial"/>
          <w:b/>
          <w:lang w:val="es-ES"/>
        </w:rPr>
      </w:pPr>
      <w:r w:rsidRPr="003E7607">
        <w:rPr>
          <w:rFonts w:cs="Arial"/>
          <w:b/>
          <w:lang w:val="es-ES"/>
        </w:rPr>
        <w:t xml:space="preserve">Objetivo del TAP: </w:t>
      </w:r>
      <w:r w:rsidRPr="003E7607">
        <w:rPr>
          <w:rFonts w:cs="Arial"/>
          <w:lang w:val="es-ES"/>
        </w:rPr>
        <w:t>2. Garantizar que los procesos inclusivos de gestión de catástrofes o emergencias, preparación y planificación de recuperación respalden la salud y el bienestar de las personas con discapacidad antes, durante y después de las emergencias.</w:t>
      </w:r>
    </w:p>
    <w:p w14:paraId="6770CDA4" w14:textId="77777777" w:rsidR="00B51AC5" w:rsidRPr="003E7607" w:rsidRDefault="00B51AC5" w:rsidP="00B51AC5">
      <w:pPr>
        <w:spacing w:before="240" w:after="240" w:line="240" w:lineRule="auto"/>
        <w:rPr>
          <w:rFonts w:cs="Arial"/>
          <w:b/>
          <w:lang w:val="es-ES"/>
        </w:rPr>
      </w:pPr>
      <w:r w:rsidRPr="003E7607">
        <w:rPr>
          <w:rFonts w:cs="Arial"/>
          <w:b/>
          <w:lang w:val="es-ES"/>
        </w:rPr>
        <w:t xml:space="preserve">Acción: </w:t>
      </w:r>
      <w:r w:rsidRPr="003E7607">
        <w:rPr>
          <w:rFonts w:cs="Arial"/>
          <w:lang w:val="es-ES"/>
        </w:rPr>
        <w:t xml:space="preserve">2.5 La Agencia Nacional de Gestión de Emergencias, que incorpora la antigua Agencia Nacional de Recuperación y Resiliencia, incorporará la presentación de informes sobre las brechas de recursos y las necesidades no satisfechas de las personas con discapacidad en las iniciativas de recuperación y reducción de riesgos, a través de los procesos comerciales de la Agencia existentes. </w:t>
      </w:r>
    </w:p>
    <w:p w14:paraId="6D8DF493" w14:textId="77777777" w:rsidR="00B51AC5" w:rsidRPr="003E7607" w:rsidRDefault="00B51AC5" w:rsidP="00B51AC5">
      <w:pPr>
        <w:spacing w:before="240" w:after="240" w:line="240" w:lineRule="auto"/>
        <w:rPr>
          <w:rFonts w:cs="Arial"/>
          <w:bCs/>
          <w:lang w:val="es-ES"/>
        </w:rPr>
      </w:pPr>
      <w:r w:rsidRPr="003E7607">
        <w:rPr>
          <w:rFonts w:cs="Arial"/>
          <w:b/>
          <w:lang w:val="es-ES"/>
        </w:rPr>
        <w:t>Indicador:</w:t>
      </w:r>
      <w:r w:rsidRPr="003E7607">
        <w:rPr>
          <w:rFonts w:cs="Arial"/>
          <w:bCs/>
          <w:lang w:val="es-ES"/>
        </w:rPr>
        <w:t xml:space="preserve"> Las brechas sobre recursos y las necesidades no satisfechas de las personas con discapacidad</w:t>
      </w:r>
      <w:r w:rsidRPr="003E7607">
        <w:rPr>
          <w:rFonts w:cs="Arial"/>
          <w:lang w:val="es-ES"/>
        </w:rPr>
        <w:t xml:space="preserve"> en las iniciativas de recuperación y reducción de riesgos se informan a las áreas comerciales pertinentes de la Agencia Nacional de Gestión de Emergencias (que incorpora la antigua Agencia Nacional de Recuperación y Resiliencia). </w:t>
      </w:r>
    </w:p>
    <w:p w14:paraId="79ECB019" w14:textId="77777777" w:rsidR="00B51AC5" w:rsidRPr="003E7607" w:rsidRDefault="00B51AC5" w:rsidP="00B51AC5">
      <w:pPr>
        <w:spacing w:before="240" w:after="240" w:line="240" w:lineRule="auto"/>
        <w:rPr>
          <w:rFonts w:cs="Arial"/>
          <w:b/>
          <w:lang w:val="es-ES"/>
        </w:rPr>
      </w:pPr>
      <w:r w:rsidRPr="003E7607">
        <w:rPr>
          <w:rFonts w:cs="Arial"/>
          <w:b/>
          <w:lang w:val="es-ES"/>
        </w:rPr>
        <w:t xml:space="preserve">Estado: </w:t>
      </w:r>
      <w:r w:rsidRPr="003E7607">
        <w:rPr>
          <w:rFonts w:cs="Arial"/>
          <w:lang w:val="es-ES"/>
        </w:rPr>
        <w:t>En curso</w:t>
      </w:r>
    </w:p>
    <w:p w14:paraId="082CA34D" w14:textId="77777777" w:rsidR="00B51AC5" w:rsidRPr="003E7607" w:rsidRDefault="00B51AC5" w:rsidP="00B51AC5">
      <w:pPr>
        <w:spacing w:before="240" w:after="240" w:line="240" w:lineRule="auto"/>
        <w:rPr>
          <w:rFonts w:cs="Arial"/>
          <w:b/>
          <w:lang w:val="es-ES"/>
        </w:rPr>
      </w:pPr>
      <w:r w:rsidRPr="003E7607">
        <w:rPr>
          <w:rFonts w:cs="Arial"/>
          <w:b/>
          <w:lang w:val="es-ES"/>
        </w:rPr>
        <w:t>Descripción</w:t>
      </w:r>
      <w:r w:rsidRPr="003E7607">
        <w:rPr>
          <w:rFonts w:cs="Arial"/>
          <w:lang w:val="es-ES"/>
        </w:rPr>
        <w:t>:</w:t>
      </w:r>
    </w:p>
    <w:p w14:paraId="338169F6" w14:textId="77777777" w:rsidR="00B51AC5" w:rsidRPr="003E7607" w:rsidRDefault="00B51AC5" w:rsidP="00B51AC5">
      <w:pPr>
        <w:spacing w:before="240" w:after="240" w:line="240" w:lineRule="auto"/>
        <w:rPr>
          <w:rFonts w:cs="Arial"/>
          <w:lang w:val="es-ES"/>
        </w:rPr>
      </w:pPr>
      <w:r w:rsidRPr="003E7607">
        <w:rPr>
          <w:rFonts w:cs="Arial"/>
          <w:lang w:val="es-ES"/>
        </w:rPr>
        <w:t>El tramo 1 del Programa de Reducción del Riesgo de Desastres inclusivo para Personas con Discapacidad (Disability Inclusive Disaster Risk Reduction) está completado, y consistió en un Estudio Preliminar Nacional llevado a cabo por el Centro de Investigación sobre la Discapacidad (Centre for Disability Research) de la Universidad de Sídney.</w:t>
      </w:r>
    </w:p>
    <w:p w14:paraId="06CAC38F" w14:textId="77777777" w:rsidR="00B51AC5" w:rsidRPr="003E7607" w:rsidRDefault="00B51AC5" w:rsidP="00B51AC5">
      <w:pPr>
        <w:spacing w:before="240" w:after="240" w:line="240" w:lineRule="auto"/>
        <w:rPr>
          <w:rFonts w:cs="Arial"/>
          <w:lang w:val="es-ES"/>
        </w:rPr>
      </w:pPr>
      <w:r w:rsidRPr="003E7607">
        <w:rPr>
          <w:rFonts w:cs="Arial"/>
          <w:lang w:val="es-ES"/>
        </w:rPr>
        <w:t>Este estudio preliminar es un análisis integral de la inclusividad actual de los planes de gestión de emergencias a nivel nacional. Esto proporciona una línea de base para evaluar cuán consistentes somos en todo el país en términos del programa de Reducción del Riesgo de Desastres inclusivo para Personas con Discapacidad.</w:t>
      </w:r>
    </w:p>
    <w:p w14:paraId="2BBCF97A" w14:textId="77777777" w:rsidR="00B51AC5" w:rsidRPr="003E7607" w:rsidRDefault="00B51AC5" w:rsidP="00B51AC5">
      <w:pPr>
        <w:spacing w:before="240" w:after="240" w:line="240" w:lineRule="auto"/>
        <w:rPr>
          <w:rFonts w:cs="Arial"/>
          <w:lang w:val="es-ES"/>
        </w:rPr>
      </w:pPr>
      <w:r w:rsidRPr="003E7607">
        <w:rPr>
          <w:rFonts w:cs="Arial"/>
          <w:lang w:val="es-ES"/>
        </w:rPr>
        <w:t>El estudio incluye un análisis de la investigación revisada por pares sobre Reducción del Riesgo de Desastres inclusivo para Personas con Discapacidad (DIDRR) que produjo "Mapas de Brechas" tanto de evidencia como de recursos, una exploración de la representación de la discapacidad en los Acuerdos de Gestión de Emergencias, y la identificación de "buenas prácticas" en DIDRR en la actualidad.</w:t>
      </w:r>
    </w:p>
    <w:p w14:paraId="0BBB7D76" w14:textId="77777777" w:rsidR="00B51AC5" w:rsidRPr="003E7607" w:rsidRDefault="00B51AC5" w:rsidP="00B51AC5">
      <w:pPr>
        <w:spacing w:before="240" w:after="240" w:line="240" w:lineRule="auto"/>
        <w:rPr>
          <w:rFonts w:cs="Arial"/>
          <w:lang w:val="es-ES"/>
        </w:rPr>
      </w:pPr>
      <w:r w:rsidRPr="003E7607">
        <w:rPr>
          <w:rFonts w:cs="Arial"/>
          <w:lang w:val="es-ES"/>
        </w:rPr>
        <w:t>El estudio identifica tres áreas prioritarias de acción:</w:t>
      </w:r>
    </w:p>
    <w:p w14:paraId="32C8DDED" w14:textId="77777777" w:rsidR="00B51AC5" w:rsidRPr="003E7607" w:rsidRDefault="00B51AC5" w:rsidP="00B51AC5">
      <w:pPr>
        <w:pStyle w:val="ListParagraph"/>
        <w:numPr>
          <w:ilvl w:val="0"/>
          <w:numId w:val="32"/>
        </w:numPr>
        <w:spacing w:after="120" w:line="240" w:lineRule="auto"/>
        <w:ind w:left="720"/>
        <w:contextualSpacing w:val="0"/>
        <w:rPr>
          <w:rFonts w:cs="Arial"/>
          <w:lang w:val="es-ES"/>
        </w:rPr>
      </w:pPr>
      <w:r w:rsidRPr="003E7607">
        <w:rPr>
          <w:rFonts w:cs="Arial"/>
          <w:lang w:val="es-ES"/>
        </w:rPr>
        <w:t>Planes inclusivos que identifiquen servicios y activos que puedan movilizarse para las personas con discapacidad en emergencias;</w:t>
      </w:r>
    </w:p>
    <w:p w14:paraId="5EF6A091" w14:textId="77777777" w:rsidR="00B51AC5" w:rsidRPr="003E7607" w:rsidRDefault="00B51AC5" w:rsidP="00B51AC5">
      <w:pPr>
        <w:pStyle w:val="ListParagraph"/>
        <w:numPr>
          <w:ilvl w:val="0"/>
          <w:numId w:val="32"/>
        </w:numPr>
        <w:spacing w:after="120" w:line="240" w:lineRule="auto"/>
        <w:ind w:left="720"/>
        <w:contextualSpacing w:val="0"/>
        <w:rPr>
          <w:rFonts w:cs="Arial"/>
          <w:lang w:val="es-ES"/>
        </w:rPr>
      </w:pPr>
      <w:r w:rsidRPr="003E7607">
        <w:rPr>
          <w:rFonts w:cs="Arial"/>
          <w:lang w:val="es-ES"/>
        </w:rPr>
        <w:t>Información inclusiva que sea accesible para todos; los procesos y herramientas de comunicación deben revisarse en colaboración con personas con discapacidad;</w:t>
      </w:r>
    </w:p>
    <w:p w14:paraId="367AC1DA" w14:textId="77777777" w:rsidR="00B51AC5" w:rsidRPr="003E7607" w:rsidRDefault="00B51AC5" w:rsidP="00B51AC5">
      <w:pPr>
        <w:pStyle w:val="ListParagraph"/>
        <w:numPr>
          <w:ilvl w:val="0"/>
          <w:numId w:val="32"/>
        </w:numPr>
        <w:spacing w:after="120" w:line="240" w:lineRule="auto"/>
        <w:ind w:left="720"/>
        <w:contextualSpacing w:val="0"/>
        <w:rPr>
          <w:rFonts w:cs="Arial"/>
          <w:lang w:val="es-ES"/>
        </w:rPr>
      </w:pPr>
      <w:r w:rsidRPr="003E7607">
        <w:rPr>
          <w:rFonts w:cs="Arial"/>
          <w:lang w:val="es-ES"/>
        </w:rPr>
        <w:lastRenderedPageBreak/>
        <w:t>Prácticas inclusivas que promuevan oportunidades para adaptar el apoyo y la colaboración entre sectores, y reduzcan las barreras para las personas con discapacidad.</w:t>
      </w:r>
    </w:p>
    <w:p w14:paraId="6F050880" w14:textId="1E6BA69B" w:rsidR="00B51AC5" w:rsidRPr="003E3C14" w:rsidRDefault="00B51AC5" w:rsidP="00B51AC5">
      <w:pPr>
        <w:spacing w:before="240" w:after="240" w:line="240" w:lineRule="auto"/>
        <w:rPr>
          <w:rFonts w:cs="Arial"/>
          <w:b/>
        </w:rPr>
      </w:pPr>
      <w:r w:rsidRPr="003E7607">
        <w:rPr>
          <w:rFonts w:cs="Arial"/>
          <w:lang w:val="es-ES"/>
        </w:rPr>
        <w:t>Este Estudio será la base para el próximo Tramo de trabajo dentro del programa de DIDRR, con el que la Agencia Nacional de Gestión de Emergencias (NEMA) espera avanzar en un futuro muy cercano.</w:t>
      </w:r>
    </w:p>
    <w:p w14:paraId="50B2BAE9" w14:textId="77777777" w:rsidR="001F7ED0" w:rsidRPr="003E3C14" w:rsidRDefault="001F7ED0" w:rsidP="00760AE8">
      <w:pPr>
        <w:spacing w:before="240" w:after="240"/>
      </w:pPr>
      <w:r w:rsidRPr="003E3C14">
        <w:br w:type="page"/>
      </w:r>
    </w:p>
    <w:p w14:paraId="3C55E03B" w14:textId="2A02902B" w:rsidR="00B875C3" w:rsidRPr="003E3C14" w:rsidRDefault="00626726" w:rsidP="00515A1C">
      <w:pPr>
        <w:pStyle w:val="Heading2"/>
      </w:pPr>
      <w:bookmarkStart w:id="41" w:name="_Toc153314056"/>
      <w:r w:rsidRPr="003E7607">
        <w:rPr>
          <w:rFonts w:cs="Arial"/>
          <w:lang w:val="es-ES"/>
        </w:rPr>
        <w:lastRenderedPageBreak/>
        <w:t>Reseña del progreso desde el 3 de diciembre de 2021</w:t>
      </w:r>
      <w:bookmarkEnd w:id="41"/>
    </w:p>
    <w:p w14:paraId="6A45EB60" w14:textId="339F2982" w:rsidR="00B875C3" w:rsidRPr="003E3C14" w:rsidRDefault="00626726" w:rsidP="00760AE8">
      <w:pPr>
        <w:spacing w:before="240" w:after="240" w:line="240" w:lineRule="auto"/>
      </w:pPr>
      <w:r w:rsidRPr="003E7607">
        <w:rPr>
          <w:rFonts w:cs="Arial"/>
          <w:lang w:val="es-ES"/>
        </w:rPr>
        <w:t>Desde el lanzamiento de la ADS, hay un progreso general positivo hacia la implementación de acciones. La mayoría de las jurisdicciones aumentaron la cantidad de acciones completadas en 2022-2023, en comparación con el período de informe 2021-2022.</w:t>
      </w:r>
    </w:p>
    <w:p w14:paraId="1763A682" w14:textId="2A589389" w:rsidR="00B875C3" w:rsidRPr="003E3C14" w:rsidRDefault="00626726" w:rsidP="00760AE8">
      <w:pPr>
        <w:spacing w:before="240" w:after="240" w:line="240" w:lineRule="auto"/>
      </w:pPr>
      <w:r w:rsidRPr="003E7607">
        <w:rPr>
          <w:rFonts w:cs="Arial"/>
          <w:lang w:val="es-ES"/>
        </w:rPr>
        <w:t>El progreso general realizado en los 417 TAP demuestra que:</w:t>
      </w:r>
    </w:p>
    <w:p w14:paraId="64F77A87" w14:textId="0D154AB5" w:rsidR="00B875C3" w:rsidRPr="003E3C14" w:rsidRDefault="00626726" w:rsidP="00B709F1">
      <w:pPr>
        <w:pStyle w:val="ListParagraph"/>
        <w:numPr>
          <w:ilvl w:val="0"/>
          <w:numId w:val="20"/>
        </w:numPr>
        <w:spacing w:before="120" w:after="0" w:line="240" w:lineRule="auto"/>
        <w:contextualSpacing w:val="0"/>
      </w:pPr>
      <w:r w:rsidRPr="003E7607">
        <w:rPr>
          <w:rFonts w:cs="Arial"/>
          <w:b/>
          <w:lang w:val="es-ES"/>
        </w:rPr>
        <w:t>353 (85 %)</w:t>
      </w:r>
      <w:r w:rsidRPr="003E7607">
        <w:rPr>
          <w:rFonts w:cs="Arial"/>
          <w:lang w:val="es-ES"/>
        </w:rPr>
        <w:t xml:space="preserve"> acciones se informan como completadas o en curso, con:</w:t>
      </w:r>
    </w:p>
    <w:p w14:paraId="05247AD1" w14:textId="00C248AB" w:rsidR="00B875C3" w:rsidRPr="003E3C14" w:rsidRDefault="00626726" w:rsidP="00B709F1">
      <w:pPr>
        <w:pStyle w:val="ListParagraph"/>
        <w:numPr>
          <w:ilvl w:val="1"/>
          <w:numId w:val="21"/>
        </w:numPr>
        <w:spacing w:before="120" w:after="0" w:line="240" w:lineRule="auto"/>
        <w:ind w:left="720"/>
        <w:contextualSpacing w:val="0"/>
      </w:pPr>
      <w:r w:rsidRPr="003E7607">
        <w:rPr>
          <w:rFonts w:cs="Arial"/>
          <w:b/>
          <w:lang w:val="es-ES"/>
        </w:rPr>
        <w:t>144</w:t>
      </w:r>
      <w:r w:rsidRPr="003E7607">
        <w:rPr>
          <w:rFonts w:cs="Arial"/>
          <w:lang w:val="es-ES"/>
        </w:rPr>
        <w:t xml:space="preserve"> </w:t>
      </w:r>
      <w:r w:rsidRPr="003E7607">
        <w:rPr>
          <w:rFonts w:cs="Arial"/>
          <w:b/>
          <w:lang w:val="es-ES"/>
        </w:rPr>
        <w:t>(35 %)</w:t>
      </w:r>
      <w:r w:rsidRPr="003E7607">
        <w:rPr>
          <w:rFonts w:cs="Arial"/>
          <w:lang w:val="es-ES"/>
        </w:rPr>
        <w:t xml:space="preserve"> acciones completadas, y</w:t>
      </w:r>
    </w:p>
    <w:p w14:paraId="63885B5F" w14:textId="230EB811" w:rsidR="00B875C3" w:rsidRPr="003E3C14" w:rsidRDefault="00626726" w:rsidP="00B709F1">
      <w:pPr>
        <w:pStyle w:val="ListParagraph"/>
        <w:numPr>
          <w:ilvl w:val="1"/>
          <w:numId w:val="21"/>
        </w:numPr>
        <w:spacing w:before="120" w:after="0" w:line="240" w:lineRule="auto"/>
        <w:ind w:left="720"/>
        <w:contextualSpacing w:val="0"/>
      </w:pPr>
      <w:r w:rsidRPr="003E7607">
        <w:rPr>
          <w:rFonts w:cs="Arial"/>
          <w:b/>
          <w:lang w:val="es-ES"/>
        </w:rPr>
        <w:t>209</w:t>
      </w:r>
      <w:r w:rsidRPr="003E7607">
        <w:rPr>
          <w:rFonts w:cs="Arial"/>
          <w:lang w:val="es-ES"/>
        </w:rPr>
        <w:t xml:space="preserve"> </w:t>
      </w:r>
      <w:r w:rsidRPr="003E7607">
        <w:rPr>
          <w:rFonts w:cs="Arial"/>
          <w:b/>
          <w:lang w:val="es-ES"/>
        </w:rPr>
        <w:t>(50 %)</w:t>
      </w:r>
      <w:r w:rsidRPr="003E7607">
        <w:rPr>
          <w:rFonts w:cs="Arial"/>
          <w:lang w:val="es-ES"/>
        </w:rPr>
        <w:t xml:space="preserve"> acciones en curso</w:t>
      </w:r>
      <w:r w:rsidR="00B875C3" w:rsidRPr="003E3C14">
        <w:t xml:space="preserve">  </w:t>
      </w:r>
    </w:p>
    <w:p w14:paraId="0126353D" w14:textId="462E5B5B" w:rsidR="00B875C3" w:rsidRPr="003E3C14" w:rsidRDefault="00626726" w:rsidP="00B709F1">
      <w:pPr>
        <w:pStyle w:val="ListParagraph"/>
        <w:numPr>
          <w:ilvl w:val="0"/>
          <w:numId w:val="20"/>
        </w:numPr>
        <w:spacing w:before="120" w:after="0" w:line="240" w:lineRule="auto"/>
        <w:contextualSpacing w:val="0"/>
      </w:pPr>
      <w:r w:rsidRPr="003E7607">
        <w:rPr>
          <w:rFonts w:cs="Arial"/>
          <w:b/>
          <w:lang w:val="es-ES"/>
        </w:rPr>
        <w:t xml:space="preserve">63 (15 %) </w:t>
      </w:r>
      <w:r w:rsidRPr="003E7607">
        <w:rPr>
          <w:rFonts w:cs="Arial"/>
          <w:lang w:val="es-ES"/>
        </w:rPr>
        <w:t>acciones se informan con algunas demoras, puestas en pausa o con fecha de inicio futura.</w:t>
      </w:r>
    </w:p>
    <w:p w14:paraId="58D1035C" w14:textId="7DA0B522" w:rsidR="00B875C3" w:rsidRPr="003E3C14" w:rsidRDefault="00626726" w:rsidP="00760AE8">
      <w:pPr>
        <w:spacing w:before="240" w:after="240"/>
        <w:rPr>
          <w:b/>
        </w:rPr>
      </w:pPr>
      <w:r w:rsidRPr="003E7607">
        <w:rPr>
          <w:rFonts w:cs="Arial"/>
          <w:b/>
          <w:lang w:val="es-ES"/>
        </w:rPr>
        <w:t>Tabla 13: Progreso de todas las acciones de los TAP, por gobierno y estado durante el período 2021-2023</w:t>
      </w:r>
    </w:p>
    <w:tbl>
      <w:tblPr>
        <w:tblStyle w:val="TableGrid"/>
        <w:tblW w:w="5000" w:type="pct"/>
        <w:tblCellMar>
          <w:top w:w="115" w:type="dxa"/>
          <w:bottom w:w="115" w:type="dxa"/>
        </w:tblCellMar>
        <w:tblLook w:val="04A0" w:firstRow="1" w:lastRow="0" w:firstColumn="1" w:lastColumn="0" w:noHBand="0" w:noVBand="1"/>
      </w:tblPr>
      <w:tblGrid>
        <w:gridCol w:w="1533"/>
        <w:gridCol w:w="1477"/>
        <w:gridCol w:w="1246"/>
        <w:gridCol w:w="1246"/>
        <w:gridCol w:w="1246"/>
        <w:gridCol w:w="1246"/>
        <w:gridCol w:w="1248"/>
      </w:tblGrid>
      <w:tr w:rsidR="00FD6994" w:rsidRPr="003E3C14" w14:paraId="2CAF848F" w14:textId="77777777" w:rsidTr="00FD6994">
        <w:tc>
          <w:tcPr>
            <w:tcW w:w="830" w:type="pct"/>
            <w:tcBorders>
              <w:left w:val="single" w:sz="4" w:space="0" w:color="FFFFFF" w:themeColor="background1"/>
              <w:right w:val="single" w:sz="4" w:space="0" w:color="FFFFFF" w:themeColor="background1"/>
            </w:tcBorders>
            <w:shd w:val="clear" w:color="auto" w:fill="6C1740"/>
          </w:tcPr>
          <w:p w14:paraId="56F5D0F5" w14:textId="47897196" w:rsidR="00FD6994" w:rsidRPr="003E3C14" w:rsidRDefault="00FD6994" w:rsidP="008E5982">
            <w:pPr>
              <w:rPr>
                <w:b/>
              </w:rPr>
            </w:pPr>
            <w:r w:rsidRPr="00BC2F9E">
              <w:rPr>
                <w:rFonts w:eastAsia="Times New Roman" w:cs="Calibri"/>
                <w:b/>
                <w:bCs/>
                <w:color w:val="FFFFFF" w:themeColor="background1"/>
                <w:lang w:val="es" w:eastAsia="en-AU"/>
              </w:rPr>
              <w:t>Gobierno</w:t>
            </w:r>
          </w:p>
        </w:tc>
        <w:tc>
          <w:tcPr>
            <w:tcW w:w="799" w:type="pct"/>
            <w:tcBorders>
              <w:left w:val="single" w:sz="4" w:space="0" w:color="FFFFFF" w:themeColor="background1"/>
              <w:right w:val="single" w:sz="4" w:space="0" w:color="FFFFFF" w:themeColor="background1"/>
            </w:tcBorders>
            <w:shd w:val="clear" w:color="auto" w:fill="6C1740"/>
          </w:tcPr>
          <w:p w14:paraId="4BC5319F" w14:textId="255C66F8" w:rsidR="00FD6994" w:rsidRPr="003E3C14" w:rsidRDefault="00FD6994" w:rsidP="00EF7D0A">
            <w:pPr>
              <w:jc w:val="center"/>
              <w:rPr>
                <w:b/>
              </w:rPr>
            </w:pPr>
            <w:r w:rsidRPr="00BC2F9E">
              <w:rPr>
                <w:rFonts w:eastAsia="Times New Roman" w:cs="Calibri"/>
                <w:b/>
                <w:bCs/>
                <w:color w:val="FFFFFF" w:themeColor="background1"/>
                <w:lang w:val="es" w:eastAsia="en-AU"/>
              </w:rPr>
              <w:t>Completada</w:t>
            </w:r>
          </w:p>
        </w:tc>
        <w:tc>
          <w:tcPr>
            <w:tcW w:w="674" w:type="pct"/>
            <w:tcBorders>
              <w:left w:val="single" w:sz="4" w:space="0" w:color="FFFFFF" w:themeColor="background1"/>
              <w:right w:val="single" w:sz="4" w:space="0" w:color="FFFFFF" w:themeColor="background1"/>
            </w:tcBorders>
            <w:shd w:val="clear" w:color="auto" w:fill="6C1740"/>
          </w:tcPr>
          <w:p w14:paraId="670D6CA9" w14:textId="0E491F47" w:rsidR="00FD6994" w:rsidRPr="003E3C14" w:rsidRDefault="00FD6994" w:rsidP="008E5982">
            <w:pPr>
              <w:jc w:val="center"/>
              <w:rPr>
                <w:b/>
              </w:rPr>
            </w:pPr>
            <w:r w:rsidRPr="00BC2F9E">
              <w:rPr>
                <w:rFonts w:eastAsia="Times New Roman" w:cs="Calibri"/>
                <w:b/>
                <w:bCs/>
                <w:color w:val="FFFFFF" w:themeColor="background1"/>
                <w:lang w:val="es" w:eastAsia="en-AU"/>
              </w:rPr>
              <w:t>En curso</w:t>
            </w:r>
          </w:p>
        </w:tc>
        <w:tc>
          <w:tcPr>
            <w:tcW w:w="674" w:type="pct"/>
            <w:tcBorders>
              <w:left w:val="single" w:sz="4" w:space="0" w:color="FFFFFF" w:themeColor="background1"/>
              <w:right w:val="single" w:sz="4" w:space="0" w:color="FFFFFF" w:themeColor="background1"/>
            </w:tcBorders>
            <w:shd w:val="clear" w:color="auto" w:fill="6C1740"/>
          </w:tcPr>
          <w:p w14:paraId="090E8FAD" w14:textId="3E521488" w:rsidR="00FD6994" w:rsidRPr="003E3C14" w:rsidRDefault="00FD6994" w:rsidP="008E5982">
            <w:pPr>
              <w:jc w:val="center"/>
              <w:rPr>
                <w:b/>
              </w:rPr>
            </w:pPr>
            <w:r w:rsidRPr="00BC2F9E">
              <w:rPr>
                <w:rFonts w:eastAsia="Times New Roman" w:cs="Calibri"/>
                <w:b/>
                <w:bCs/>
                <w:color w:val="FFFFFF" w:themeColor="background1"/>
                <w:lang w:val="es" w:eastAsia="en-AU"/>
              </w:rPr>
              <w:t>Algunas demoras</w:t>
            </w:r>
          </w:p>
        </w:tc>
        <w:tc>
          <w:tcPr>
            <w:tcW w:w="674" w:type="pct"/>
            <w:tcBorders>
              <w:left w:val="single" w:sz="4" w:space="0" w:color="FFFFFF" w:themeColor="background1"/>
              <w:right w:val="single" w:sz="4" w:space="0" w:color="FFFFFF" w:themeColor="background1"/>
            </w:tcBorders>
            <w:shd w:val="clear" w:color="auto" w:fill="6C1740"/>
          </w:tcPr>
          <w:p w14:paraId="0EAA9221" w14:textId="572930AE" w:rsidR="00FD6994" w:rsidRPr="003E3C14" w:rsidRDefault="00FD6994" w:rsidP="008E5982">
            <w:pPr>
              <w:jc w:val="center"/>
              <w:rPr>
                <w:b/>
              </w:rPr>
            </w:pPr>
            <w:r w:rsidRPr="00BC2F9E">
              <w:rPr>
                <w:rFonts w:eastAsia="Times New Roman" w:cs="Calibri"/>
                <w:b/>
                <w:bCs/>
                <w:color w:val="FFFFFF" w:themeColor="background1"/>
                <w:lang w:val="es" w:eastAsia="en-AU"/>
              </w:rPr>
              <w:t>En pausa</w:t>
            </w:r>
          </w:p>
        </w:tc>
        <w:tc>
          <w:tcPr>
            <w:tcW w:w="674" w:type="pct"/>
            <w:tcBorders>
              <w:left w:val="single" w:sz="4" w:space="0" w:color="FFFFFF" w:themeColor="background1"/>
              <w:right w:val="single" w:sz="4" w:space="0" w:color="FFFFFF" w:themeColor="background1"/>
            </w:tcBorders>
            <w:shd w:val="clear" w:color="auto" w:fill="6C1740"/>
          </w:tcPr>
          <w:p w14:paraId="40B4AAE5" w14:textId="6874FE64" w:rsidR="00FD6994" w:rsidRPr="003E3C14" w:rsidRDefault="00FD6994" w:rsidP="008E5982">
            <w:pPr>
              <w:jc w:val="center"/>
              <w:rPr>
                <w:b/>
              </w:rPr>
            </w:pPr>
            <w:r w:rsidRPr="00BC2F9E">
              <w:rPr>
                <w:rFonts w:eastAsia="Times New Roman" w:cs="Calibri"/>
                <w:b/>
                <w:bCs/>
                <w:color w:val="FFFFFF" w:themeColor="background1"/>
                <w:lang w:val="es" w:eastAsia="en-AU"/>
              </w:rPr>
              <w:t>Inicio futuro</w:t>
            </w:r>
          </w:p>
        </w:tc>
        <w:tc>
          <w:tcPr>
            <w:tcW w:w="675" w:type="pct"/>
            <w:tcBorders>
              <w:left w:val="single" w:sz="4" w:space="0" w:color="FFFFFF" w:themeColor="background1"/>
              <w:right w:val="single" w:sz="4" w:space="0" w:color="FFFFFF" w:themeColor="background1"/>
            </w:tcBorders>
            <w:shd w:val="clear" w:color="auto" w:fill="6C1740"/>
          </w:tcPr>
          <w:p w14:paraId="7F3EF0F9" w14:textId="7E5D8C5F" w:rsidR="00FD6994" w:rsidRPr="003E3C14" w:rsidRDefault="00FD6994" w:rsidP="001E7183">
            <w:pPr>
              <w:jc w:val="center"/>
              <w:rPr>
                <w:b/>
              </w:rPr>
            </w:pPr>
            <w:r w:rsidRPr="00BC2F9E">
              <w:rPr>
                <w:b/>
                <w:color w:val="FFFFFF" w:themeColor="background1"/>
                <w:sz w:val="20"/>
                <w:szCs w:val="20"/>
              </w:rPr>
              <w:t>Total</w:t>
            </w:r>
          </w:p>
        </w:tc>
      </w:tr>
      <w:tr w:rsidR="00FD6994" w:rsidRPr="003E3C14" w14:paraId="0CA8A133" w14:textId="77777777" w:rsidTr="00FD6994">
        <w:tc>
          <w:tcPr>
            <w:tcW w:w="830" w:type="pct"/>
            <w:tcBorders>
              <w:left w:val="single" w:sz="4" w:space="0" w:color="FFFFFF" w:themeColor="background1"/>
            </w:tcBorders>
          </w:tcPr>
          <w:p w14:paraId="647D1E6A" w14:textId="32C4CEC6" w:rsidR="00FD6994" w:rsidRPr="003E3C14" w:rsidRDefault="00FD6994" w:rsidP="008E5982">
            <w:r w:rsidRPr="003E3C14">
              <w:rPr>
                <w:sz w:val="20"/>
                <w:szCs w:val="20"/>
              </w:rPr>
              <w:t>Australian Government</w:t>
            </w:r>
          </w:p>
        </w:tc>
        <w:tc>
          <w:tcPr>
            <w:tcW w:w="799" w:type="pct"/>
          </w:tcPr>
          <w:p w14:paraId="2F04B8C0" w14:textId="71EC45A5" w:rsidR="00FD6994" w:rsidRPr="003E3C14" w:rsidRDefault="00FD6994" w:rsidP="008E5982">
            <w:pPr>
              <w:jc w:val="center"/>
            </w:pPr>
            <w:r w:rsidRPr="003E3C14">
              <w:t>17</w:t>
            </w:r>
          </w:p>
        </w:tc>
        <w:tc>
          <w:tcPr>
            <w:tcW w:w="674" w:type="pct"/>
          </w:tcPr>
          <w:p w14:paraId="63307B55" w14:textId="0FF19D3D" w:rsidR="00FD6994" w:rsidRPr="003E3C14" w:rsidRDefault="00FD6994" w:rsidP="009C41C7">
            <w:pPr>
              <w:jc w:val="center"/>
            </w:pPr>
            <w:r w:rsidRPr="003E3C14">
              <w:t>23</w:t>
            </w:r>
          </w:p>
        </w:tc>
        <w:tc>
          <w:tcPr>
            <w:tcW w:w="674" w:type="pct"/>
          </w:tcPr>
          <w:p w14:paraId="55F8670F" w14:textId="4329E116" w:rsidR="00FD6994" w:rsidRPr="003E3C14" w:rsidRDefault="00FD6994" w:rsidP="008E5982">
            <w:pPr>
              <w:jc w:val="center"/>
            </w:pPr>
            <w:r w:rsidRPr="003E3C14">
              <w:t>16</w:t>
            </w:r>
          </w:p>
        </w:tc>
        <w:tc>
          <w:tcPr>
            <w:tcW w:w="674" w:type="pct"/>
          </w:tcPr>
          <w:p w14:paraId="35969BF7" w14:textId="77777777" w:rsidR="00FD6994" w:rsidRPr="003E3C14" w:rsidRDefault="00FD6994" w:rsidP="008E5982">
            <w:pPr>
              <w:jc w:val="center"/>
            </w:pPr>
            <w:r w:rsidRPr="003E3C14">
              <w:t>1</w:t>
            </w:r>
          </w:p>
        </w:tc>
        <w:tc>
          <w:tcPr>
            <w:tcW w:w="674" w:type="pct"/>
          </w:tcPr>
          <w:p w14:paraId="6DEA33AF" w14:textId="77777777" w:rsidR="00FD6994" w:rsidRPr="003E3C14" w:rsidRDefault="00FD6994" w:rsidP="008E5982">
            <w:pPr>
              <w:jc w:val="center"/>
            </w:pPr>
            <w:r w:rsidRPr="003E3C14">
              <w:t>2</w:t>
            </w:r>
          </w:p>
        </w:tc>
        <w:tc>
          <w:tcPr>
            <w:tcW w:w="675" w:type="pct"/>
            <w:tcBorders>
              <w:right w:val="single" w:sz="4" w:space="0" w:color="FFFFFF" w:themeColor="background1"/>
            </w:tcBorders>
          </w:tcPr>
          <w:p w14:paraId="4CCDC26D" w14:textId="77777777" w:rsidR="00FD6994" w:rsidRPr="003E3C14" w:rsidRDefault="00FD6994" w:rsidP="008E5982">
            <w:pPr>
              <w:jc w:val="center"/>
            </w:pPr>
            <w:r w:rsidRPr="003E3C14">
              <w:t>59</w:t>
            </w:r>
          </w:p>
        </w:tc>
      </w:tr>
      <w:tr w:rsidR="00FD6994" w:rsidRPr="003E3C14" w14:paraId="331BF5F9" w14:textId="77777777" w:rsidTr="00FD6994">
        <w:tc>
          <w:tcPr>
            <w:tcW w:w="830" w:type="pct"/>
            <w:tcBorders>
              <w:left w:val="single" w:sz="4" w:space="0" w:color="FFFFFF" w:themeColor="background1"/>
            </w:tcBorders>
            <w:shd w:val="clear" w:color="auto" w:fill="FAF9F8"/>
          </w:tcPr>
          <w:p w14:paraId="3C3CCD96" w14:textId="212206D5" w:rsidR="00FD6994" w:rsidRPr="003E3C14" w:rsidRDefault="00FD6994" w:rsidP="008E5982">
            <w:r w:rsidRPr="003E3C14">
              <w:rPr>
                <w:sz w:val="20"/>
                <w:szCs w:val="20"/>
              </w:rPr>
              <w:t>NSW</w:t>
            </w:r>
          </w:p>
        </w:tc>
        <w:tc>
          <w:tcPr>
            <w:tcW w:w="799" w:type="pct"/>
            <w:shd w:val="clear" w:color="auto" w:fill="FAF9F8"/>
          </w:tcPr>
          <w:p w14:paraId="03A7C5D8" w14:textId="77777777" w:rsidR="00FD6994" w:rsidRPr="003E3C14" w:rsidRDefault="00FD6994" w:rsidP="008E5982">
            <w:pPr>
              <w:jc w:val="center"/>
            </w:pPr>
            <w:r w:rsidRPr="003E3C14">
              <w:t>6</w:t>
            </w:r>
          </w:p>
        </w:tc>
        <w:tc>
          <w:tcPr>
            <w:tcW w:w="674" w:type="pct"/>
            <w:shd w:val="clear" w:color="auto" w:fill="FAF9F8"/>
          </w:tcPr>
          <w:p w14:paraId="565D947B" w14:textId="77777777" w:rsidR="00FD6994" w:rsidRPr="003E3C14" w:rsidRDefault="00FD6994" w:rsidP="008E5982">
            <w:pPr>
              <w:jc w:val="center"/>
            </w:pPr>
            <w:r w:rsidRPr="003E3C14">
              <w:t>25</w:t>
            </w:r>
          </w:p>
        </w:tc>
        <w:tc>
          <w:tcPr>
            <w:tcW w:w="674" w:type="pct"/>
            <w:shd w:val="clear" w:color="auto" w:fill="FAF9F8"/>
          </w:tcPr>
          <w:p w14:paraId="5F16288B" w14:textId="77777777" w:rsidR="00FD6994" w:rsidRPr="003E3C14" w:rsidRDefault="00FD6994" w:rsidP="008E5982">
            <w:pPr>
              <w:jc w:val="center"/>
            </w:pPr>
            <w:r w:rsidRPr="003E3C14">
              <w:t>12</w:t>
            </w:r>
          </w:p>
        </w:tc>
        <w:tc>
          <w:tcPr>
            <w:tcW w:w="674" w:type="pct"/>
            <w:shd w:val="clear" w:color="auto" w:fill="FAF9F8"/>
          </w:tcPr>
          <w:p w14:paraId="701E51FB" w14:textId="77777777" w:rsidR="00FD6994" w:rsidRPr="003E3C14" w:rsidRDefault="00FD6994" w:rsidP="008E5982">
            <w:pPr>
              <w:jc w:val="center"/>
            </w:pPr>
            <w:r w:rsidRPr="003E3C14">
              <w:t>3</w:t>
            </w:r>
          </w:p>
        </w:tc>
        <w:tc>
          <w:tcPr>
            <w:tcW w:w="674" w:type="pct"/>
            <w:shd w:val="clear" w:color="auto" w:fill="FAF9F8"/>
          </w:tcPr>
          <w:p w14:paraId="563C0331" w14:textId="77777777" w:rsidR="00FD6994" w:rsidRPr="003E3C14" w:rsidRDefault="00FD6994" w:rsidP="008E5982">
            <w:pPr>
              <w:jc w:val="center"/>
            </w:pPr>
            <w:r w:rsidRPr="003E3C14">
              <w:t>0</w:t>
            </w:r>
          </w:p>
        </w:tc>
        <w:tc>
          <w:tcPr>
            <w:tcW w:w="675" w:type="pct"/>
            <w:tcBorders>
              <w:right w:val="single" w:sz="4" w:space="0" w:color="FFFFFF" w:themeColor="background1"/>
            </w:tcBorders>
            <w:shd w:val="clear" w:color="auto" w:fill="FAF9F8"/>
          </w:tcPr>
          <w:p w14:paraId="57535620" w14:textId="77777777" w:rsidR="00FD6994" w:rsidRPr="003E3C14" w:rsidRDefault="00FD6994" w:rsidP="008E5982">
            <w:pPr>
              <w:jc w:val="center"/>
            </w:pPr>
            <w:r w:rsidRPr="003E3C14">
              <w:t>46</w:t>
            </w:r>
          </w:p>
        </w:tc>
      </w:tr>
      <w:tr w:rsidR="00FD6994" w:rsidRPr="003E3C14" w14:paraId="2022C9B4" w14:textId="77777777" w:rsidTr="00FD6994">
        <w:tc>
          <w:tcPr>
            <w:tcW w:w="830" w:type="pct"/>
            <w:tcBorders>
              <w:left w:val="single" w:sz="4" w:space="0" w:color="FFFFFF" w:themeColor="background1"/>
            </w:tcBorders>
          </w:tcPr>
          <w:p w14:paraId="52B81DF5" w14:textId="3651FB5A" w:rsidR="00FD6994" w:rsidRPr="003E3C14" w:rsidRDefault="00FD6994" w:rsidP="008E5982">
            <w:r w:rsidRPr="003E3C14">
              <w:rPr>
                <w:sz w:val="20"/>
                <w:szCs w:val="20"/>
              </w:rPr>
              <w:t>VIC</w:t>
            </w:r>
          </w:p>
        </w:tc>
        <w:tc>
          <w:tcPr>
            <w:tcW w:w="799" w:type="pct"/>
          </w:tcPr>
          <w:p w14:paraId="7C622B4C" w14:textId="77777777" w:rsidR="00FD6994" w:rsidRPr="003E3C14" w:rsidRDefault="00FD6994" w:rsidP="008E5982">
            <w:pPr>
              <w:jc w:val="center"/>
            </w:pPr>
            <w:r w:rsidRPr="003E3C14">
              <w:t>18</w:t>
            </w:r>
          </w:p>
        </w:tc>
        <w:tc>
          <w:tcPr>
            <w:tcW w:w="674" w:type="pct"/>
          </w:tcPr>
          <w:p w14:paraId="5D240702" w14:textId="77777777" w:rsidR="00FD6994" w:rsidRPr="003E3C14" w:rsidRDefault="00FD6994" w:rsidP="008E5982">
            <w:pPr>
              <w:jc w:val="center"/>
            </w:pPr>
            <w:r w:rsidRPr="003E3C14">
              <w:t>30</w:t>
            </w:r>
          </w:p>
        </w:tc>
        <w:tc>
          <w:tcPr>
            <w:tcW w:w="674" w:type="pct"/>
          </w:tcPr>
          <w:p w14:paraId="4A2DB011" w14:textId="77777777" w:rsidR="00FD6994" w:rsidRPr="003E3C14" w:rsidRDefault="00FD6994" w:rsidP="008E5982">
            <w:pPr>
              <w:jc w:val="center"/>
            </w:pPr>
            <w:r w:rsidRPr="003E3C14">
              <w:t>2</w:t>
            </w:r>
          </w:p>
        </w:tc>
        <w:tc>
          <w:tcPr>
            <w:tcW w:w="674" w:type="pct"/>
          </w:tcPr>
          <w:p w14:paraId="55C85BEF" w14:textId="77777777" w:rsidR="00FD6994" w:rsidRPr="003E3C14" w:rsidRDefault="00FD6994" w:rsidP="008E5982">
            <w:pPr>
              <w:jc w:val="center"/>
            </w:pPr>
            <w:r w:rsidRPr="003E3C14">
              <w:t>0</w:t>
            </w:r>
          </w:p>
        </w:tc>
        <w:tc>
          <w:tcPr>
            <w:tcW w:w="674" w:type="pct"/>
          </w:tcPr>
          <w:p w14:paraId="027BBEEA" w14:textId="77777777" w:rsidR="00FD6994" w:rsidRPr="003E3C14" w:rsidRDefault="00FD6994" w:rsidP="008E5982">
            <w:pPr>
              <w:jc w:val="center"/>
            </w:pPr>
            <w:r w:rsidRPr="003E3C14">
              <w:t>0</w:t>
            </w:r>
          </w:p>
        </w:tc>
        <w:tc>
          <w:tcPr>
            <w:tcW w:w="675" w:type="pct"/>
            <w:tcBorders>
              <w:right w:val="single" w:sz="4" w:space="0" w:color="FFFFFF" w:themeColor="background1"/>
            </w:tcBorders>
          </w:tcPr>
          <w:p w14:paraId="6057B760" w14:textId="77777777" w:rsidR="00FD6994" w:rsidRPr="003E3C14" w:rsidRDefault="00FD6994" w:rsidP="008E5982">
            <w:pPr>
              <w:jc w:val="center"/>
            </w:pPr>
            <w:r w:rsidRPr="003E3C14">
              <w:t>50</w:t>
            </w:r>
          </w:p>
        </w:tc>
      </w:tr>
      <w:tr w:rsidR="00FD6994" w:rsidRPr="003E3C14" w14:paraId="46448FAF" w14:textId="77777777" w:rsidTr="00FD6994">
        <w:tc>
          <w:tcPr>
            <w:tcW w:w="830" w:type="pct"/>
            <w:tcBorders>
              <w:left w:val="single" w:sz="4" w:space="0" w:color="FFFFFF" w:themeColor="background1"/>
            </w:tcBorders>
            <w:shd w:val="clear" w:color="auto" w:fill="FAF9F8"/>
          </w:tcPr>
          <w:p w14:paraId="71A0B11D" w14:textId="4CCAB9F6" w:rsidR="00FD6994" w:rsidRPr="003E3C14" w:rsidRDefault="00FD6994" w:rsidP="008E5982">
            <w:r w:rsidRPr="003E3C14">
              <w:rPr>
                <w:sz w:val="20"/>
                <w:szCs w:val="20"/>
              </w:rPr>
              <w:t>QLD</w:t>
            </w:r>
          </w:p>
        </w:tc>
        <w:tc>
          <w:tcPr>
            <w:tcW w:w="799" w:type="pct"/>
            <w:shd w:val="clear" w:color="auto" w:fill="FAF9F8"/>
          </w:tcPr>
          <w:p w14:paraId="3CB7A49D" w14:textId="77777777" w:rsidR="00FD6994" w:rsidRPr="003E3C14" w:rsidRDefault="00FD6994" w:rsidP="008E5982">
            <w:pPr>
              <w:jc w:val="center"/>
            </w:pPr>
            <w:r w:rsidRPr="003E3C14">
              <w:t>23</w:t>
            </w:r>
          </w:p>
        </w:tc>
        <w:tc>
          <w:tcPr>
            <w:tcW w:w="674" w:type="pct"/>
            <w:shd w:val="clear" w:color="auto" w:fill="FAF9F8"/>
          </w:tcPr>
          <w:p w14:paraId="6C32F745" w14:textId="77777777" w:rsidR="00FD6994" w:rsidRPr="003E3C14" w:rsidRDefault="00FD6994" w:rsidP="008E5982">
            <w:pPr>
              <w:jc w:val="center"/>
            </w:pPr>
            <w:r w:rsidRPr="003E3C14">
              <w:t>28</w:t>
            </w:r>
          </w:p>
        </w:tc>
        <w:tc>
          <w:tcPr>
            <w:tcW w:w="674" w:type="pct"/>
            <w:shd w:val="clear" w:color="auto" w:fill="FAF9F8"/>
          </w:tcPr>
          <w:p w14:paraId="7A4502E8" w14:textId="77777777" w:rsidR="00FD6994" w:rsidRPr="003E3C14" w:rsidRDefault="00FD6994" w:rsidP="008E5982">
            <w:pPr>
              <w:jc w:val="center"/>
            </w:pPr>
            <w:r w:rsidRPr="003E3C14">
              <w:t>4</w:t>
            </w:r>
          </w:p>
        </w:tc>
        <w:tc>
          <w:tcPr>
            <w:tcW w:w="674" w:type="pct"/>
            <w:shd w:val="clear" w:color="auto" w:fill="FAF9F8"/>
          </w:tcPr>
          <w:p w14:paraId="448D6D66" w14:textId="77777777" w:rsidR="00FD6994" w:rsidRPr="003E3C14" w:rsidRDefault="00FD6994" w:rsidP="008E5982">
            <w:pPr>
              <w:jc w:val="center"/>
            </w:pPr>
            <w:r w:rsidRPr="003E3C14">
              <w:t>0</w:t>
            </w:r>
          </w:p>
        </w:tc>
        <w:tc>
          <w:tcPr>
            <w:tcW w:w="674" w:type="pct"/>
            <w:shd w:val="clear" w:color="auto" w:fill="FAF9F8"/>
          </w:tcPr>
          <w:p w14:paraId="00AACA49" w14:textId="77777777" w:rsidR="00FD6994" w:rsidRPr="003E3C14" w:rsidRDefault="00FD6994" w:rsidP="008E5982">
            <w:pPr>
              <w:jc w:val="center"/>
            </w:pPr>
            <w:r w:rsidRPr="003E3C14">
              <w:t>0</w:t>
            </w:r>
          </w:p>
        </w:tc>
        <w:tc>
          <w:tcPr>
            <w:tcW w:w="675" w:type="pct"/>
            <w:tcBorders>
              <w:right w:val="single" w:sz="4" w:space="0" w:color="FFFFFF" w:themeColor="background1"/>
            </w:tcBorders>
            <w:shd w:val="clear" w:color="auto" w:fill="FAF9F8"/>
          </w:tcPr>
          <w:p w14:paraId="331EF909" w14:textId="77777777" w:rsidR="00FD6994" w:rsidRPr="003E3C14" w:rsidRDefault="00FD6994" w:rsidP="008E5982">
            <w:pPr>
              <w:jc w:val="center"/>
            </w:pPr>
            <w:r w:rsidRPr="003E3C14">
              <w:t>55</w:t>
            </w:r>
          </w:p>
        </w:tc>
      </w:tr>
      <w:tr w:rsidR="00FD6994" w:rsidRPr="003E3C14" w14:paraId="60DB4B8F" w14:textId="77777777" w:rsidTr="00FD6994">
        <w:tc>
          <w:tcPr>
            <w:tcW w:w="830" w:type="pct"/>
            <w:tcBorders>
              <w:left w:val="single" w:sz="4" w:space="0" w:color="FFFFFF" w:themeColor="background1"/>
            </w:tcBorders>
          </w:tcPr>
          <w:p w14:paraId="4F490181" w14:textId="595C5DF2" w:rsidR="00FD6994" w:rsidRPr="003E3C14" w:rsidRDefault="00FD6994" w:rsidP="008E5982">
            <w:r w:rsidRPr="003E3C14">
              <w:rPr>
                <w:sz w:val="20"/>
                <w:szCs w:val="20"/>
              </w:rPr>
              <w:t>WA</w:t>
            </w:r>
          </w:p>
        </w:tc>
        <w:tc>
          <w:tcPr>
            <w:tcW w:w="799" w:type="pct"/>
          </w:tcPr>
          <w:p w14:paraId="3ECB9A9D" w14:textId="77777777" w:rsidR="00FD6994" w:rsidRPr="003E3C14" w:rsidRDefault="00FD6994" w:rsidP="008E5982">
            <w:pPr>
              <w:jc w:val="center"/>
            </w:pPr>
            <w:r w:rsidRPr="003E3C14">
              <w:t>10</w:t>
            </w:r>
          </w:p>
        </w:tc>
        <w:tc>
          <w:tcPr>
            <w:tcW w:w="674" w:type="pct"/>
          </w:tcPr>
          <w:p w14:paraId="23F75054" w14:textId="77777777" w:rsidR="00FD6994" w:rsidRPr="003E3C14" w:rsidRDefault="00FD6994" w:rsidP="008E5982">
            <w:pPr>
              <w:jc w:val="center"/>
            </w:pPr>
            <w:r w:rsidRPr="003E3C14">
              <w:t>20</w:t>
            </w:r>
          </w:p>
        </w:tc>
        <w:tc>
          <w:tcPr>
            <w:tcW w:w="674" w:type="pct"/>
          </w:tcPr>
          <w:p w14:paraId="61D17171" w14:textId="77777777" w:rsidR="00FD6994" w:rsidRPr="003E3C14" w:rsidRDefault="00FD6994" w:rsidP="008E5982">
            <w:pPr>
              <w:jc w:val="center"/>
            </w:pPr>
            <w:r w:rsidRPr="003E3C14">
              <w:t>1</w:t>
            </w:r>
          </w:p>
        </w:tc>
        <w:tc>
          <w:tcPr>
            <w:tcW w:w="674" w:type="pct"/>
          </w:tcPr>
          <w:p w14:paraId="3AF9EE78" w14:textId="77777777" w:rsidR="00FD6994" w:rsidRPr="003E3C14" w:rsidRDefault="00FD6994" w:rsidP="008E5982">
            <w:pPr>
              <w:jc w:val="center"/>
            </w:pPr>
            <w:r w:rsidRPr="003E3C14">
              <w:t>0</w:t>
            </w:r>
          </w:p>
        </w:tc>
        <w:tc>
          <w:tcPr>
            <w:tcW w:w="674" w:type="pct"/>
          </w:tcPr>
          <w:p w14:paraId="213E3315" w14:textId="77777777" w:rsidR="00FD6994" w:rsidRPr="003E3C14" w:rsidRDefault="00FD6994" w:rsidP="008E5982">
            <w:pPr>
              <w:jc w:val="center"/>
            </w:pPr>
            <w:r w:rsidRPr="003E3C14">
              <w:t>0</w:t>
            </w:r>
          </w:p>
        </w:tc>
        <w:tc>
          <w:tcPr>
            <w:tcW w:w="675" w:type="pct"/>
            <w:tcBorders>
              <w:right w:val="single" w:sz="4" w:space="0" w:color="FFFFFF" w:themeColor="background1"/>
            </w:tcBorders>
          </w:tcPr>
          <w:p w14:paraId="6A3A7D06" w14:textId="77777777" w:rsidR="00FD6994" w:rsidRPr="003E3C14" w:rsidRDefault="00FD6994" w:rsidP="008E5982">
            <w:pPr>
              <w:jc w:val="center"/>
            </w:pPr>
            <w:r w:rsidRPr="003E3C14">
              <w:t>31</w:t>
            </w:r>
          </w:p>
        </w:tc>
      </w:tr>
      <w:tr w:rsidR="00FD6994" w:rsidRPr="003E3C14" w14:paraId="77B63654" w14:textId="77777777" w:rsidTr="00FD6994">
        <w:tc>
          <w:tcPr>
            <w:tcW w:w="830" w:type="pct"/>
            <w:tcBorders>
              <w:left w:val="single" w:sz="4" w:space="0" w:color="FFFFFF" w:themeColor="background1"/>
            </w:tcBorders>
            <w:shd w:val="clear" w:color="auto" w:fill="FAF9F8"/>
          </w:tcPr>
          <w:p w14:paraId="57EE9ADE" w14:textId="05DBD080" w:rsidR="00FD6994" w:rsidRPr="003E3C14" w:rsidRDefault="00FD6994" w:rsidP="008E5982">
            <w:r w:rsidRPr="003E3C14">
              <w:rPr>
                <w:sz w:val="20"/>
                <w:szCs w:val="20"/>
              </w:rPr>
              <w:t>SA</w:t>
            </w:r>
          </w:p>
        </w:tc>
        <w:tc>
          <w:tcPr>
            <w:tcW w:w="799" w:type="pct"/>
            <w:shd w:val="clear" w:color="auto" w:fill="FAF9F8"/>
          </w:tcPr>
          <w:p w14:paraId="77B82264" w14:textId="77777777" w:rsidR="00FD6994" w:rsidRPr="003E3C14" w:rsidRDefault="00FD6994" w:rsidP="008E5982">
            <w:pPr>
              <w:jc w:val="center"/>
            </w:pPr>
            <w:r w:rsidRPr="003E3C14">
              <w:t>28</w:t>
            </w:r>
          </w:p>
        </w:tc>
        <w:tc>
          <w:tcPr>
            <w:tcW w:w="674" w:type="pct"/>
            <w:shd w:val="clear" w:color="auto" w:fill="FAF9F8"/>
          </w:tcPr>
          <w:p w14:paraId="6E0C5E2C" w14:textId="77777777" w:rsidR="00FD6994" w:rsidRPr="003E3C14" w:rsidRDefault="00FD6994" w:rsidP="008E5982">
            <w:pPr>
              <w:jc w:val="center"/>
            </w:pPr>
            <w:r w:rsidRPr="003E3C14">
              <w:t>31</w:t>
            </w:r>
          </w:p>
        </w:tc>
        <w:tc>
          <w:tcPr>
            <w:tcW w:w="674" w:type="pct"/>
            <w:shd w:val="clear" w:color="auto" w:fill="FAF9F8"/>
          </w:tcPr>
          <w:p w14:paraId="6B85A3F6" w14:textId="77777777" w:rsidR="00FD6994" w:rsidRPr="003E3C14" w:rsidRDefault="00FD6994" w:rsidP="008E5982">
            <w:pPr>
              <w:jc w:val="center"/>
            </w:pPr>
            <w:r w:rsidRPr="003E3C14">
              <w:t>7</w:t>
            </w:r>
          </w:p>
        </w:tc>
        <w:tc>
          <w:tcPr>
            <w:tcW w:w="674" w:type="pct"/>
            <w:shd w:val="clear" w:color="auto" w:fill="FAF9F8"/>
          </w:tcPr>
          <w:p w14:paraId="00EFF674" w14:textId="77777777" w:rsidR="00FD6994" w:rsidRPr="003E3C14" w:rsidRDefault="00FD6994" w:rsidP="008E5982">
            <w:pPr>
              <w:jc w:val="center"/>
            </w:pPr>
            <w:r w:rsidRPr="003E3C14">
              <w:t>2</w:t>
            </w:r>
          </w:p>
        </w:tc>
        <w:tc>
          <w:tcPr>
            <w:tcW w:w="674" w:type="pct"/>
            <w:shd w:val="clear" w:color="auto" w:fill="FAF9F8"/>
          </w:tcPr>
          <w:p w14:paraId="10CE6AC7" w14:textId="77777777" w:rsidR="00FD6994" w:rsidRPr="003E3C14" w:rsidRDefault="00FD6994" w:rsidP="008E5982">
            <w:pPr>
              <w:jc w:val="center"/>
            </w:pPr>
            <w:r w:rsidRPr="003E3C14">
              <w:t>1</w:t>
            </w:r>
          </w:p>
        </w:tc>
        <w:tc>
          <w:tcPr>
            <w:tcW w:w="675" w:type="pct"/>
            <w:tcBorders>
              <w:right w:val="single" w:sz="4" w:space="0" w:color="FFFFFF" w:themeColor="background1"/>
            </w:tcBorders>
            <w:shd w:val="clear" w:color="auto" w:fill="FAF9F8"/>
          </w:tcPr>
          <w:p w14:paraId="59E31555" w14:textId="77777777" w:rsidR="00FD6994" w:rsidRPr="003E3C14" w:rsidRDefault="00FD6994" w:rsidP="008E5982">
            <w:pPr>
              <w:jc w:val="center"/>
            </w:pPr>
            <w:r w:rsidRPr="003E3C14">
              <w:t>69</w:t>
            </w:r>
          </w:p>
        </w:tc>
      </w:tr>
      <w:tr w:rsidR="00FD6994" w:rsidRPr="003E3C14" w14:paraId="3699CAA8" w14:textId="77777777" w:rsidTr="00FD6994">
        <w:tc>
          <w:tcPr>
            <w:tcW w:w="830" w:type="pct"/>
            <w:tcBorders>
              <w:left w:val="single" w:sz="4" w:space="0" w:color="FFFFFF" w:themeColor="background1"/>
            </w:tcBorders>
          </w:tcPr>
          <w:p w14:paraId="244F31F3" w14:textId="452DA027" w:rsidR="00FD6994" w:rsidRPr="003E3C14" w:rsidRDefault="00FD6994" w:rsidP="008E5982">
            <w:r w:rsidRPr="003E3C14">
              <w:rPr>
                <w:sz w:val="20"/>
                <w:szCs w:val="20"/>
              </w:rPr>
              <w:t>TAS</w:t>
            </w:r>
          </w:p>
        </w:tc>
        <w:tc>
          <w:tcPr>
            <w:tcW w:w="799" w:type="pct"/>
          </w:tcPr>
          <w:p w14:paraId="0D3BED74" w14:textId="77777777" w:rsidR="00FD6994" w:rsidRPr="003E3C14" w:rsidRDefault="00FD6994" w:rsidP="008E5982">
            <w:pPr>
              <w:jc w:val="center"/>
            </w:pPr>
            <w:r w:rsidRPr="003E3C14">
              <w:t>8</w:t>
            </w:r>
          </w:p>
        </w:tc>
        <w:tc>
          <w:tcPr>
            <w:tcW w:w="674" w:type="pct"/>
          </w:tcPr>
          <w:p w14:paraId="4F113B21" w14:textId="77777777" w:rsidR="00FD6994" w:rsidRPr="003E3C14" w:rsidRDefault="00FD6994" w:rsidP="008E5982">
            <w:pPr>
              <w:jc w:val="center"/>
            </w:pPr>
            <w:r w:rsidRPr="003E3C14">
              <w:t>13</w:t>
            </w:r>
          </w:p>
        </w:tc>
        <w:tc>
          <w:tcPr>
            <w:tcW w:w="674" w:type="pct"/>
          </w:tcPr>
          <w:p w14:paraId="63163F79" w14:textId="77777777" w:rsidR="00FD6994" w:rsidRPr="003E3C14" w:rsidRDefault="00FD6994" w:rsidP="008E5982">
            <w:pPr>
              <w:jc w:val="center"/>
            </w:pPr>
            <w:r w:rsidRPr="003E3C14">
              <w:t>8</w:t>
            </w:r>
          </w:p>
        </w:tc>
        <w:tc>
          <w:tcPr>
            <w:tcW w:w="674" w:type="pct"/>
          </w:tcPr>
          <w:p w14:paraId="678DE0AB" w14:textId="77777777" w:rsidR="00FD6994" w:rsidRPr="003E3C14" w:rsidRDefault="00FD6994" w:rsidP="008E5982">
            <w:pPr>
              <w:jc w:val="center"/>
            </w:pPr>
            <w:r w:rsidRPr="003E3C14">
              <w:t>0</w:t>
            </w:r>
          </w:p>
        </w:tc>
        <w:tc>
          <w:tcPr>
            <w:tcW w:w="674" w:type="pct"/>
          </w:tcPr>
          <w:p w14:paraId="48F0E68C" w14:textId="77777777" w:rsidR="00FD6994" w:rsidRPr="003E3C14" w:rsidRDefault="00FD6994" w:rsidP="008E5982">
            <w:pPr>
              <w:jc w:val="center"/>
            </w:pPr>
            <w:r w:rsidRPr="003E3C14">
              <w:t>0</w:t>
            </w:r>
          </w:p>
        </w:tc>
        <w:tc>
          <w:tcPr>
            <w:tcW w:w="675" w:type="pct"/>
            <w:tcBorders>
              <w:right w:val="single" w:sz="4" w:space="0" w:color="FFFFFF" w:themeColor="background1"/>
            </w:tcBorders>
          </w:tcPr>
          <w:p w14:paraId="5CC96E50" w14:textId="77777777" w:rsidR="00FD6994" w:rsidRPr="003E3C14" w:rsidRDefault="00FD6994" w:rsidP="008E5982">
            <w:pPr>
              <w:jc w:val="center"/>
            </w:pPr>
            <w:r w:rsidRPr="003E3C14">
              <w:t>29</w:t>
            </w:r>
          </w:p>
        </w:tc>
      </w:tr>
      <w:tr w:rsidR="00FD6994" w:rsidRPr="003E3C14" w14:paraId="64139BC4" w14:textId="77777777" w:rsidTr="00FD6994">
        <w:tc>
          <w:tcPr>
            <w:tcW w:w="830" w:type="pct"/>
            <w:tcBorders>
              <w:left w:val="single" w:sz="4" w:space="0" w:color="FFFFFF" w:themeColor="background1"/>
            </w:tcBorders>
            <w:shd w:val="clear" w:color="auto" w:fill="FAF9F8"/>
          </w:tcPr>
          <w:p w14:paraId="45004F78" w14:textId="18BA76F1" w:rsidR="00FD6994" w:rsidRPr="003E3C14" w:rsidRDefault="00FD6994" w:rsidP="008E5982">
            <w:r w:rsidRPr="003E3C14">
              <w:rPr>
                <w:sz w:val="20"/>
                <w:szCs w:val="20"/>
              </w:rPr>
              <w:t>ACT</w:t>
            </w:r>
          </w:p>
        </w:tc>
        <w:tc>
          <w:tcPr>
            <w:tcW w:w="799" w:type="pct"/>
            <w:shd w:val="clear" w:color="auto" w:fill="FAF9F8"/>
          </w:tcPr>
          <w:p w14:paraId="37F59087" w14:textId="77777777" w:rsidR="00FD6994" w:rsidRPr="003E3C14" w:rsidRDefault="00FD6994" w:rsidP="008E5982">
            <w:pPr>
              <w:jc w:val="center"/>
            </w:pPr>
            <w:r w:rsidRPr="003E3C14">
              <w:t>25</w:t>
            </w:r>
          </w:p>
        </w:tc>
        <w:tc>
          <w:tcPr>
            <w:tcW w:w="674" w:type="pct"/>
            <w:shd w:val="clear" w:color="auto" w:fill="FAF9F8"/>
          </w:tcPr>
          <w:p w14:paraId="62B64E07" w14:textId="77777777" w:rsidR="00FD6994" w:rsidRPr="003E3C14" w:rsidRDefault="00FD6994" w:rsidP="008E5982">
            <w:pPr>
              <w:jc w:val="center"/>
            </w:pPr>
            <w:r w:rsidRPr="003E3C14">
              <w:t>12</w:t>
            </w:r>
          </w:p>
        </w:tc>
        <w:tc>
          <w:tcPr>
            <w:tcW w:w="674" w:type="pct"/>
            <w:shd w:val="clear" w:color="auto" w:fill="FAF9F8"/>
          </w:tcPr>
          <w:p w14:paraId="06DC4B39" w14:textId="77777777" w:rsidR="00FD6994" w:rsidRPr="003E3C14" w:rsidRDefault="00FD6994" w:rsidP="008E5982">
            <w:pPr>
              <w:jc w:val="center"/>
            </w:pPr>
            <w:r w:rsidRPr="003E3C14">
              <w:t>3</w:t>
            </w:r>
          </w:p>
        </w:tc>
        <w:tc>
          <w:tcPr>
            <w:tcW w:w="674" w:type="pct"/>
            <w:shd w:val="clear" w:color="auto" w:fill="FAF9F8"/>
          </w:tcPr>
          <w:p w14:paraId="4C3E73AB" w14:textId="77777777" w:rsidR="00FD6994" w:rsidRPr="003E3C14" w:rsidRDefault="00FD6994" w:rsidP="008E5982">
            <w:pPr>
              <w:jc w:val="center"/>
            </w:pPr>
            <w:r w:rsidRPr="003E3C14">
              <w:t>0</w:t>
            </w:r>
          </w:p>
        </w:tc>
        <w:tc>
          <w:tcPr>
            <w:tcW w:w="674" w:type="pct"/>
            <w:shd w:val="clear" w:color="auto" w:fill="FAF9F8"/>
          </w:tcPr>
          <w:p w14:paraId="12E8362C" w14:textId="77777777" w:rsidR="00FD6994" w:rsidRPr="003E3C14" w:rsidRDefault="00FD6994" w:rsidP="008E5982">
            <w:pPr>
              <w:jc w:val="center"/>
            </w:pPr>
            <w:r w:rsidRPr="003E3C14">
              <w:t>0</w:t>
            </w:r>
          </w:p>
        </w:tc>
        <w:tc>
          <w:tcPr>
            <w:tcW w:w="675" w:type="pct"/>
            <w:tcBorders>
              <w:right w:val="single" w:sz="4" w:space="0" w:color="FFFFFF" w:themeColor="background1"/>
            </w:tcBorders>
            <w:shd w:val="clear" w:color="auto" w:fill="FAF9F8"/>
          </w:tcPr>
          <w:p w14:paraId="717301A9" w14:textId="77777777" w:rsidR="00FD6994" w:rsidRPr="003E3C14" w:rsidRDefault="00FD6994" w:rsidP="008E5982">
            <w:pPr>
              <w:jc w:val="center"/>
            </w:pPr>
            <w:r w:rsidRPr="003E3C14">
              <w:t>40</w:t>
            </w:r>
          </w:p>
        </w:tc>
      </w:tr>
      <w:tr w:rsidR="00FD6994" w:rsidRPr="003E3C14" w14:paraId="446DE525" w14:textId="77777777" w:rsidTr="00FD6994">
        <w:tc>
          <w:tcPr>
            <w:tcW w:w="830" w:type="pct"/>
            <w:tcBorders>
              <w:left w:val="single" w:sz="4" w:space="0" w:color="FFFFFF" w:themeColor="background1"/>
            </w:tcBorders>
          </w:tcPr>
          <w:p w14:paraId="5F4B9348" w14:textId="5B204804" w:rsidR="00FD6994" w:rsidRPr="003E3C14" w:rsidRDefault="00FD6994" w:rsidP="008E5982">
            <w:r w:rsidRPr="003E3C14">
              <w:rPr>
                <w:sz w:val="20"/>
                <w:szCs w:val="20"/>
              </w:rPr>
              <w:t>NT</w:t>
            </w:r>
          </w:p>
        </w:tc>
        <w:tc>
          <w:tcPr>
            <w:tcW w:w="799" w:type="pct"/>
          </w:tcPr>
          <w:p w14:paraId="715E0C44" w14:textId="77777777" w:rsidR="00FD6994" w:rsidRPr="003E3C14" w:rsidRDefault="00FD6994" w:rsidP="008E5982">
            <w:pPr>
              <w:jc w:val="center"/>
            </w:pPr>
            <w:r w:rsidRPr="003E3C14">
              <w:t>9</w:t>
            </w:r>
          </w:p>
        </w:tc>
        <w:tc>
          <w:tcPr>
            <w:tcW w:w="674" w:type="pct"/>
          </w:tcPr>
          <w:p w14:paraId="4009881C" w14:textId="77777777" w:rsidR="00FD6994" w:rsidRPr="003E3C14" w:rsidRDefault="00FD6994" w:rsidP="008E5982">
            <w:pPr>
              <w:jc w:val="center"/>
            </w:pPr>
            <w:r w:rsidRPr="003E3C14">
              <w:t>27</w:t>
            </w:r>
          </w:p>
        </w:tc>
        <w:tc>
          <w:tcPr>
            <w:tcW w:w="674" w:type="pct"/>
          </w:tcPr>
          <w:p w14:paraId="48B77A4E" w14:textId="77777777" w:rsidR="00FD6994" w:rsidRPr="003E3C14" w:rsidRDefault="00FD6994" w:rsidP="008E5982">
            <w:pPr>
              <w:jc w:val="center"/>
            </w:pPr>
            <w:r w:rsidRPr="003E3C14">
              <w:t>1</w:t>
            </w:r>
          </w:p>
        </w:tc>
        <w:tc>
          <w:tcPr>
            <w:tcW w:w="674" w:type="pct"/>
          </w:tcPr>
          <w:p w14:paraId="41DBDDE6" w14:textId="77777777" w:rsidR="00FD6994" w:rsidRPr="003E3C14" w:rsidRDefault="00FD6994" w:rsidP="008E5982">
            <w:pPr>
              <w:jc w:val="center"/>
            </w:pPr>
            <w:r w:rsidRPr="003E3C14">
              <w:t>1</w:t>
            </w:r>
          </w:p>
        </w:tc>
        <w:tc>
          <w:tcPr>
            <w:tcW w:w="674" w:type="pct"/>
          </w:tcPr>
          <w:p w14:paraId="2ADC990C" w14:textId="77777777" w:rsidR="00FD6994" w:rsidRPr="003E3C14" w:rsidRDefault="00FD6994" w:rsidP="008E5982">
            <w:pPr>
              <w:jc w:val="center"/>
            </w:pPr>
            <w:r w:rsidRPr="003E3C14">
              <w:t>0</w:t>
            </w:r>
          </w:p>
        </w:tc>
        <w:tc>
          <w:tcPr>
            <w:tcW w:w="675" w:type="pct"/>
            <w:tcBorders>
              <w:right w:val="single" w:sz="4" w:space="0" w:color="FFFFFF" w:themeColor="background1"/>
            </w:tcBorders>
          </w:tcPr>
          <w:p w14:paraId="6BE828B0" w14:textId="77777777" w:rsidR="00FD6994" w:rsidRPr="003E3C14" w:rsidRDefault="00FD6994" w:rsidP="008E5982">
            <w:pPr>
              <w:jc w:val="center"/>
            </w:pPr>
            <w:r w:rsidRPr="003E3C14">
              <w:t>38</w:t>
            </w:r>
          </w:p>
        </w:tc>
      </w:tr>
      <w:tr w:rsidR="00FD6994" w:rsidRPr="003E3C14" w14:paraId="4017E826" w14:textId="77777777" w:rsidTr="00FD6994">
        <w:tc>
          <w:tcPr>
            <w:tcW w:w="830" w:type="pct"/>
            <w:tcBorders>
              <w:left w:val="single" w:sz="4" w:space="0" w:color="FFFFFF" w:themeColor="background1"/>
              <w:bottom w:val="single" w:sz="4" w:space="0" w:color="FFFFFF" w:themeColor="background1"/>
            </w:tcBorders>
            <w:shd w:val="clear" w:color="auto" w:fill="E4E9F3"/>
          </w:tcPr>
          <w:p w14:paraId="46FC83FF" w14:textId="07931DAA" w:rsidR="00FD6994" w:rsidRPr="003E3C14" w:rsidRDefault="00FD6994" w:rsidP="008E5982">
            <w:pPr>
              <w:rPr>
                <w:b/>
              </w:rPr>
            </w:pPr>
            <w:r w:rsidRPr="003E3C14">
              <w:rPr>
                <w:b/>
                <w:sz w:val="20"/>
                <w:szCs w:val="20"/>
              </w:rPr>
              <w:t>National Total</w:t>
            </w:r>
          </w:p>
        </w:tc>
        <w:tc>
          <w:tcPr>
            <w:tcW w:w="799" w:type="pct"/>
            <w:tcBorders>
              <w:bottom w:val="single" w:sz="4" w:space="0" w:color="FFFFFF" w:themeColor="background1"/>
            </w:tcBorders>
            <w:shd w:val="clear" w:color="auto" w:fill="E4E9F3"/>
          </w:tcPr>
          <w:p w14:paraId="6060B962" w14:textId="0346532D" w:rsidR="00FD6994" w:rsidRPr="003E3C14" w:rsidRDefault="00FD6994" w:rsidP="008E5982">
            <w:pPr>
              <w:jc w:val="center"/>
              <w:rPr>
                <w:b/>
              </w:rPr>
            </w:pPr>
            <w:r w:rsidRPr="003E3C14">
              <w:rPr>
                <w:b/>
              </w:rPr>
              <w:t>144</w:t>
            </w:r>
          </w:p>
        </w:tc>
        <w:tc>
          <w:tcPr>
            <w:tcW w:w="674" w:type="pct"/>
            <w:tcBorders>
              <w:bottom w:val="single" w:sz="4" w:space="0" w:color="FFFFFF" w:themeColor="background1"/>
            </w:tcBorders>
            <w:shd w:val="clear" w:color="auto" w:fill="E4E9F3"/>
          </w:tcPr>
          <w:p w14:paraId="79B4C614" w14:textId="38ACDE1D" w:rsidR="00FD6994" w:rsidRPr="003E3C14" w:rsidRDefault="00FD6994" w:rsidP="008E5982">
            <w:pPr>
              <w:jc w:val="center"/>
              <w:rPr>
                <w:b/>
              </w:rPr>
            </w:pPr>
            <w:r w:rsidRPr="003E3C14">
              <w:rPr>
                <w:b/>
              </w:rPr>
              <w:t>209</w:t>
            </w:r>
          </w:p>
        </w:tc>
        <w:tc>
          <w:tcPr>
            <w:tcW w:w="674" w:type="pct"/>
            <w:tcBorders>
              <w:bottom w:val="single" w:sz="4" w:space="0" w:color="FFFFFF" w:themeColor="background1"/>
            </w:tcBorders>
            <w:shd w:val="clear" w:color="auto" w:fill="E4E9F3"/>
          </w:tcPr>
          <w:p w14:paraId="271FF989" w14:textId="5AD1BF32" w:rsidR="00FD6994" w:rsidRPr="003E3C14" w:rsidRDefault="00FD6994" w:rsidP="008E5982">
            <w:pPr>
              <w:jc w:val="center"/>
              <w:rPr>
                <w:b/>
              </w:rPr>
            </w:pPr>
            <w:r w:rsidRPr="003E3C14">
              <w:rPr>
                <w:b/>
              </w:rPr>
              <w:t>54</w:t>
            </w:r>
          </w:p>
        </w:tc>
        <w:tc>
          <w:tcPr>
            <w:tcW w:w="674" w:type="pct"/>
            <w:tcBorders>
              <w:bottom w:val="single" w:sz="4" w:space="0" w:color="FFFFFF" w:themeColor="background1"/>
            </w:tcBorders>
            <w:shd w:val="clear" w:color="auto" w:fill="E4E9F3"/>
          </w:tcPr>
          <w:p w14:paraId="10B4B173" w14:textId="77777777" w:rsidR="00FD6994" w:rsidRPr="003E3C14" w:rsidRDefault="00FD6994" w:rsidP="008E5982">
            <w:pPr>
              <w:jc w:val="center"/>
              <w:rPr>
                <w:b/>
              </w:rPr>
            </w:pPr>
            <w:r w:rsidRPr="003E3C14">
              <w:rPr>
                <w:b/>
              </w:rPr>
              <w:t>7</w:t>
            </w:r>
          </w:p>
        </w:tc>
        <w:tc>
          <w:tcPr>
            <w:tcW w:w="674" w:type="pct"/>
            <w:tcBorders>
              <w:bottom w:val="single" w:sz="4" w:space="0" w:color="FFFFFF" w:themeColor="background1"/>
            </w:tcBorders>
            <w:shd w:val="clear" w:color="auto" w:fill="E4E9F3"/>
          </w:tcPr>
          <w:p w14:paraId="7F08307C" w14:textId="77777777" w:rsidR="00FD6994" w:rsidRPr="003E3C14" w:rsidRDefault="00FD6994" w:rsidP="008E5982">
            <w:pPr>
              <w:jc w:val="center"/>
              <w:rPr>
                <w:b/>
              </w:rPr>
            </w:pPr>
            <w:r w:rsidRPr="003E3C14">
              <w:rPr>
                <w:b/>
              </w:rPr>
              <w:t>3</w:t>
            </w:r>
          </w:p>
        </w:tc>
        <w:tc>
          <w:tcPr>
            <w:tcW w:w="675" w:type="pct"/>
            <w:tcBorders>
              <w:bottom w:val="single" w:sz="4" w:space="0" w:color="FFFFFF" w:themeColor="background1"/>
              <w:right w:val="single" w:sz="4" w:space="0" w:color="FFFFFF" w:themeColor="background1"/>
            </w:tcBorders>
            <w:shd w:val="clear" w:color="auto" w:fill="E4E9F3"/>
          </w:tcPr>
          <w:p w14:paraId="78390F96" w14:textId="77777777" w:rsidR="00FD6994" w:rsidRPr="003E3C14" w:rsidRDefault="00FD6994" w:rsidP="008E5982">
            <w:pPr>
              <w:jc w:val="center"/>
              <w:rPr>
                <w:b/>
              </w:rPr>
            </w:pPr>
            <w:r w:rsidRPr="003E3C14">
              <w:rPr>
                <w:b/>
              </w:rPr>
              <w:t>417</w:t>
            </w:r>
          </w:p>
        </w:tc>
      </w:tr>
    </w:tbl>
    <w:p w14:paraId="21D03EBA" w14:textId="7EB639C2" w:rsidR="00B875C3" w:rsidRPr="003E3C14" w:rsidRDefault="00626726" w:rsidP="00911917">
      <w:pPr>
        <w:spacing w:before="240" w:after="240"/>
        <w:rPr>
          <w:b/>
        </w:rPr>
      </w:pPr>
      <w:r w:rsidRPr="003E7607">
        <w:rPr>
          <w:rFonts w:cs="Arial"/>
          <w:b/>
          <w:lang w:val="es-ES"/>
        </w:rPr>
        <w:t>Tabla 14: Progreso de todas las acciones de los TAP, por TAP y estado durante el período 2021-2023</w:t>
      </w:r>
    </w:p>
    <w:tbl>
      <w:tblPr>
        <w:tblStyle w:val="TableGrid"/>
        <w:tblW w:w="5000" w:type="pct"/>
        <w:tblCellMar>
          <w:top w:w="115" w:type="dxa"/>
          <w:bottom w:w="115" w:type="dxa"/>
        </w:tblCellMar>
        <w:tblLook w:val="04A0" w:firstRow="1" w:lastRow="0" w:firstColumn="1" w:lastColumn="0" w:noHBand="0" w:noVBand="1"/>
      </w:tblPr>
      <w:tblGrid>
        <w:gridCol w:w="1562"/>
        <w:gridCol w:w="1476"/>
        <w:gridCol w:w="1236"/>
        <w:gridCol w:w="1242"/>
        <w:gridCol w:w="1242"/>
        <w:gridCol w:w="1244"/>
        <w:gridCol w:w="1240"/>
      </w:tblGrid>
      <w:tr w:rsidR="00FD6994" w:rsidRPr="003E3C14" w14:paraId="23B90123" w14:textId="77777777" w:rsidTr="00FD6994">
        <w:tc>
          <w:tcPr>
            <w:tcW w:w="826" w:type="pct"/>
            <w:tcBorders>
              <w:left w:val="single" w:sz="4" w:space="0" w:color="FFFFFF" w:themeColor="background1"/>
              <w:right w:val="single" w:sz="4" w:space="0" w:color="FFFFFF" w:themeColor="background1"/>
            </w:tcBorders>
            <w:shd w:val="clear" w:color="auto" w:fill="6C1740"/>
          </w:tcPr>
          <w:p w14:paraId="540ADE83" w14:textId="77777777" w:rsidR="00FD6994" w:rsidRPr="003E3C14" w:rsidRDefault="00FD6994" w:rsidP="008E5982">
            <w:pPr>
              <w:rPr>
                <w:b/>
              </w:rPr>
            </w:pPr>
            <w:r w:rsidRPr="003E3C14">
              <w:rPr>
                <w:b/>
              </w:rPr>
              <w:t>TAP</w:t>
            </w:r>
          </w:p>
        </w:tc>
        <w:tc>
          <w:tcPr>
            <w:tcW w:w="799" w:type="pct"/>
            <w:tcBorders>
              <w:left w:val="single" w:sz="4" w:space="0" w:color="FFFFFF" w:themeColor="background1"/>
              <w:right w:val="single" w:sz="4" w:space="0" w:color="FFFFFF" w:themeColor="background1"/>
            </w:tcBorders>
            <w:shd w:val="clear" w:color="auto" w:fill="6C1740"/>
          </w:tcPr>
          <w:p w14:paraId="400723D4" w14:textId="0F248FC2" w:rsidR="00FD6994" w:rsidRPr="003E3C14" w:rsidRDefault="00FD6994" w:rsidP="008E5982">
            <w:pPr>
              <w:jc w:val="center"/>
              <w:rPr>
                <w:b/>
              </w:rPr>
            </w:pPr>
            <w:r w:rsidRPr="00BC2F9E">
              <w:rPr>
                <w:rFonts w:eastAsia="Times New Roman" w:cs="Calibri"/>
                <w:b/>
                <w:bCs/>
                <w:color w:val="FFFFFF" w:themeColor="background1"/>
                <w:lang w:val="es" w:eastAsia="en-AU"/>
              </w:rPr>
              <w:t>Completada</w:t>
            </w:r>
          </w:p>
        </w:tc>
        <w:tc>
          <w:tcPr>
            <w:tcW w:w="675" w:type="pct"/>
            <w:tcBorders>
              <w:left w:val="single" w:sz="4" w:space="0" w:color="FFFFFF" w:themeColor="background1"/>
              <w:right w:val="single" w:sz="4" w:space="0" w:color="FFFFFF" w:themeColor="background1"/>
            </w:tcBorders>
            <w:shd w:val="clear" w:color="auto" w:fill="6C1740"/>
          </w:tcPr>
          <w:p w14:paraId="6CF6467E" w14:textId="4238F3E7" w:rsidR="00FD6994" w:rsidRPr="003E3C14" w:rsidRDefault="00FD6994" w:rsidP="008E5982">
            <w:pPr>
              <w:jc w:val="center"/>
              <w:rPr>
                <w:b/>
              </w:rPr>
            </w:pPr>
            <w:r w:rsidRPr="00BC2F9E">
              <w:rPr>
                <w:rFonts w:eastAsia="Times New Roman" w:cs="Calibri"/>
                <w:b/>
                <w:bCs/>
                <w:color w:val="FFFFFF" w:themeColor="background1"/>
                <w:lang w:val="es" w:eastAsia="en-AU"/>
              </w:rPr>
              <w:t>En curso</w:t>
            </w:r>
          </w:p>
        </w:tc>
        <w:tc>
          <w:tcPr>
            <w:tcW w:w="675" w:type="pct"/>
            <w:tcBorders>
              <w:left w:val="single" w:sz="4" w:space="0" w:color="FFFFFF" w:themeColor="background1"/>
              <w:right w:val="single" w:sz="4" w:space="0" w:color="FFFFFF" w:themeColor="background1"/>
            </w:tcBorders>
            <w:shd w:val="clear" w:color="auto" w:fill="6C1740"/>
          </w:tcPr>
          <w:p w14:paraId="3EFB3EBE" w14:textId="5EAB8496" w:rsidR="00FD6994" w:rsidRPr="003E3C14" w:rsidRDefault="00FD6994" w:rsidP="008E5982">
            <w:pPr>
              <w:jc w:val="center"/>
              <w:rPr>
                <w:b/>
              </w:rPr>
            </w:pPr>
            <w:r w:rsidRPr="00BC2F9E">
              <w:rPr>
                <w:rFonts w:eastAsia="Times New Roman" w:cs="Calibri"/>
                <w:b/>
                <w:bCs/>
                <w:color w:val="FFFFFF" w:themeColor="background1"/>
                <w:lang w:val="es" w:eastAsia="en-AU"/>
              </w:rPr>
              <w:t>Algunas demoras</w:t>
            </w:r>
          </w:p>
        </w:tc>
        <w:tc>
          <w:tcPr>
            <w:tcW w:w="675" w:type="pct"/>
            <w:tcBorders>
              <w:left w:val="single" w:sz="4" w:space="0" w:color="FFFFFF" w:themeColor="background1"/>
              <w:right w:val="single" w:sz="4" w:space="0" w:color="FFFFFF" w:themeColor="background1"/>
            </w:tcBorders>
            <w:shd w:val="clear" w:color="auto" w:fill="6C1740"/>
          </w:tcPr>
          <w:p w14:paraId="47A2D950" w14:textId="28A4FE1C" w:rsidR="00FD6994" w:rsidRPr="003E3C14" w:rsidRDefault="00FD6994" w:rsidP="008E5982">
            <w:pPr>
              <w:jc w:val="center"/>
              <w:rPr>
                <w:b/>
              </w:rPr>
            </w:pPr>
            <w:r w:rsidRPr="00BC2F9E">
              <w:rPr>
                <w:rFonts w:eastAsia="Times New Roman" w:cs="Calibri"/>
                <w:b/>
                <w:bCs/>
                <w:color w:val="FFFFFF" w:themeColor="background1"/>
                <w:lang w:val="es" w:eastAsia="en-AU"/>
              </w:rPr>
              <w:t>En pausa</w:t>
            </w:r>
          </w:p>
        </w:tc>
        <w:tc>
          <w:tcPr>
            <w:tcW w:w="676" w:type="pct"/>
            <w:tcBorders>
              <w:left w:val="single" w:sz="4" w:space="0" w:color="FFFFFF" w:themeColor="background1"/>
              <w:right w:val="single" w:sz="4" w:space="0" w:color="FFFFFF" w:themeColor="background1"/>
            </w:tcBorders>
            <w:shd w:val="clear" w:color="auto" w:fill="6C1740"/>
          </w:tcPr>
          <w:p w14:paraId="4D77A72E" w14:textId="314C2374" w:rsidR="00FD6994" w:rsidRPr="003E3C14" w:rsidRDefault="00FD6994" w:rsidP="008E5982">
            <w:pPr>
              <w:jc w:val="center"/>
              <w:rPr>
                <w:b/>
              </w:rPr>
            </w:pPr>
            <w:r w:rsidRPr="00BC2F9E">
              <w:rPr>
                <w:rFonts w:eastAsia="Times New Roman" w:cs="Calibri"/>
                <w:b/>
                <w:bCs/>
                <w:color w:val="FFFFFF" w:themeColor="background1"/>
                <w:lang w:val="es" w:eastAsia="en-AU"/>
              </w:rPr>
              <w:t>Inicio futuro</w:t>
            </w:r>
          </w:p>
        </w:tc>
        <w:tc>
          <w:tcPr>
            <w:tcW w:w="675" w:type="pct"/>
            <w:tcBorders>
              <w:left w:val="single" w:sz="4" w:space="0" w:color="FFFFFF" w:themeColor="background1"/>
              <w:right w:val="single" w:sz="4" w:space="0" w:color="FFFFFF" w:themeColor="background1"/>
            </w:tcBorders>
            <w:shd w:val="clear" w:color="auto" w:fill="6C1740"/>
          </w:tcPr>
          <w:p w14:paraId="025576BE" w14:textId="7A910D36" w:rsidR="00FD6994" w:rsidRPr="003E3C14" w:rsidRDefault="00FD6994" w:rsidP="008E5982">
            <w:pPr>
              <w:jc w:val="center"/>
              <w:rPr>
                <w:b/>
              </w:rPr>
            </w:pPr>
            <w:r w:rsidRPr="00BC2F9E">
              <w:rPr>
                <w:b/>
                <w:color w:val="FFFFFF" w:themeColor="background1"/>
                <w:sz w:val="20"/>
                <w:szCs w:val="20"/>
              </w:rPr>
              <w:t>Total</w:t>
            </w:r>
          </w:p>
        </w:tc>
      </w:tr>
      <w:tr w:rsidR="00FD6994" w:rsidRPr="003E3C14" w14:paraId="6E8E4859" w14:textId="77777777" w:rsidTr="00FD6994">
        <w:tc>
          <w:tcPr>
            <w:tcW w:w="826" w:type="pct"/>
            <w:tcBorders>
              <w:left w:val="single" w:sz="4" w:space="0" w:color="FFFFFF" w:themeColor="background1"/>
            </w:tcBorders>
            <w:vAlign w:val="bottom"/>
          </w:tcPr>
          <w:p w14:paraId="0B6D5258" w14:textId="3DD78513" w:rsidR="00FD6994" w:rsidRPr="003E3C14" w:rsidRDefault="00FD6994" w:rsidP="008E5982">
            <w:r w:rsidRPr="004810AC">
              <w:rPr>
                <w:rFonts w:eastAsia="Times New Roman" w:cs="Calibri"/>
                <w:b/>
                <w:bCs/>
                <w:color w:val="000000"/>
                <w:lang w:val="es" w:eastAsia="en-AU"/>
              </w:rPr>
              <w:lastRenderedPageBreak/>
              <w:t>Empleo</w:t>
            </w:r>
          </w:p>
        </w:tc>
        <w:tc>
          <w:tcPr>
            <w:tcW w:w="799" w:type="pct"/>
          </w:tcPr>
          <w:p w14:paraId="7BFCAE0A" w14:textId="77777777" w:rsidR="00FD6994" w:rsidRPr="003E3C14" w:rsidRDefault="00FD6994" w:rsidP="008E5982">
            <w:pPr>
              <w:jc w:val="center"/>
            </w:pPr>
            <w:r w:rsidRPr="003E3C14">
              <w:t>27</w:t>
            </w:r>
          </w:p>
        </w:tc>
        <w:tc>
          <w:tcPr>
            <w:tcW w:w="675" w:type="pct"/>
          </w:tcPr>
          <w:p w14:paraId="27ADBF0E" w14:textId="746DFB24" w:rsidR="00FD6994" w:rsidRPr="003E3C14" w:rsidRDefault="00FD6994" w:rsidP="008E5982">
            <w:pPr>
              <w:jc w:val="center"/>
            </w:pPr>
            <w:r w:rsidRPr="003E3C14">
              <w:t>47</w:t>
            </w:r>
          </w:p>
        </w:tc>
        <w:tc>
          <w:tcPr>
            <w:tcW w:w="675" w:type="pct"/>
          </w:tcPr>
          <w:p w14:paraId="4F8734A8" w14:textId="3A487975" w:rsidR="00FD6994" w:rsidRPr="003E3C14" w:rsidRDefault="00FD6994" w:rsidP="008E5982">
            <w:pPr>
              <w:jc w:val="center"/>
            </w:pPr>
            <w:r w:rsidRPr="003E3C14">
              <w:t>9</w:t>
            </w:r>
          </w:p>
        </w:tc>
        <w:tc>
          <w:tcPr>
            <w:tcW w:w="675" w:type="pct"/>
          </w:tcPr>
          <w:p w14:paraId="10FBF032" w14:textId="77777777" w:rsidR="00FD6994" w:rsidRPr="003E3C14" w:rsidRDefault="00FD6994" w:rsidP="008E5982">
            <w:pPr>
              <w:jc w:val="center"/>
            </w:pPr>
            <w:r w:rsidRPr="003E3C14">
              <w:t>0</w:t>
            </w:r>
          </w:p>
        </w:tc>
        <w:tc>
          <w:tcPr>
            <w:tcW w:w="676" w:type="pct"/>
          </w:tcPr>
          <w:p w14:paraId="2C3A5581" w14:textId="77777777" w:rsidR="00FD6994" w:rsidRPr="003E3C14" w:rsidRDefault="00FD6994" w:rsidP="008E5982">
            <w:pPr>
              <w:jc w:val="center"/>
            </w:pPr>
            <w:r w:rsidRPr="003E3C14">
              <w:t>0</w:t>
            </w:r>
          </w:p>
        </w:tc>
        <w:tc>
          <w:tcPr>
            <w:tcW w:w="675" w:type="pct"/>
            <w:tcBorders>
              <w:right w:val="single" w:sz="4" w:space="0" w:color="FFFFFF" w:themeColor="background1"/>
            </w:tcBorders>
          </w:tcPr>
          <w:p w14:paraId="54EEF733" w14:textId="77777777" w:rsidR="00FD6994" w:rsidRPr="003E3C14" w:rsidRDefault="00FD6994" w:rsidP="008E5982">
            <w:pPr>
              <w:jc w:val="center"/>
            </w:pPr>
            <w:r w:rsidRPr="003E3C14">
              <w:t>83</w:t>
            </w:r>
          </w:p>
        </w:tc>
      </w:tr>
      <w:tr w:rsidR="00FD6994" w:rsidRPr="003E3C14" w14:paraId="5590DF27" w14:textId="77777777" w:rsidTr="00FD6994">
        <w:tc>
          <w:tcPr>
            <w:tcW w:w="826" w:type="pct"/>
            <w:tcBorders>
              <w:left w:val="single" w:sz="4" w:space="0" w:color="FFFFFF" w:themeColor="background1"/>
            </w:tcBorders>
            <w:shd w:val="clear" w:color="auto" w:fill="FAF9F8"/>
            <w:vAlign w:val="bottom"/>
          </w:tcPr>
          <w:p w14:paraId="637A82F4" w14:textId="2BAE5651" w:rsidR="00FD6994" w:rsidRPr="003E3C14" w:rsidRDefault="00FD6994" w:rsidP="008E5982">
            <w:r w:rsidRPr="004810AC">
              <w:rPr>
                <w:rFonts w:eastAsia="Times New Roman" w:cs="Calibri"/>
                <w:b/>
                <w:bCs/>
                <w:color w:val="000000"/>
                <w:lang w:val="es" w:eastAsia="en-AU"/>
              </w:rPr>
              <w:t>Actitudes en la comunidad</w:t>
            </w:r>
          </w:p>
        </w:tc>
        <w:tc>
          <w:tcPr>
            <w:tcW w:w="799" w:type="pct"/>
            <w:shd w:val="clear" w:color="auto" w:fill="FAF9F8"/>
          </w:tcPr>
          <w:p w14:paraId="6DFEB7F5" w14:textId="09684E35" w:rsidR="00FD6994" w:rsidRPr="003E3C14" w:rsidRDefault="00FD6994" w:rsidP="008E5982">
            <w:pPr>
              <w:jc w:val="center"/>
            </w:pPr>
            <w:r w:rsidRPr="003E3C14">
              <w:t>25</w:t>
            </w:r>
          </w:p>
        </w:tc>
        <w:tc>
          <w:tcPr>
            <w:tcW w:w="675" w:type="pct"/>
            <w:shd w:val="clear" w:color="auto" w:fill="FAF9F8"/>
          </w:tcPr>
          <w:p w14:paraId="5FE432BB" w14:textId="018CEC6C" w:rsidR="00FD6994" w:rsidRPr="003E3C14" w:rsidRDefault="00FD6994" w:rsidP="008E5982">
            <w:pPr>
              <w:jc w:val="center"/>
            </w:pPr>
            <w:r w:rsidRPr="003E3C14">
              <w:t>33</w:t>
            </w:r>
          </w:p>
        </w:tc>
        <w:tc>
          <w:tcPr>
            <w:tcW w:w="675" w:type="pct"/>
            <w:shd w:val="clear" w:color="auto" w:fill="FAF9F8"/>
          </w:tcPr>
          <w:p w14:paraId="507B0C2B" w14:textId="3304BED5" w:rsidR="00FD6994" w:rsidRPr="003E3C14" w:rsidRDefault="00FD6994" w:rsidP="008E5982">
            <w:pPr>
              <w:jc w:val="center"/>
            </w:pPr>
            <w:r w:rsidRPr="003E3C14">
              <w:t>10</w:t>
            </w:r>
          </w:p>
        </w:tc>
        <w:tc>
          <w:tcPr>
            <w:tcW w:w="675" w:type="pct"/>
            <w:shd w:val="clear" w:color="auto" w:fill="FAF9F8"/>
          </w:tcPr>
          <w:p w14:paraId="1B8EBE77" w14:textId="77777777" w:rsidR="00FD6994" w:rsidRPr="003E3C14" w:rsidRDefault="00FD6994" w:rsidP="008E5982">
            <w:pPr>
              <w:jc w:val="center"/>
            </w:pPr>
            <w:r w:rsidRPr="003E3C14">
              <w:t>0</w:t>
            </w:r>
          </w:p>
        </w:tc>
        <w:tc>
          <w:tcPr>
            <w:tcW w:w="676" w:type="pct"/>
            <w:shd w:val="clear" w:color="auto" w:fill="FAF9F8"/>
          </w:tcPr>
          <w:p w14:paraId="4E2DA3D6" w14:textId="77777777" w:rsidR="00FD6994" w:rsidRPr="003E3C14" w:rsidRDefault="00FD6994" w:rsidP="008E5982">
            <w:pPr>
              <w:jc w:val="center"/>
            </w:pPr>
            <w:r w:rsidRPr="003E3C14">
              <w:t>0</w:t>
            </w:r>
          </w:p>
        </w:tc>
        <w:tc>
          <w:tcPr>
            <w:tcW w:w="675" w:type="pct"/>
            <w:tcBorders>
              <w:right w:val="single" w:sz="4" w:space="0" w:color="FFFFFF" w:themeColor="background1"/>
            </w:tcBorders>
            <w:shd w:val="clear" w:color="auto" w:fill="FAF9F8"/>
          </w:tcPr>
          <w:p w14:paraId="47F322F5" w14:textId="77777777" w:rsidR="00FD6994" w:rsidRPr="003E3C14" w:rsidRDefault="00FD6994" w:rsidP="008E5982">
            <w:pPr>
              <w:jc w:val="center"/>
            </w:pPr>
            <w:r w:rsidRPr="003E3C14">
              <w:t>68</w:t>
            </w:r>
          </w:p>
        </w:tc>
      </w:tr>
      <w:tr w:rsidR="00FD6994" w:rsidRPr="003E3C14" w14:paraId="78D0ADCE" w14:textId="77777777" w:rsidTr="00FD6994">
        <w:tc>
          <w:tcPr>
            <w:tcW w:w="826" w:type="pct"/>
            <w:tcBorders>
              <w:left w:val="single" w:sz="4" w:space="0" w:color="FFFFFF" w:themeColor="background1"/>
            </w:tcBorders>
            <w:vAlign w:val="bottom"/>
          </w:tcPr>
          <w:p w14:paraId="31CDC651" w14:textId="516C5027" w:rsidR="00FD6994" w:rsidRPr="003E3C14" w:rsidRDefault="00FD6994" w:rsidP="008E5982">
            <w:r w:rsidRPr="004810AC">
              <w:rPr>
                <w:rFonts w:eastAsia="Times New Roman" w:cs="Calibri"/>
                <w:b/>
                <w:bCs/>
                <w:color w:val="000000"/>
                <w:lang w:val="es" w:eastAsia="en-AU"/>
              </w:rPr>
              <w:t>Primera infancia</w:t>
            </w:r>
          </w:p>
        </w:tc>
        <w:tc>
          <w:tcPr>
            <w:tcW w:w="799" w:type="pct"/>
          </w:tcPr>
          <w:p w14:paraId="3E3DE186" w14:textId="149D7796" w:rsidR="00FD6994" w:rsidRPr="003E3C14" w:rsidRDefault="00FD6994" w:rsidP="008E5982">
            <w:pPr>
              <w:jc w:val="center"/>
            </w:pPr>
            <w:r w:rsidRPr="003E3C14">
              <w:t>22</w:t>
            </w:r>
          </w:p>
        </w:tc>
        <w:tc>
          <w:tcPr>
            <w:tcW w:w="675" w:type="pct"/>
          </w:tcPr>
          <w:p w14:paraId="6701B22F" w14:textId="3BA0D800" w:rsidR="00FD6994" w:rsidRPr="003E3C14" w:rsidRDefault="00FD6994" w:rsidP="008E5982">
            <w:pPr>
              <w:jc w:val="center"/>
            </w:pPr>
            <w:r w:rsidRPr="003E3C14">
              <w:t>43</w:t>
            </w:r>
          </w:p>
        </w:tc>
        <w:tc>
          <w:tcPr>
            <w:tcW w:w="675" w:type="pct"/>
          </w:tcPr>
          <w:p w14:paraId="471DB37A" w14:textId="248B54FD" w:rsidR="00FD6994" w:rsidRPr="003E3C14" w:rsidRDefault="00FD6994" w:rsidP="008E5982">
            <w:pPr>
              <w:jc w:val="center"/>
            </w:pPr>
            <w:r w:rsidRPr="003E3C14">
              <w:t>7</w:t>
            </w:r>
          </w:p>
        </w:tc>
        <w:tc>
          <w:tcPr>
            <w:tcW w:w="675" w:type="pct"/>
          </w:tcPr>
          <w:p w14:paraId="597B3991" w14:textId="77777777" w:rsidR="00FD6994" w:rsidRPr="003E3C14" w:rsidRDefault="00FD6994" w:rsidP="008E5982">
            <w:pPr>
              <w:jc w:val="center"/>
            </w:pPr>
            <w:r w:rsidRPr="003E3C14">
              <w:t>3</w:t>
            </w:r>
          </w:p>
        </w:tc>
        <w:tc>
          <w:tcPr>
            <w:tcW w:w="676" w:type="pct"/>
          </w:tcPr>
          <w:p w14:paraId="675C5F3E" w14:textId="77777777" w:rsidR="00FD6994" w:rsidRPr="003E3C14" w:rsidRDefault="00FD6994" w:rsidP="008E5982">
            <w:pPr>
              <w:jc w:val="center"/>
            </w:pPr>
            <w:r w:rsidRPr="003E3C14">
              <w:t>1</w:t>
            </w:r>
          </w:p>
        </w:tc>
        <w:tc>
          <w:tcPr>
            <w:tcW w:w="675" w:type="pct"/>
            <w:tcBorders>
              <w:right w:val="single" w:sz="4" w:space="0" w:color="FFFFFF" w:themeColor="background1"/>
            </w:tcBorders>
          </w:tcPr>
          <w:p w14:paraId="5DBEB91E" w14:textId="77777777" w:rsidR="00FD6994" w:rsidRPr="003E3C14" w:rsidRDefault="00FD6994" w:rsidP="008E5982">
            <w:pPr>
              <w:jc w:val="center"/>
            </w:pPr>
            <w:r w:rsidRPr="003E3C14">
              <w:t>76</w:t>
            </w:r>
          </w:p>
        </w:tc>
      </w:tr>
      <w:tr w:rsidR="00FD6994" w:rsidRPr="003E3C14" w14:paraId="678E0046" w14:textId="77777777" w:rsidTr="00FD6994">
        <w:tc>
          <w:tcPr>
            <w:tcW w:w="826" w:type="pct"/>
            <w:tcBorders>
              <w:left w:val="single" w:sz="4" w:space="0" w:color="FFFFFF" w:themeColor="background1"/>
            </w:tcBorders>
            <w:shd w:val="clear" w:color="auto" w:fill="FAF9F8"/>
            <w:vAlign w:val="bottom"/>
          </w:tcPr>
          <w:p w14:paraId="78A8A5FA" w14:textId="4F8EF3AB" w:rsidR="00FD6994" w:rsidRPr="003E3C14" w:rsidRDefault="00FD6994" w:rsidP="008E5982">
            <w:r w:rsidRPr="004810AC">
              <w:rPr>
                <w:rFonts w:eastAsia="Times New Roman" w:cs="Calibri"/>
                <w:b/>
                <w:bCs/>
                <w:color w:val="000000"/>
                <w:lang w:val="es" w:eastAsia="en-AU"/>
              </w:rPr>
              <w:t>Seguridad</w:t>
            </w:r>
          </w:p>
        </w:tc>
        <w:tc>
          <w:tcPr>
            <w:tcW w:w="799" w:type="pct"/>
            <w:shd w:val="clear" w:color="auto" w:fill="FAF9F8"/>
          </w:tcPr>
          <w:p w14:paraId="78F4689E" w14:textId="77777777" w:rsidR="00FD6994" w:rsidRPr="003E3C14" w:rsidRDefault="00FD6994" w:rsidP="008E5982">
            <w:pPr>
              <w:jc w:val="center"/>
            </w:pPr>
            <w:r w:rsidRPr="003E3C14">
              <w:t>49</w:t>
            </w:r>
          </w:p>
        </w:tc>
        <w:tc>
          <w:tcPr>
            <w:tcW w:w="675" w:type="pct"/>
            <w:shd w:val="clear" w:color="auto" w:fill="FAF9F8"/>
          </w:tcPr>
          <w:p w14:paraId="535E7EE4" w14:textId="77777777" w:rsidR="00FD6994" w:rsidRPr="003E3C14" w:rsidRDefault="00FD6994" w:rsidP="008E5982">
            <w:pPr>
              <w:jc w:val="center"/>
            </w:pPr>
            <w:r w:rsidRPr="003E3C14">
              <w:t>52</w:t>
            </w:r>
          </w:p>
        </w:tc>
        <w:tc>
          <w:tcPr>
            <w:tcW w:w="675" w:type="pct"/>
            <w:shd w:val="clear" w:color="auto" w:fill="FAF9F8"/>
          </w:tcPr>
          <w:p w14:paraId="6B36D6A7" w14:textId="77777777" w:rsidR="00FD6994" w:rsidRPr="003E3C14" w:rsidRDefault="00FD6994" w:rsidP="008E5982">
            <w:pPr>
              <w:jc w:val="center"/>
            </w:pPr>
            <w:r w:rsidRPr="003E3C14">
              <w:t>25</w:t>
            </w:r>
          </w:p>
        </w:tc>
        <w:tc>
          <w:tcPr>
            <w:tcW w:w="675" w:type="pct"/>
            <w:shd w:val="clear" w:color="auto" w:fill="FAF9F8"/>
          </w:tcPr>
          <w:p w14:paraId="31D5BF1A" w14:textId="77777777" w:rsidR="00FD6994" w:rsidRPr="003E3C14" w:rsidRDefault="00FD6994" w:rsidP="008E5982">
            <w:pPr>
              <w:jc w:val="center"/>
            </w:pPr>
            <w:r w:rsidRPr="003E3C14">
              <w:t>4</w:t>
            </w:r>
          </w:p>
        </w:tc>
        <w:tc>
          <w:tcPr>
            <w:tcW w:w="676" w:type="pct"/>
            <w:shd w:val="clear" w:color="auto" w:fill="FAF9F8"/>
          </w:tcPr>
          <w:p w14:paraId="70111ACA" w14:textId="77777777" w:rsidR="00FD6994" w:rsidRPr="003E3C14" w:rsidRDefault="00FD6994" w:rsidP="008E5982">
            <w:pPr>
              <w:jc w:val="center"/>
            </w:pPr>
            <w:r w:rsidRPr="003E3C14">
              <w:t>2</w:t>
            </w:r>
          </w:p>
        </w:tc>
        <w:tc>
          <w:tcPr>
            <w:tcW w:w="675" w:type="pct"/>
            <w:tcBorders>
              <w:right w:val="single" w:sz="4" w:space="0" w:color="FFFFFF" w:themeColor="background1"/>
            </w:tcBorders>
            <w:shd w:val="clear" w:color="auto" w:fill="FAF9F8"/>
          </w:tcPr>
          <w:p w14:paraId="5B3DA91F" w14:textId="77777777" w:rsidR="00FD6994" w:rsidRPr="003E3C14" w:rsidRDefault="00FD6994" w:rsidP="008E5982">
            <w:pPr>
              <w:jc w:val="center"/>
            </w:pPr>
            <w:r w:rsidRPr="003E3C14">
              <w:t>132</w:t>
            </w:r>
          </w:p>
        </w:tc>
      </w:tr>
      <w:tr w:rsidR="00FD6994" w:rsidRPr="003E3C14" w14:paraId="5EC5808A" w14:textId="77777777" w:rsidTr="00FD6994">
        <w:tc>
          <w:tcPr>
            <w:tcW w:w="826" w:type="pct"/>
            <w:tcBorders>
              <w:left w:val="single" w:sz="4" w:space="0" w:color="FFFFFF" w:themeColor="background1"/>
            </w:tcBorders>
            <w:vAlign w:val="bottom"/>
          </w:tcPr>
          <w:p w14:paraId="4DAD5A7D" w14:textId="7E888F39" w:rsidR="00FD6994" w:rsidRPr="003E3C14" w:rsidRDefault="00FD6994" w:rsidP="008E5982">
            <w:r w:rsidRPr="004810AC">
              <w:rPr>
                <w:rFonts w:eastAsia="Times New Roman" w:cs="Calibri"/>
                <w:b/>
                <w:bCs/>
                <w:color w:val="000000"/>
                <w:lang w:val="es" w:eastAsia="en-AU"/>
              </w:rPr>
              <w:t>Gestión de emergencias</w:t>
            </w:r>
          </w:p>
        </w:tc>
        <w:tc>
          <w:tcPr>
            <w:tcW w:w="799" w:type="pct"/>
          </w:tcPr>
          <w:p w14:paraId="0E755E2E" w14:textId="77777777" w:rsidR="00FD6994" w:rsidRPr="003E3C14" w:rsidRDefault="00FD6994" w:rsidP="008E5982">
            <w:pPr>
              <w:jc w:val="center"/>
            </w:pPr>
            <w:r w:rsidRPr="003E3C14">
              <w:t>21</w:t>
            </w:r>
          </w:p>
        </w:tc>
        <w:tc>
          <w:tcPr>
            <w:tcW w:w="675" w:type="pct"/>
          </w:tcPr>
          <w:p w14:paraId="47AACC59" w14:textId="77777777" w:rsidR="00FD6994" w:rsidRPr="003E3C14" w:rsidRDefault="00FD6994" w:rsidP="008E5982">
            <w:pPr>
              <w:jc w:val="center"/>
            </w:pPr>
            <w:r w:rsidRPr="003E3C14">
              <w:t>34</w:t>
            </w:r>
          </w:p>
        </w:tc>
        <w:tc>
          <w:tcPr>
            <w:tcW w:w="675" w:type="pct"/>
          </w:tcPr>
          <w:p w14:paraId="7E6E50AA" w14:textId="77777777" w:rsidR="00FD6994" w:rsidRPr="003E3C14" w:rsidRDefault="00FD6994" w:rsidP="008E5982">
            <w:pPr>
              <w:jc w:val="center"/>
            </w:pPr>
            <w:r w:rsidRPr="003E3C14">
              <w:t>3</w:t>
            </w:r>
          </w:p>
        </w:tc>
        <w:tc>
          <w:tcPr>
            <w:tcW w:w="675" w:type="pct"/>
          </w:tcPr>
          <w:p w14:paraId="69197DE5" w14:textId="77777777" w:rsidR="00FD6994" w:rsidRPr="003E3C14" w:rsidRDefault="00FD6994" w:rsidP="008E5982">
            <w:pPr>
              <w:jc w:val="center"/>
            </w:pPr>
            <w:r w:rsidRPr="003E3C14">
              <w:t>0</w:t>
            </w:r>
          </w:p>
        </w:tc>
        <w:tc>
          <w:tcPr>
            <w:tcW w:w="676" w:type="pct"/>
          </w:tcPr>
          <w:p w14:paraId="11FFA903" w14:textId="77777777" w:rsidR="00FD6994" w:rsidRPr="003E3C14" w:rsidRDefault="00FD6994" w:rsidP="008E5982">
            <w:pPr>
              <w:jc w:val="center"/>
            </w:pPr>
            <w:r w:rsidRPr="003E3C14">
              <w:t>0</w:t>
            </w:r>
          </w:p>
        </w:tc>
        <w:tc>
          <w:tcPr>
            <w:tcW w:w="675" w:type="pct"/>
            <w:tcBorders>
              <w:right w:val="single" w:sz="4" w:space="0" w:color="FFFFFF" w:themeColor="background1"/>
            </w:tcBorders>
          </w:tcPr>
          <w:p w14:paraId="1803A45F" w14:textId="77777777" w:rsidR="00FD6994" w:rsidRPr="003E3C14" w:rsidRDefault="00FD6994" w:rsidP="008E5982">
            <w:pPr>
              <w:jc w:val="center"/>
            </w:pPr>
            <w:r w:rsidRPr="003E3C14">
              <w:t>58</w:t>
            </w:r>
          </w:p>
        </w:tc>
      </w:tr>
      <w:tr w:rsidR="00FD6994" w:rsidRPr="003E3C14" w14:paraId="54E3F3FD" w14:textId="77777777" w:rsidTr="00FD6994">
        <w:tc>
          <w:tcPr>
            <w:tcW w:w="826" w:type="pct"/>
            <w:tcBorders>
              <w:left w:val="single" w:sz="4" w:space="0" w:color="FFFFFF" w:themeColor="background1"/>
            </w:tcBorders>
            <w:shd w:val="clear" w:color="auto" w:fill="E4E9F3"/>
            <w:vAlign w:val="bottom"/>
          </w:tcPr>
          <w:p w14:paraId="59E11888" w14:textId="7DC6425B" w:rsidR="00FD6994" w:rsidRPr="003E3C14" w:rsidRDefault="00FD6994" w:rsidP="008E5982">
            <w:pPr>
              <w:rPr>
                <w:b/>
              </w:rPr>
            </w:pPr>
            <w:r w:rsidRPr="004810AC">
              <w:rPr>
                <w:rFonts w:eastAsia="Times New Roman" w:cs="Calibri"/>
                <w:b/>
                <w:bCs/>
                <w:color w:val="000000"/>
                <w:lang w:val="es" w:eastAsia="en-AU"/>
              </w:rPr>
              <w:t>Total</w:t>
            </w:r>
          </w:p>
        </w:tc>
        <w:tc>
          <w:tcPr>
            <w:tcW w:w="799" w:type="pct"/>
            <w:shd w:val="clear" w:color="auto" w:fill="E4E9F3"/>
          </w:tcPr>
          <w:p w14:paraId="2B76F08D" w14:textId="5607FB40" w:rsidR="00FD6994" w:rsidRPr="003E3C14" w:rsidRDefault="00FD6994" w:rsidP="008E5982">
            <w:pPr>
              <w:jc w:val="center"/>
              <w:rPr>
                <w:b/>
              </w:rPr>
            </w:pPr>
            <w:r w:rsidRPr="003E3C14">
              <w:rPr>
                <w:b/>
              </w:rPr>
              <w:t>144</w:t>
            </w:r>
          </w:p>
        </w:tc>
        <w:tc>
          <w:tcPr>
            <w:tcW w:w="675" w:type="pct"/>
            <w:shd w:val="clear" w:color="auto" w:fill="E4E9F3"/>
          </w:tcPr>
          <w:p w14:paraId="0CF70E38" w14:textId="10483159" w:rsidR="00FD6994" w:rsidRPr="003E3C14" w:rsidRDefault="00FD6994" w:rsidP="008E5982">
            <w:pPr>
              <w:jc w:val="center"/>
              <w:rPr>
                <w:b/>
              </w:rPr>
            </w:pPr>
            <w:r w:rsidRPr="003E3C14">
              <w:rPr>
                <w:b/>
              </w:rPr>
              <w:t>209</w:t>
            </w:r>
          </w:p>
        </w:tc>
        <w:tc>
          <w:tcPr>
            <w:tcW w:w="675" w:type="pct"/>
            <w:shd w:val="clear" w:color="auto" w:fill="E4E9F3"/>
          </w:tcPr>
          <w:p w14:paraId="7CE92845" w14:textId="3C99E917" w:rsidR="00FD6994" w:rsidRPr="003E3C14" w:rsidRDefault="00FD6994" w:rsidP="008E5982">
            <w:pPr>
              <w:jc w:val="center"/>
              <w:rPr>
                <w:b/>
              </w:rPr>
            </w:pPr>
            <w:r w:rsidRPr="003E3C14">
              <w:rPr>
                <w:b/>
              </w:rPr>
              <w:t>54</w:t>
            </w:r>
          </w:p>
        </w:tc>
        <w:tc>
          <w:tcPr>
            <w:tcW w:w="675" w:type="pct"/>
            <w:shd w:val="clear" w:color="auto" w:fill="E4E9F3"/>
          </w:tcPr>
          <w:p w14:paraId="17BAEC89" w14:textId="77777777" w:rsidR="00FD6994" w:rsidRPr="003E3C14" w:rsidRDefault="00FD6994" w:rsidP="008E5982">
            <w:pPr>
              <w:jc w:val="center"/>
              <w:rPr>
                <w:b/>
              </w:rPr>
            </w:pPr>
            <w:r w:rsidRPr="003E3C14">
              <w:rPr>
                <w:b/>
              </w:rPr>
              <w:t>7</w:t>
            </w:r>
          </w:p>
        </w:tc>
        <w:tc>
          <w:tcPr>
            <w:tcW w:w="676" w:type="pct"/>
            <w:shd w:val="clear" w:color="auto" w:fill="E4E9F3"/>
          </w:tcPr>
          <w:p w14:paraId="7910F4D8" w14:textId="77777777" w:rsidR="00FD6994" w:rsidRPr="003E3C14" w:rsidRDefault="00FD6994" w:rsidP="008E5982">
            <w:pPr>
              <w:jc w:val="center"/>
              <w:rPr>
                <w:b/>
              </w:rPr>
            </w:pPr>
            <w:r w:rsidRPr="003E3C14">
              <w:rPr>
                <w:b/>
              </w:rPr>
              <w:t>3</w:t>
            </w:r>
          </w:p>
        </w:tc>
        <w:tc>
          <w:tcPr>
            <w:tcW w:w="675" w:type="pct"/>
            <w:tcBorders>
              <w:right w:val="single" w:sz="4" w:space="0" w:color="FFFFFF" w:themeColor="background1"/>
            </w:tcBorders>
            <w:shd w:val="clear" w:color="auto" w:fill="E4E9F3"/>
          </w:tcPr>
          <w:p w14:paraId="1A8E01B3" w14:textId="77777777" w:rsidR="00FD6994" w:rsidRPr="003E3C14" w:rsidRDefault="00FD6994" w:rsidP="008E5982">
            <w:pPr>
              <w:jc w:val="center"/>
              <w:rPr>
                <w:b/>
              </w:rPr>
            </w:pPr>
            <w:r w:rsidRPr="003E3C14">
              <w:rPr>
                <w:b/>
              </w:rPr>
              <w:t>417</w:t>
            </w:r>
          </w:p>
        </w:tc>
      </w:tr>
      <w:tr w:rsidR="00FD6994" w:rsidRPr="003E3C14" w14:paraId="434C7C47" w14:textId="77777777" w:rsidTr="00FD6994">
        <w:tc>
          <w:tcPr>
            <w:tcW w:w="826" w:type="pct"/>
            <w:tcBorders>
              <w:left w:val="single" w:sz="4" w:space="0" w:color="FFFFFF" w:themeColor="background1"/>
              <w:bottom w:val="single" w:sz="4" w:space="0" w:color="FFFFFF" w:themeColor="background1"/>
            </w:tcBorders>
            <w:vAlign w:val="bottom"/>
          </w:tcPr>
          <w:p w14:paraId="48140115" w14:textId="46AFF59F" w:rsidR="00FD6994" w:rsidRPr="003E3C14" w:rsidRDefault="00FD6994" w:rsidP="008E5982">
            <w:pPr>
              <w:rPr>
                <w:b/>
              </w:rPr>
            </w:pPr>
            <w:r w:rsidRPr="004810AC">
              <w:rPr>
                <w:rFonts w:eastAsia="Times New Roman" w:cs="Calibri"/>
                <w:b/>
                <w:bCs/>
                <w:color w:val="000000"/>
                <w:lang w:val="es" w:eastAsia="en-AU"/>
              </w:rPr>
              <w:t>Porcentaje</w:t>
            </w:r>
          </w:p>
        </w:tc>
        <w:tc>
          <w:tcPr>
            <w:tcW w:w="799" w:type="pct"/>
            <w:tcBorders>
              <w:bottom w:val="single" w:sz="4" w:space="0" w:color="FFFFFF" w:themeColor="background1"/>
            </w:tcBorders>
          </w:tcPr>
          <w:p w14:paraId="427A6A1B" w14:textId="28ED0EE3" w:rsidR="00FD6994" w:rsidRPr="003E3C14" w:rsidRDefault="00FD6994" w:rsidP="00C43D7A">
            <w:pPr>
              <w:jc w:val="center"/>
              <w:rPr>
                <w:b/>
              </w:rPr>
            </w:pPr>
            <w:r w:rsidRPr="003E3C14">
              <w:rPr>
                <w:b/>
              </w:rPr>
              <w:t>35%</w:t>
            </w:r>
          </w:p>
        </w:tc>
        <w:tc>
          <w:tcPr>
            <w:tcW w:w="675" w:type="pct"/>
            <w:tcBorders>
              <w:bottom w:val="single" w:sz="4" w:space="0" w:color="FFFFFF" w:themeColor="background1"/>
            </w:tcBorders>
          </w:tcPr>
          <w:p w14:paraId="6D4561BA" w14:textId="77777777" w:rsidR="00FD6994" w:rsidRPr="003E3C14" w:rsidRDefault="00FD6994" w:rsidP="008E5982">
            <w:pPr>
              <w:jc w:val="center"/>
              <w:rPr>
                <w:b/>
              </w:rPr>
            </w:pPr>
            <w:r w:rsidRPr="003E3C14">
              <w:rPr>
                <w:b/>
              </w:rPr>
              <w:t>50%</w:t>
            </w:r>
          </w:p>
        </w:tc>
        <w:tc>
          <w:tcPr>
            <w:tcW w:w="675" w:type="pct"/>
            <w:tcBorders>
              <w:bottom w:val="single" w:sz="4" w:space="0" w:color="FFFFFF" w:themeColor="background1"/>
            </w:tcBorders>
          </w:tcPr>
          <w:p w14:paraId="19C30732" w14:textId="2960DEBA" w:rsidR="00FD6994" w:rsidRPr="003E3C14" w:rsidRDefault="00FD6994" w:rsidP="00400E39">
            <w:pPr>
              <w:jc w:val="center"/>
              <w:rPr>
                <w:b/>
              </w:rPr>
            </w:pPr>
            <w:r w:rsidRPr="003E3C14">
              <w:rPr>
                <w:b/>
              </w:rPr>
              <w:t>13%</w:t>
            </w:r>
          </w:p>
        </w:tc>
        <w:tc>
          <w:tcPr>
            <w:tcW w:w="675" w:type="pct"/>
            <w:tcBorders>
              <w:bottom w:val="single" w:sz="4" w:space="0" w:color="FFFFFF" w:themeColor="background1"/>
            </w:tcBorders>
          </w:tcPr>
          <w:p w14:paraId="69F7CEEC" w14:textId="77777777" w:rsidR="00FD6994" w:rsidRPr="003E3C14" w:rsidRDefault="00FD6994" w:rsidP="008E5982">
            <w:pPr>
              <w:jc w:val="center"/>
              <w:rPr>
                <w:b/>
              </w:rPr>
            </w:pPr>
            <w:r w:rsidRPr="003E3C14">
              <w:rPr>
                <w:b/>
              </w:rPr>
              <w:t>2%</w:t>
            </w:r>
          </w:p>
        </w:tc>
        <w:tc>
          <w:tcPr>
            <w:tcW w:w="676" w:type="pct"/>
            <w:tcBorders>
              <w:bottom w:val="single" w:sz="4" w:space="0" w:color="FFFFFF" w:themeColor="background1"/>
            </w:tcBorders>
          </w:tcPr>
          <w:p w14:paraId="62CA11B1" w14:textId="77777777" w:rsidR="00FD6994" w:rsidRPr="003E3C14" w:rsidRDefault="00FD6994" w:rsidP="008E5982">
            <w:pPr>
              <w:jc w:val="center"/>
              <w:rPr>
                <w:b/>
              </w:rPr>
            </w:pPr>
            <w:r w:rsidRPr="003E3C14">
              <w:rPr>
                <w:b/>
              </w:rPr>
              <w:t>1%</w:t>
            </w:r>
          </w:p>
        </w:tc>
        <w:tc>
          <w:tcPr>
            <w:tcW w:w="675" w:type="pct"/>
            <w:tcBorders>
              <w:bottom w:val="single" w:sz="4" w:space="0" w:color="FFFFFF" w:themeColor="background1"/>
              <w:right w:val="single" w:sz="4" w:space="0" w:color="FFFFFF" w:themeColor="background1"/>
            </w:tcBorders>
          </w:tcPr>
          <w:p w14:paraId="7D15AAF5" w14:textId="77777777" w:rsidR="00FD6994" w:rsidRPr="003E3C14" w:rsidRDefault="00FD6994" w:rsidP="008E5982">
            <w:pPr>
              <w:jc w:val="center"/>
              <w:rPr>
                <w:b/>
              </w:rPr>
            </w:pPr>
          </w:p>
        </w:tc>
      </w:tr>
    </w:tbl>
    <w:p w14:paraId="6848929F" w14:textId="76E42E5D" w:rsidR="00B875C3" w:rsidRPr="004B6F53" w:rsidRDefault="00626726" w:rsidP="002E47A1">
      <w:pPr>
        <w:spacing w:before="240" w:after="240"/>
        <w:rPr>
          <w:sz w:val="20"/>
          <w:szCs w:val="20"/>
        </w:rPr>
      </w:pPr>
      <w:r w:rsidRPr="003E7607">
        <w:rPr>
          <w:rFonts w:cs="Arial"/>
          <w:sz w:val="20"/>
          <w:szCs w:val="20"/>
          <w:lang w:val="es-ES"/>
        </w:rPr>
        <w:t>Nota: Los porcentajes pueden no sumar 100 debido al redondeo.</w:t>
      </w:r>
    </w:p>
    <w:sectPr w:rsidR="00B875C3" w:rsidRPr="004B6F53" w:rsidSect="00BE6FD4">
      <w:footerReference w:type="default" r:id="rId24"/>
      <w:pgSz w:w="11906" w:h="16838" w:code="9"/>
      <w:pgMar w:top="1440" w:right="1440" w:bottom="1440" w:left="1440"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AE330" w14:textId="77777777" w:rsidR="001850E8" w:rsidRDefault="001850E8" w:rsidP="00B04ED8">
      <w:pPr>
        <w:spacing w:after="0" w:line="240" w:lineRule="auto"/>
      </w:pPr>
      <w:r>
        <w:separator/>
      </w:r>
    </w:p>
  </w:endnote>
  <w:endnote w:type="continuationSeparator" w:id="0">
    <w:p w14:paraId="42740353" w14:textId="77777777" w:rsidR="001850E8" w:rsidRDefault="001850E8"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unito Sans">
    <w:charset w:val="00"/>
    <w:family w:val="auto"/>
    <w:pitch w:val="variable"/>
    <w:sig w:usb0="A00002FF" w:usb1="5000204B" w:usb2="00000000" w:usb3="00000000" w:csb0="00000197"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s="Calibri"/>
        <w:color w:val="221A55"/>
        <w:sz w:val="20"/>
        <w:szCs w:val="20"/>
      </w:rPr>
      <w:id w:val="1108772485"/>
      <w:docPartObj>
        <w:docPartGallery w:val="Page Numbers (Bottom of Page)"/>
        <w:docPartUnique/>
      </w:docPartObj>
    </w:sdtPr>
    <w:sdtEndPr>
      <w:rPr>
        <w:noProof/>
        <w:color w:val="auto"/>
      </w:rPr>
    </w:sdtEndPr>
    <w:sdtContent>
      <w:p w14:paraId="19C5E6C1" w14:textId="77777777" w:rsidR="001850E8" w:rsidRPr="008D68E6" w:rsidRDefault="001850E8" w:rsidP="000842DE">
        <w:pPr>
          <w:pStyle w:val="Footer"/>
          <w:pBdr>
            <w:top w:val="single" w:sz="24" w:space="1" w:color="E5E8F2"/>
          </w:pBdr>
          <w:jc w:val="right"/>
          <w:rPr>
            <w:rFonts w:ascii="Calibri" w:hAnsi="Calibri" w:cs="Calibri"/>
            <w:color w:val="939698"/>
            <w:sz w:val="20"/>
            <w:szCs w:val="20"/>
          </w:rPr>
        </w:pPr>
      </w:p>
      <w:p w14:paraId="58322F3C" w14:textId="7654A80D" w:rsidR="001850E8" w:rsidRPr="008D68E6" w:rsidRDefault="001850E8" w:rsidP="000842DE">
        <w:pPr>
          <w:pStyle w:val="Footer"/>
          <w:pBdr>
            <w:top w:val="single" w:sz="24" w:space="1" w:color="E5E8F2"/>
          </w:pBdr>
          <w:jc w:val="right"/>
          <w:rPr>
            <w:rFonts w:ascii="Calibri" w:hAnsi="Calibri" w:cs="Calibri"/>
            <w:sz w:val="20"/>
            <w:szCs w:val="20"/>
          </w:rPr>
        </w:pPr>
        <w:r w:rsidRPr="007279CA">
          <w:rPr>
            <w:rFonts w:ascii="Calibri" w:hAnsi="Calibri" w:cs="Calibri"/>
            <w:color w:val="000000" w:themeColor="text1"/>
            <w:sz w:val="20"/>
            <w:szCs w:val="20"/>
          </w:rPr>
          <w:t>Informe sobre los Planes de Acción Específica, Del 1̊ de julio de 2022 al 30 de junio de 2023</w:t>
        </w:r>
        <w:r w:rsidRPr="008D68E6">
          <w:rPr>
            <w:rFonts w:ascii="Calibri" w:hAnsi="Calibri" w:cs="Calibri"/>
            <w:color w:val="000000" w:themeColor="text1"/>
            <w:sz w:val="20"/>
            <w:szCs w:val="20"/>
          </w:rPr>
          <w:t xml:space="preserve">   </w:t>
        </w:r>
        <w:r w:rsidRPr="008D68E6">
          <w:rPr>
            <w:rFonts w:ascii="Calibri" w:hAnsi="Calibri" w:cs="Calibri"/>
            <w:sz w:val="20"/>
            <w:szCs w:val="20"/>
          </w:rPr>
          <w:t xml:space="preserve">•   </w:t>
        </w:r>
        <w:r w:rsidRPr="008D68E6">
          <w:rPr>
            <w:rFonts w:ascii="Calibri" w:hAnsi="Calibri" w:cs="Calibri"/>
            <w:sz w:val="20"/>
            <w:szCs w:val="20"/>
          </w:rPr>
          <w:fldChar w:fldCharType="begin"/>
        </w:r>
        <w:r w:rsidRPr="008D68E6">
          <w:rPr>
            <w:rFonts w:ascii="Calibri" w:hAnsi="Calibri" w:cs="Calibri"/>
            <w:sz w:val="20"/>
            <w:szCs w:val="20"/>
          </w:rPr>
          <w:instrText xml:space="preserve"> PAGE   \* MERGEFORMAT </w:instrText>
        </w:r>
        <w:r w:rsidRPr="008D68E6">
          <w:rPr>
            <w:rFonts w:ascii="Calibri" w:hAnsi="Calibri" w:cs="Calibri"/>
            <w:sz w:val="20"/>
            <w:szCs w:val="20"/>
          </w:rPr>
          <w:fldChar w:fldCharType="separate"/>
        </w:r>
        <w:r w:rsidR="007354AB">
          <w:rPr>
            <w:rFonts w:ascii="Calibri" w:hAnsi="Calibri" w:cs="Calibri"/>
            <w:noProof/>
            <w:sz w:val="20"/>
            <w:szCs w:val="20"/>
          </w:rPr>
          <w:t>II</w:t>
        </w:r>
        <w:r w:rsidRPr="008D68E6">
          <w:rPr>
            <w:rFonts w:ascii="Calibri" w:hAnsi="Calibri" w:cs="Calibri"/>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s="Calibri"/>
        <w:color w:val="221A55"/>
        <w:sz w:val="20"/>
        <w:szCs w:val="20"/>
      </w:rPr>
      <w:id w:val="1289080303"/>
      <w:docPartObj>
        <w:docPartGallery w:val="Page Numbers (Bottom of Page)"/>
        <w:docPartUnique/>
      </w:docPartObj>
    </w:sdtPr>
    <w:sdtEndPr>
      <w:rPr>
        <w:noProof/>
        <w:color w:val="auto"/>
      </w:rPr>
    </w:sdtEndPr>
    <w:sdtContent>
      <w:p w14:paraId="5E0C4731" w14:textId="77777777" w:rsidR="001850E8" w:rsidRPr="008D68E6" w:rsidRDefault="001850E8" w:rsidP="000842DE">
        <w:pPr>
          <w:pStyle w:val="Footer"/>
          <w:pBdr>
            <w:top w:val="single" w:sz="24" w:space="1" w:color="E5E8F2"/>
          </w:pBdr>
          <w:jc w:val="right"/>
          <w:rPr>
            <w:rFonts w:ascii="Calibri" w:hAnsi="Calibri" w:cs="Calibri"/>
            <w:color w:val="939698"/>
            <w:sz w:val="20"/>
            <w:szCs w:val="20"/>
          </w:rPr>
        </w:pPr>
      </w:p>
      <w:p w14:paraId="1814014A" w14:textId="0D88CE01" w:rsidR="001850E8" w:rsidRPr="008D68E6" w:rsidRDefault="001850E8" w:rsidP="000842DE">
        <w:pPr>
          <w:pStyle w:val="Footer"/>
          <w:pBdr>
            <w:top w:val="single" w:sz="24" w:space="1" w:color="E5E8F2"/>
          </w:pBdr>
          <w:jc w:val="right"/>
          <w:rPr>
            <w:rFonts w:ascii="Calibri" w:hAnsi="Calibri" w:cs="Calibri"/>
            <w:sz w:val="20"/>
            <w:szCs w:val="20"/>
          </w:rPr>
        </w:pPr>
        <w:r w:rsidRPr="007279CA">
          <w:rPr>
            <w:rFonts w:ascii="Calibri" w:hAnsi="Calibri" w:cs="Calibri"/>
            <w:color w:val="000000" w:themeColor="text1"/>
            <w:sz w:val="20"/>
            <w:szCs w:val="20"/>
          </w:rPr>
          <w:t>Informe sobre los Planes de Acción Específica, Del 1̊ de julio de 2022 al 30 de junio de 2023</w:t>
        </w:r>
        <w:r w:rsidRPr="008D68E6">
          <w:rPr>
            <w:rFonts w:ascii="Calibri" w:hAnsi="Calibri" w:cs="Calibri"/>
            <w:color w:val="000000" w:themeColor="text1"/>
            <w:sz w:val="20"/>
            <w:szCs w:val="20"/>
          </w:rPr>
          <w:t xml:space="preserve">   </w:t>
        </w:r>
        <w:r w:rsidRPr="008D68E6">
          <w:rPr>
            <w:rFonts w:ascii="Calibri" w:hAnsi="Calibri" w:cs="Calibri"/>
            <w:sz w:val="20"/>
            <w:szCs w:val="20"/>
          </w:rPr>
          <w:t xml:space="preserve">•   </w:t>
        </w:r>
        <w:r w:rsidRPr="008D68E6">
          <w:rPr>
            <w:rFonts w:ascii="Calibri" w:hAnsi="Calibri" w:cs="Calibri"/>
            <w:sz w:val="20"/>
            <w:szCs w:val="20"/>
          </w:rPr>
          <w:fldChar w:fldCharType="begin"/>
        </w:r>
        <w:r w:rsidRPr="008D68E6">
          <w:rPr>
            <w:rFonts w:ascii="Calibri" w:hAnsi="Calibri" w:cs="Calibri"/>
            <w:sz w:val="20"/>
            <w:szCs w:val="20"/>
          </w:rPr>
          <w:instrText xml:space="preserve"> PAGE   \* MERGEFORMAT </w:instrText>
        </w:r>
        <w:r w:rsidRPr="008D68E6">
          <w:rPr>
            <w:rFonts w:ascii="Calibri" w:hAnsi="Calibri" w:cs="Calibri"/>
            <w:sz w:val="20"/>
            <w:szCs w:val="20"/>
          </w:rPr>
          <w:fldChar w:fldCharType="separate"/>
        </w:r>
        <w:r w:rsidR="007354AB">
          <w:rPr>
            <w:rFonts w:ascii="Calibri" w:hAnsi="Calibri" w:cs="Calibri"/>
            <w:noProof/>
            <w:sz w:val="20"/>
            <w:szCs w:val="20"/>
          </w:rPr>
          <w:t>37</w:t>
        </w:r>
        <w:r w:rsidRPr="008D68E6">
          <w:rPr>
            <w:rFonts w:ascii="Calibri" w:hAnsi="Calibri" w:cs="Calibri"/>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B50E7" w14:textId="77777777" w:rsidR="001850E8" w:rsidRDefault="001850E8" w:rsidP="00B04ED8">
      <w:pPr>
        <w:spacing w:after="0" w:line="240" w:lineRule="auto"/>
      </w:pPr>
      <w:r>
        <w:separator/>
      </w:r>
    </w:p>
  </w:footnote>
  <w:footnote w:type="continuationSeparator" w:id="0">
    <w:p w14:paraId="6D32BA53" w14:textId="77777777" w:rsidR="001850E8" w:rsidRDefault="001850E8" w:rsidP="00B04E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2E8"/>
    <w:multiLevelType w:val="hybridMultilevel"/>
    <w:tmpl w:val="E74A8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AC3F85"/>
    <w:multiLevelType w:val="hybridMultilevel"/>
    <w:tmpl w:val="497EE0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AAB6F68"/>
    <w:multiLevelType w:val="hybridMultilevel"/>
    <w:tmpl w:val="75A24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0B29513E"/>
    <w:multiLevelType w:val="hybridMultilevel"/>
    <w:tmpl w:val="B10E1982"/>
    <w:lvl w:ilvl="0" w:tplc="FFFFFFFF">
      <w:numFmt w:val="bullet"/>
      <w:lvlText w:val="•"/>
      <w:lvlJc w:val="left"/>
      <w:pPr>
        <w:ind w:left="720" w:hanging="360"/>
      </w:pPr>
      <w:rPr>
        <w:rFonts w:ascii="Calibri" w:eastAsiaTheme="minorHAnsi" w:hAnsi="Calibri" w:cs="Calibri" w:hint="default"/>
      </w:rPr>
    </w:lvl>
    <w:lvl w:ilvl="1" w:tplc="AF76C344">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0FF27B8E"/>
    <w:multiLevelType w:val="hybridMultilevel"/>
    <w:tmpl w:val="7C148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6E6CBD"/>
    <w:multiLevelType w:val="hybridMultilevel"/>
    <w:tmpl w:val="CA20C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432B3"/>
    <w:multiLevelType w:val="hybridMultilevel"/>
    <w:tmpl w:val="5106B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961E1B"/>
    <w:multiLevelType w:val="hybridMultilevel"/>
    <w:tmpl w:val="9FB09D9E"/>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8787BBF"/>
    <w:multiLevelType w:val="hybridMultilevel"/>
    <w:tmpl w:val="45322144"/>
    <w:lvl w:ilvl="0" w:tplc="AF76C344">
      <w:numFmt w:val="bullet"/>
      <w:lvlText w:val="•"/>
      <w:lvlJc w:val="left"/>
      <w:pPr>
        <w:ind w:left="360" w:hanging="360"/>
      </w:pPr>
      <w:rPr>
        <w:rFonts w:ascii="Calibri" w:eastAsiaTheme="minorHAnsi" w:hAnsi="Calibri" w:cs="Calibri"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1A8F0910"/>
    <w:multiLevelType w:val="hybridMultilevel"/>
    <w:tmpl w:val="A260C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13072BF"/>
    <w:multiLevelType w:val="hybridMultilevel"/>
    <w:tmpl w:val="8FBCB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74D5FBA"/>
    <w:multiLevelType w:val="hybridMultilevel"/>
    <w:tmpl w:val="DE8062A2"/>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8F75853"/>
    <w:multiLevelType w:val="hybridMultilevel"/>
    <w:tmpl w:val="4B4AA9E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2CE33748"/>
    <w:multiLevelType w:val="hybridMultilevel"/>
    <w:tmpl w:val="174E6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BD64382"/>
    <w:multiLevelType w:val="hybridMultilevel"/>
    <w:tmpl w:val="46E29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D433BB"/>
    <w:multiLevelType w:val="hybridMultilevel"/>
    <w:tmpl w:val="F3327A98"/>
    <w:lvl w:ilvl="0" w:tplc="BC14D184">
      <w:start w:val="1"/>
      <w:numFmt w:val="bullet"/>
      <w:lvlText w:val="o"/>
      <w:lvlJc w:val="left"/>
      <w:pPr>
        <w:ind w:left="1440" w:hanging="360"/>
      </w:pPr>
      <w:rPr>
        <w:rFonts w:ascii="Courier New" w:hAnsi="Courier New" w:cs="Courier New" w:hint="default"/>
      </w:rPr>
    </w:lvl>
    <w:lvl w:ilvl="1" w:tplc="4676AEB0" w:tentative="1">
      <w:start w:val="1"/>
      <w:numFmt w:val="bullet"/>
      <w:lvlText w:val="o"/>
      <w:lvlJc w:val="left"/>
      <w:pPr>
        <w:ind w:left="2160" w:hanging="360"/>
      </w:pPr>
      <w:rPr>
        <w:rFonts w:ascii="Courier New" w:hAnsi="Courier New" w:cs="Courier New" w:hint="default"/>
      </w:rPr>
    </w:lvl>
    <w:lvl w:ilvl="2" w:tplc="24984F84" w:tentative="1">
      <w:start w:val="1"/>
      <w:numFmt w:val="bullet"/>
      <w:lvlText w:val=""/>
      <w:lvlJc w:val="left"/>
      <w:pPr>
        <w:ind w:left="2880" w:hanging="360"/>
      </w:pPr>
      <w:rPr>
        <w:rFonts w:ascii="Wingdings" w:hAnsi="Wingdings" w:hint="default"/>
      </w:rPr>
    </w:lvl>
    <w:lvl w:ilvl="3" w:tplc="DBC47ADC" w:tentative="1">
      <w:start w:val="1"/>
      <w:numFmt w:val="bullet"/>
      <w:lvlText w:val=""/>
      <w:lvlJc w:val="left"/>
      <w:pPr>
        <w:ind w:left="3600" w:hanging="360"/>
      </w:pPr>
      <w:rPr>
        <w:rFonts w:ascii="Symbol" w:hAnsi="Symbol" w:hint="default"/>
      </w:rPr>
    </w:lvl>
    <w:lvl w:ilvl="4" w:tplc="C502912A" w:tentative="1">
      <w:start w:val="1"/>
      <w:numFmt w:val="bullet"/>
      <w:lvlText w:val="o"/>
      <w:lvlJc w:val="left"/>
      <w:pPr>
        <w:ind w:left="4320" w:hanging="360"/>
      </w:pPr>
      <w:rPr>
        <w:rFonts w:ascii="Courier New" w:hAnsi="Courier New" w:cs="Courier New" w:hint="default"/>
      </w:rPr>
    </w:lvl>
    <w:lvl w:ilvl="5" w:tplc="8E9C741A" w:tentative="1">
      <w:start w:val="1"/>
      <w:numFmt w:val="bullet"/>
      <w:lvlText w:val=""/>
      <w:lvlJc w:val="left"/>
      <w:pPr>
        <w:ind w:left="5040" w:hanging="360"/>
      </w:pPr>
      <w:rPr>
        <w:rFonts w:ascii="Wingdings" w:hAnsi="Wingdings" w:hint="default"/>
      </w:rPr>
    </w:lvl>
    <w:lvl w:ilvl="6" w:tplc="6598EB48" w:tentative="1">
      <w:start w:val="1"/>
      <w:numFmt w:val="bullet"/>
      <w:lvlText w:val=""/>
      <w:lvlJc w:val="left"/>
      <w:pPr>
        <w:ind w:left="5760" w:hanging="360"/>
      </w:pPr>
      <w:rPr>
        <w:rFonts w:ascii="Symbol" w:hAnsi="Symbol" w:hint="default"/>
      </w:rPr>
    </w:lvl>
    <w:lvl w:ilvl="7" w:tplc="B70A6FC4" w:tentative="1">
      <w:start w:val="1"/>
      <w:numFmt w:val="bullet"/>
      <w:lvlText w:val="o"/>
      <w:lvlJc w:val="left"/>
      <w:pPr>
        <w:ind w:left="6480" w:hanging="360"/>
      </w:pPr>
      <w:rPr>
        <w:rFonts w:ascii="Courier New" w:hAnsi="Courier New" w:cs="Courier New" w:hint="default"/>
      </w:rPr>
    </w:lvl>
    <w:lvl w:ilvl="8" w:tplc="416E9DE6" w:tentative="1">
      <w:start w:val="1"/>
      <w:numFmt w:val="bullet"/>
      <w:lvlText w:val=""/>
      <w:lvlJc w:val="left"/>
      <w:pPr>
        <w:ind w:left="7200" w:hanging="360"/>
      </w:pPr>
      <w:rPr>
        <w:rFonts w:ascii="Wingdings" w:hAnsi="Wingdings" w:hint="default"/>
      </w:rPr>
    </w:lvl>
  </w:abstractNum>
  <w:abstractNum w:abstractNumId="17">
    <w:nsid w:val="430B48DA"/>
    <w:multiLevelType w:val="hybridMultilevel"/>
    <w:tmpl w:val="DE8062A2"/>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3EC0130"/>
    <w:multiLevelType w:val="hybridMultilevel"/>
    <w:tmpl w:val="54B4D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406585F"/>
    <w:multiLevelType w:val="hybridMultilevel"/>
    <w:tmpl w:val="A636E824"/>
    <w:lvl w:ilvl="0" w:tplc="AF76C34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F791D06"/>
    <w:multiLevelType w:val="hybridMultilevel"/>
    <w:tmpl w:val="10144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1E57EFF"/>
    <w:multiLevelType w:val="hybridMultilevel"/>
    <w:tmpl w:val="C5BEB2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29F5475"/>
    <w:multiLevelType w:val="hybridMultilevel"/>
    <w:tmpl w:val="8026C21E"/>
    <w:lvl w:ilvl="0" w:tplc="FFFFFFFF">
      <w:numFmt w:val="bullet"/>
      <w:lvlText w:val="•"/>
      <w:lvlJc w:val="left"/>
      <w:pPr>
        <w:ind w:left="360" w:hanging="360"/>
      </w:pPr>
      <w:rPr>
        <w:rFonts w:ascii="Calibri" w:eastAsiaTheme="minorHAnsi" w:hAnsi="Calibri" w:cs="Calibri" w:hint="default"/>
      </w:rPr>
    </w:lvl>
    <w:lvl w:ilvl="1" w:tplc="AF76C344">
      <w:numFmt w:val="bullet"/>
      <w:lvlText w:val="•"/>
      <w:lvlJc w:val="left"/>
      <w:pPr>
        <w:ind w:left="1080" w:hanging="360"/>
      </w:pPr>
      <w:rPr>
        <w:rFonts w:ascii="Calibri" w:eastAsiaTheme="minorHAnsi" w:hAnsi="Calibri" w:cs="Calibri"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nsid w:val="549D4CD2"/>
    <w:multiLevelType w:val="hybridMultilevel"/>
    <w:tmpl w:val="71F2C928"/>
    <w:lvl w:ilvl="0" w:tplc="476ECB0E">
      <w:start w:val="1"/>
      <w:numFmt w:val="bullet"/>
      <w:lvlText w:val=""/>
      <w:lvlJc w:val="left"/>
      <w:pPr>
        <w:ind w:left="720" w:hanging="360"/>
      </w:pPr>
      <w:rPr>
        <w:rFonts w:ascii="Symbol" w:hAnsi="Symbol" w:hint="default"/>
      </w:rPr>
    </w:lvl>
    <w:lvl w:ilvl="1" w:tplc="7270ABA2">
      <w:start w:val="1"/>
      <w:numFmt w:val="bullet"/>
      <w:lvlText w:val="o"/>
      <w:lvlJc w:val="left"/>
      <w:pPr>
        <w:ind w:left="1440" w:hanging="360"/>
      </w:pPr>
      <w:rPr>
        <w:rFonts w:ascii="Courier New" w:hAnsi="Courier New" w:cs="Courier New" w:hint="default"/>
      </w:rPr>
    </w:lvl>
    <w:lvl w:ilvl="2" w:tplc="0660EBA2">
      <w:start w:val="1"/>
      <w:numFmt w:val="bullet"/>
      <w:lvlText w:val=""/>
      <w:lvlJc w:val="left"/>
      <w:pPr>
        <w:ind w:left="2160" w:hanging="360"/>
      </w:pPr>
      <w:rPr>
        <w:rFonts w:ascii="Wingdings" w:hAnsi="Wingdings" w:hint="default"/>
      </w:rPr>
    </w:lvl>
    <w:lvl w:ilvl="3" w:tplc="3E26A072" w:tentative="1">
      <w:start w:val="1"/>
      <w:numFmt w:val="bullet"/>
      <w:lvlText w:val=""/>
      <w:lvlJc w:val="left"/>
      <w:pPr>
        <w:ind w:left="2880" w:hanging="360"/>
      </w:pPr>
      <w:rPr>
        <w:rFonts w:ascii="Symbol" w:hAnsi="Symbol" w:hint="default"/>
      </w:rPr>
    </w:lvl>
    <w:lvl w:ilvl="4" w:tplc="CDC209A0" w:tentative="1">
      <w:start w:val="1"/>
      <w:numFmt w:val="bullet"/>
      <w:lvlText w:val="o"/>
      <w:lvlJc w:val="left"/>
      <w:pPr>
        <w:ind w:left="3600" w:hanging="360"/>
      </w:pPr>
      <w:rPr>
        <w:rFonts w:ascii="Courier New" w:hAnsi="Courier New" w:cs="Courier New" w:hint="default"/>
      </w:rPr>
    </w:lvl>
    <w:lvl w:ilvl="5" w:tplc="8690B928" w:tentative="1">
      <w:start w:val="1"/>
      <w:numFmt w:val="bullet"/>
      <w:lvlText w:val=""/>
      <w:lvlJc w:val="left"/>
      <w:pPr>
        <w:ind w:left="4320" w:hanging="360"/>
      </w:pPr>
      <w:rPr>
        <w:rFonts w:ascii="Wingdings" w:hAnsi="Wingdings" w:hint="default"/>
      </w:rPr>
    </w:lvl>
    <w:lvl w:ilvl="6" w:tplc="E05E0212" w:tentative="1">
      <w:start w:val="1"/>
      <w:numFmt w:val="bullet"/>
      <w:lvlText w:val=""/>
      <w:lvlJc w:val="left"/>
      <w:pPr>
        <w:ind w:left="5040" w:hanging="360"/>
      </w:pPr>
      <w:rPr>
        <w:rFonts w:ascii="Symbol" w:hAnsi="Symbol" w:hint="default"/>
      </w:rPr>
    </w:lvl>
    <w:lvl w:ilvl="7" w:tplc="ACA4BEDA" w:tentative="1">
      <w:start w:val="1"/>
      <w:numFmt w:val="bullet"/>
      <w:lvlText w:val="o"/>
      <w:lvlJc w:val="left"/>
      <w:pPr>
        <w:ind w:left="5760" w:hanging="360"/>
      </w:pPr>
      <w:rPr>
        <w:rFonts w:ascii="Courier New" w:hAnsi="Courier New" w:cs="Courier New" w:hint="default"/>
      </w:rPr>
    </w:lvl>
    <w:lvl w:ilvl="8" w:tplc="4FDC06DA" w:tentative="1">
      <w:start w:val="1"/>
      <w:numFmt w:val="bullet"/>
      <w:lvlText w:val=""/>
      <w:lvlJc w:val="left"/>
      <w:pPr>
        <w:ind w:left="6480" w:hanging="360"/>
      </w:pPr>
      <w:rPr>
        <w:rFonts w:ascii="Wingdings" w:hAnsi="Wingdings" w:hint="default"/>
      </w:rPr>
    </w:lvl>
  </w:abstractNum>
  <w:abstractNum w:abstractNumId="24">
    <w:nsid w:val="58BB389F"/>
    <w:multiLevelType w:val="hybridMultilevel"/>
    <w:tmpl w:val="030AF700"/>
    <w:lvl w:ilvl="0" w:tplc="2FF29D1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5C085DFB"/>
    <w:multiLevelType w:val="hybridMultilevel"/>
    <w:tmpl w:val="5C9C4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5D705681"/>
    <w:multiLevelType w:val="hybridMultilevel"/>
    <w:tmpl w:val="0A12D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nsid w:val="5FAF148E"/>
    <w:multiLevelType w:val="hybridMultilevel"/>
    <w:tmpl w:val="63B6B8E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63A335BB"/>
    <w:multiLevelType w:val="hybridMultilevel"/>
    <w:tmpl w:val="FF1447DE"/>
    <w:lvl w:ilvl="0" w:tplc="AF76C344">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6C96DDA"/>
    <w:multiLevelType w:val="hybridMultilevel"/>
    <w:tmpl w:val="9FB09D9E"/>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BCE108E"/>
    <w:multiLevelType w:val="hybridMultilevel"/>
    <w:tmpl w:val="7FCAF36E"/>
    <w:lvl w:ilvl="0" w:tplc="08E48BE4">
      <w:start w:val="1"/>
      <w:numFmt w:val="bullet"/>
      <w:lvlText w:val="o"/>
      <w:lvlJc w:val="left"/>
      <w:pPr>
        <w:ind w:left="1440" w:hanging="360"/>
      </w:pPr>
      <w:rPr>
        <w:rFonts w:ascii="Courier New" w:hAnsi="Courier New" w:cs="Courier New" w:hint="default"/>
      </w:rPr>
    </w:lvl>
    <w:lvl w:ilvl="1" w:tplc="1C22B430">
      <w:start w:val="1"/>
      <w:numFmt w:val="bullet"/>
      <w:lvlText w:val="o"/>
      <w:lvlJc w:val="left"/>
      <w:pPr>
        <w:ind w:left="2160" w:hanging="360"/>
      </w:pPr>
      <w:rPr>
        <w:rFonts w:ascii="Courier New" w:hAnsi="Courier New" w:cs="Courier New" w:hint="default"/>
      </w:rPr>
    </w:lvl>
    <w:lvl w:ilvl="2" w:tplc="386861E6" w:tentative="1">
      <w:start w:val="1"/>
      <w:numFmt w:val="bullet"/>
      <w:lvlText w:val=""/>
      <w:lvlJc w:val="left"/>
      <w:pPr>
        <w:ind w:left="2880" w:hanging="360"/>
      </w:pPr>
      <w:rPr>
        <w:rFonts w:ascii="Wingdings" w:hAnsi="Wingdings" w:hint="default"/>
      </w:rPr>
    </w:lvl>
    <w:lvl w:ilvl="3" w:tplc="2BB650CE" w:tentative="1">
      <w:start w:val="1"/>
      <w:numFmt w:val="bullet"/>
      <w:lvlText w:val=""/>
      <w:lvlJc w:val="left"/>
      <w:pPr>
        <w:ind w:left="3600" w:hanging="360"/>
      </w:pPr>
      <w:rPr>
        <w:rFonts w:ascii="Symbol" w:hAnsi="Symbol" w:hint="default"/>
      </w:rPr>
    </w:lvl>
    <w:lvl w:ilvl="4" w:tplc="7EA4EF08" w:tentative="1">
      <w:start w:val="1"/>
      <w:numFmt w:val="bullet"/>
      <w:lvlText w:val="o"/>
      <w:lvlJc w:val="left"/>
      <w:pPr>
        <w:ind w:left="4320" w:hanging="360"/>
      </w:pPr>
      <w:rPr>
        <w:rFonts w:ascii="Courier New" w:hAnsi="Courier New" w:cs="Courier New" w:hint="default"/>
      </w:rPr>
    </w:lvl>
    <w:lvl w:ilvl="5" w:tplc="AC5CE036" w:tentative="1">
      <w:start w:val="1"/>
      <w:numFmt w:val="bullet"/>
      <w:lvlText w:val=""/>
      <w:lvlJc w:val="left"/>
      <w:pPr>
        <w:ind w:left="5040" w:hanging="360"/>
      </w:pPr>
      <w:rPr>
        <w:rFonts w:ascii="Wingdings" w:hAnsi="Wingdings" w:hint="default"/>
      </w:rPr>
    </w:lvl>
    <w:lvl w:ilvl="6" w:tplc="1BC84B2E" w:tentative="1">
      <w:start w:val="1"/>
      <w:numFmt w:val="bullet"/>
      <w:lvlText w:val=""/>
      <w:lvlJc w:val="left"/>
      <w:pPr>
        <w:ind w:left="5760" w:hanging="360"/>
      </w:pPr>
      <w:rPr>
        <w:rFonts w:ascii="Symbol" w:hAnsi="Symbol" w:hint="default"/>
      </w:rPr>
    </w:lvl>
    <w:lvl w:ilvl="7" w:tplc="B3EE3222" w:tentative="1">
      <w:start w:val="1"/>
      <w:numFmt w:val="bullet"/>
      <w:lvlText w:val="o"/>
      <w:lvlJc w:val="left"/>
      <w:pPr>
        <w:ind w:left="6480" w:hanging="360"/>
      </w:pPr>
      <w:rPr>
        <w:rFonts w:ascii="Courier New" w:hAnsi="Courier New" w:cs="Courier New" w:hint="default"/>
      </w:rPr>
    </w:lvl>
    <w:lvl w:ilvl="8" w:tplc="8820D3F8" w:tentative="1">
      <w:start w:val="1"/>
      <w:numFmt w:val="bullet"/>
      <w:lvlText w:val=""/>
      <w:lvlJc w:val="left"/>
      <w:pPr>
        <w:ind w:left="7200" w:hanging="360"/>
      </w:pPr>
      <w:rPr>
        <w:rFonts w:ascii="Wingdings" w:hAnsi="Wingdings" w:hint="default"/>
      </w:rPr>
    </w:lvl>
  </w:abstractNum>
  <w:abstractNum w:abstractNumId="31">
    <w:nsid w:val="7DB01E6B"/>
    <w:multiLevelType w:val="hybridMultilevel"/>
    <w:tmpl w:val="6EF8B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1"/>
  </w:num>
  <w:num w:numId="4">
    <w:abstractNumId w:val="31"/>
  </w:num>
  <w:num w:numId="5">
    <w:abstractNumId w:val="4"/>
  </w:num>
  <w:num w:numId="6">
    <w:abstractNumId w:val="10"/>
  </w:num>
  <w:num w:numId="7">
    <w:abstractNumId w:val="0"/>
  </w:num>
  <w:num w:numId="8">
    <w:abstractNumId w:val="18"/>
  </w:num>
  <w:num w:numId="9">
    <w:abstractNumId w:val="11"/>
  </w:num>
  <w:num w:numId="10">
    <w:abstractNumId w:val="26"/>
  </w:num>
  <w:num w:numId="11">
    <w:abstractNumId w:val="2"/>
  </w:num>
  <w:num w:numId="12">
    <w:abstractNumId w:val="23"/>
  </w:num>
  <w:num w:numId="13">
    <w:abstractNumId w:val="16"/>
  </w:num>
  <w:num w:numId="14">
    <w:abstractNumId w:val="30"/>
  </w:num>
  <w:num w:numId="15">
    <w:abstractNumId w:val="19"/>
  </w:num>
  <w:num w:numId="16">
    <w:abstractNumId w:val="28"/>
  </w:num>
  <w:num w:numId="17">
    <w:abstractNumId w:val="3"/>
  </w:num>
  <w:num w:numId="18">
    <w:abstractNumId w:val="29"/>
  </w:num>
  <w:num w:numId="19">
    <w:abstractNumId w:val="12"/>
  </w:num>
  <w:num w:numId="20">
    <w:abstractNumId w:val="9"/>
  </w:num>
  <w:num w:numId="21">
    <w:abstractNumId w:val="22"/>
  </w:num>
  <w:num w:numId="22">
    <w:abstractNumId w:val="6"/>
  </w:num>
  <w:num w:numId="23">
    <w:abstractNumId w:val="15"/>
  </w:num>
  <w:num w:numId="24">
    <w:abstractNumId w:val="20"/>
  </w:num>
  <w:num w:numId="25">
    <w:abstractNumId w:val="8"/>
  </w:num>
  <w:num w:numId="26">
    <w:abstractNumId w:val="13"/>
  </w:num>
  <w:num w:numId="27">
    <w:abstractNumId w:val="24"/>
  </w:num>
  <w:num w:numId="28">
    <w:abstractNumId w:val="5"/>
  </w:num>
  <w:num w:numId="29">
    <w:abstractNumId w:val="17"/>
  </w:num>
  <w:num w:numId="30">
    <w:abstractNumId w:val="7"/>
  </w:num>
  <w:num w:numId="31">
    <w:abstractNumId w:val="21"/>
  </w:num>
  <w:num w:numId="32">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removePersonalInformation/>
  <w:removeDateAndTime/>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EF"/>
    <w:rsid w:val="00005633"/>
    <w:rsid w:val="0002461F"/>
    <w:rsid w:val="00027964"/>
    <w:rsid w:val="0003011A"/>
    <w:rsid w:val="00032380"/>
    <w:rsid w:val="00033E53"/>
    <w:rsid w:val="00054AF7"/>
    <w:rsid w:val="00062609"/>
    <w:rsid w:val="00064185"/>
    <w:rsid w:val="00065963"/>
    <w:rsid w:val="00067B97"/>
    <w:rsid w:val="00072BB5"/>
    <w:rsid w:val="000744B1"/>
    <w:rsid w:val="0008159F"/>
    <w:rsid w:val="000842DE"/>
    <w:rsid w:val="0008481A"/>
    <w:rsid w:val="0008481B"/>
    <w:rsid w:val="00087F54"/>
    <w:rsid w:val="000A4D76"/>
    <w:rsid w:val="000B1E9C"/>
    <w:rsid w:val="000B4C34"/>
    <w:rsid w:val="000B7567"/>
    <w:rsid w:val="000C06E7"/>
    <w:rsid w:val="000C25D7"/>
    <w:rsid w:val="000C44A7"/>
    <w:rsid w:val="000D121A"/>
    <w:rsid w:val="000E74AC"/>
    <w:rsid w:val="000F5749"/>
    <w:rsid w:val="000F751D"/>
    <w:rsid w:val="0010635C"/>
    <w:rsid w:val="00107A64"/>
    <w:rsid w:val="001227BC"/>
    <w:rsid w:val="00130F7F"/>
    <w:rsid w:val="001314C7"/>
    <w:rsid w:val="00135FDA"/>
    <w:rsid w:val="00136C9D"/>
    <w:rsid w:val="00145C35"/>
    <w:rsid w:val="001625BD"/>
    <w:rsid w:val="00162A80"/>
    <w:rsid w:val="001638F8"/>
    <w:rsid w:val="001850E8"/>
    <w:rsid w:val="00196D08"/>
    <w:rsid w:val="001A27A6"/>
    <w:rsid w:val="001B075A"/>
    <w:rsid w:val="001B3C6F"/>
    <w:rsid w:val="001B5646"/>
    <w:rsid w:val="001B6060"/>
    <w:rsid w:val="001B610F"/>
    <w:rsid w:val="001D17A1"/>
    <w:rsid w:val="001D3579"/>
    <w:rsid w:val="001E4795"/>
    <w:rsid w:val="001E4818"/>
    <w:rsid w:val="001E630D"/>
    <w:rsid w:val="001E7183"/>
    <w:rsid w:val="001E74CA"/>
    <w:rsid w:val="001F5099"/>
    <w:rsid w:val="001F78E6"/>
    <w:rsid w:val="001F7ED0"/>
    <w:rsid w:val="00201F28"/>
    <w:rsid w:val="002032F9"/>
    <w:rsid w:val="0020422A"/>
    <w:rsid w:val="00212F83"/>
    <w:rsid w:val="0022371C"/>
    <w:rsid w:val="00227B7A"/>
    <w:rsid w:val="0025126E"/>
    <w:rsid w:val="00254EB9"/>
    <w:rsid w:val="00266F93"/>
    <w:rsid w:val="0027296F"/>
    <w:rsid w:val="00284DC9"/>
    <w:rsid w:val="00287BA9"/>
    <w:rsid w:val="00290077"/>
    <w:rsid w:val="0029232A"/>
    <w:rsid w:val="002966CC"/>
    <w:rsid w:val="002A08E0"/>
    <w:rsid w:val="002A249B"/>
    <w:rsid w:val="002B5535"/>
    <w:rsid w:val="002B643D"/>
    <w:rsid w:val="002C06AC"/>
    <w:rsid w:val="002D06EB"/>
    <w:rsid w:val="002D737D"/>
    <w:rsid w:val="002E006C"/>
    <w:rsid w:val="002E425E"/>
    <w:rsid w:val="002E47A1"/>
    <w:rsid w:val="002F1F4A"/>
    <w:rsid w:val="002F2B66"/>
    <w:rsid w:val="002F6749"/>
    <w:rsid w:val="00301527"/>
    <w:rsid w:val="00301B44"/>
    <w:rsid w:val="003021F3"/>
    <w:rsid w:val="003107A5"/>
    <w:rsid w:val="00312236"/>
    <w:rsid w:val="00312D42"/>
    <w:rsid w:val="003248A6"/>
    <w:rsid w:val="0033276D"/>
    <w:rsid w:val="003352AB"/>
    <w:rsid w:val="0034572C"/>
    <w:rsid w:val="00352D81"/>
    <w:rsid w:val="00377CBF"/>
    <w:rsid w:val="0038135C"/>
    <w:rsid w:val="00383F5E"/>
    <w:rsid w:val="00386338"/>
    <w:rsid w:val="00386718"/>
    <w:rsid w:val="0039316A"/>
    <w:rsid w:val="00396DD5"/>
    <w:rsid w:val="003A0737"/>
    <w:rsid w:val="003A35D3"/>
    <w:rsid w:val="003A3B48"/>
    <w:rsid w:val="003B2BB8"/>
    <w:rsid w:val="003B39B7"/>
    <w:rsid w:val="003B5130"/>
    <w:rsid w:val="003C1FCE"/>
    <w:rsid w:val="003D1E44"/>
    <w:rsid w:val="003D34FF"/>
    <w:rsid w:val="003E3C14"/>
    <w:rsid w:val="003F7058"/>
    <w:rsid w:val="003F709D"/>
    <w:rsid w:val="003F7BC7"/>
    <w:rsid w:val="00400E39"/>
    <w:rsid w:val="004026D3"/>
    <w:rsid w:val="0040482C"/>
    <w:rsid w:val="004072D9"/>
    <w:rsid w:val="00410B2F"/>
    <w:rsid w:val="0042344E"/>
    <w:rsid w:val="004322DB"/>
    <w:rsid w:val="004335E5"/>
    <w:rsid w:val="0043653D"/>
    <w:rsid w:val="0045248C"/>
    <w:rsid w:val="004549C9"/>
    <w:rsid w:val="004612B7"/>
    <w:rsid w:val="004633FC"/>
    <w:rsid w:val="00464AAF"/>
    <w:rsid w:val="004651A6"/>
    <w:rsid w:val="0047052B"/>
    <w:rsid w:val="00482017"/>
    <w:rsid w:val="00484296"/>
    <w:rsid w:val="00484946"/>
    <w:rsid w:val="00493BEE"/>
    <w:rsid w:val="00495E6E"/>
    <w:rsid w:val="004A309F"/>
    <w:rsid w:val="004A3B33"/>
    <w:rsid w:val="004A6060"/>
    <w:rsid w:val="004B0FB6"/>
    <w:rsid w:val="004B2693"/>
    <w:rsid w:val="004B2C9F"/>
    <w:rsid w:val="004B54CA"/>
    <w:rsid w:val="004B6F53"/>
    <w:rsid w:val="004C46C4"/>
    <w:rsid w:val="004C5FEB"/>
    <w:rsid w:val="004D2D24"/>
    <w:rsid w:val="004E1AE7"/>
    <w:rsid w:val="004E1FBE"/>
    <w:rsid w:val="004E5CBF"/>
    <w:rsid w:val="004F66DF"/>
    <w:rsid w:val="004F6E5B"/>
    <w:rsid w:val="0050007E"/>
    <w:rsid w:val="005143E5"/>
    <w:rsid w:val="00515A1C"/>
    <w:rsid w:val="0052131B"/>
    <w:rsid w:val="00521BBA"/>
    <w:rsid w:val="00522599"/>
    <w:rsid w:val="00532A9C"/>
    <w:rsid w:val="005519F1"/>
    <w:rsid w:val="00553F2D"/>
    <w:rsid w:val="00555D0D"/>
    <w:rsid w:val="00562A42"/>
    <w:rsid w:val="0056574F"/>
    <w:rsid w:val="00590FBF"/>
    <w:rsid w:val="00592559"/>
    <w:rsid w:val="00597A09"/>
    <w:rsid w:val="00597BB3"/>
    <w:rsid w:val="005A3CD0"/>
    <w:rsid w:val="005A5EF0"/>
    <w:rsid w:val="005B0633"/>
    <w:rsid w:val="005B0673"/>
    <w:rsid w:val="005C27A7"/>
    <w:rsid w:val="005C3AA9"/>
    <w:rsid w:val="005D4273"/>
    <w:rsid w:val="005D68BD"/>
    <w:rsid w:val="005E02B3"/>
    <w:rsid w:val="005E3263"/>
    <w:rsid w:val="005E747A"/>
    <w:rsid w:val="006018B0"/>
    <w:rsid w:val="00607E39"/>
    <w:rsid w:val="00614918"/>
    <w:rsid w:val="00620C2B"/>
    <w:rsid w:val="00621FC5"/>
    <w:rsid w:val="0062390E"/>
    <w:rsid w:val="00625B5F"/>
    <w:rsid w:val="00626726"/>
    <w:rsid w:val="00630348"/>
    <w:rsid w:val="00633BB5"/>
    <w:rsid w:val="00637B02"/>
    <w:rsid w:val="0065053A"/>
    <w:rsid w:val="00650C36"/>
    <w:rsid w:val="0065293D"/>
    <w:rsid w:val="006576A6"/>
    <w:rsid w:val="0066071F"/>
    <w:rsid w:val="00660DE2"/>
    <w:rsid w:val="00663326"/>
    <w:rsid w:val="00663DE1"/>
    <w:rsid w:val="00666008"/>
    <w:rsid w:val="00675944"/>
    <w:rsid w:val="00675AC5"/>
    <w:rsid w:val="00676F55"/>
    <w:rsid w:val="00683A84"/>
    <w:rsid w:val="006877D0"/>
    <w:rsid w:val="0069635D"/>
    <w:rsid w:val="00697A46"/>
    <w:rsid w:val="006A2FF7"/>
    <w:rsid w:val="006A4CE7"/>
    <w:rsid w:val="006A4EF9"/>
    <w:rsid w:val="006A571F"/>
    <w:rsid w:val="006B3368"/>
    <w:rsid w:val="006B5759"/>
    <w:rsid w:val="006C235A"/>
    <w:rsid w:val="006C5387"/>
    <w:rsid w:val="006C6BD6"/>
    <w:rsid w:val="006F78DE"/>
    <w:rsid w:val="00700443"/>
    <w:rsid w:val="00700533"/>
    <w:rsid w:val="00701D36"/>
    <w:rsid w:val="00704C2A"/>
    <w:rsid w:val="0070518D"/>
    <w:rsid w:val="00707333"/>
    <w:rsid w:val="007266CF"/>
    <w:rsid w:val="007279CA"/>
    <w:rsid w:val="007354AB"/>
    <w:rsid w:val="00742FDD"/>
    <w:rsid w:val="00746D97"/>
    <w:rsid w:val="00752358"/>
    <w:rsid w:val="007559E9"/>
    <w:rsid w:val="00760043"/>
    <w:rsid w:val="00760AE8"/>
    <w:rsid w:val="00771D4B"/>
    <w:rsid w:val="00775A9C"/>
    <w:rsid w:val="00782F12"/>
    <w:rsid w:val="00783A82"/>
    <w:rsid w:val="00785261"/>
    <w:rsid w:val="00785761"/>
    <w:rsid w:val="00790F7E"/>
    <w:rsid w:val="00796D5F"/>
    <w:rsid w:val="007B0256"/>
    <w:rsid w:val="007B48CB"/>
    <w:rsid w:val="007C1530"/>
    <w:rsid w:val="007C1D91"/>
    <w:rsid w:val="007C317B"/>
    <w:rsid w:val="007C3B10"/>
    <w:rsid w:val="007C7A07"/>
    <w:rsid w:val="007D62C7"/>
    <w:rsid w:val="007E28AB"/>
    <w:rsid w:val="007E700B"/>
    <w:rsid w:val="007F1217"/>
    <w:rsid w:val="007F55CC"/>
    <w:rsid w:val="00811A04"/>
    <w:rsid w:val="00822121"/>
    <w:rsid w:val="00822AA8"/>
    <w:rsid w:val="0083177B"/>
    <w:rsid w:val="0083240B"/>
    <w:rsid w:val="00834A05"/>
    <w:rsid w:val="008363E4"/>
    <w:rsid w:val="00844C34"/>
    <w:rsid w:val="00855497"/>
    <w:rsid w:val="00860871"/>
    <w:rsid w:val="008719CE"/>
    <w:rsid w:val="00876B1E"/>
    <w:rsid w:val="00876DB3"/>
    <w:rsid w:val="008807F6"/>
    <w:rsid w:val="00880C9C"/>
    <w:rsid w:val="00881AEF"/>
    <w:rsid w:val="00883D2F"/>
    <w:rsid w:val="00891577"/>
    <w:rsid w:val="00894899"/>
    <w:rsid w:val="008A4CD4"/>
    <w:rsid w:val="008A4F02"/>
    <w:rsid w:val="008B10A4"/>
    <w:rsid w:val="008B1FC9"/>
    <w:rsid w:val="008B2382"/>
    <w:rsid w:val="008B3570"/>
    <w:rsid w:val="008B4038"/>
    <w:rsid w:val="008B4370"/>
    <w:rsid w:val="008C13A0"/>
    <w:rsid w:val="008D2F4D"/>
    <w:rsid w:val="008D3A5A"/>
    <w:rsid w:val="008D667D"/>
    <w:rsid w:val="008E35C9"/>
    <w:rsid w:val="008E5649"/>
    <w:rsid w:val="008E5982"/>
    <w:rsid w:val="008E5C12"/>
    <w:rsid w:val="008F0D96"/>
    <w:rsid w:val="008F4643"/>
    <w:rsid w:val="008F68C2"/>
    <w:rsid w:val="008F6B08"/>
    <w:rsid w:val="008F6E78"/>
    <w:rsid w:val="00910D74"/>
    <w:rsid w:val="00911917"/>
    <w:rsid w:val="0091697C"/>
    <w:rsid w:val="009225F0"/>
    <w:rsid w:val="00927B49"/>
    <w:rsid w:val="0093462C"/>
    <w:rsid w:val="0094489E"/>
    <w:rsid w:val="0094729C"/>
    <w:rsid w:val="009520D1"/>
    <w:rsid w:val="00953795"/>
    <w:rsid w:val="009538AF"/>
    <w:rsid w:val="00955BEE"/>
    <w:rsid w:val="00956724"/>
    <w:rsid w:val="00957224"/>
    <w:rsid w:val="00957332"/>
    <w:rsid w:val="00965650"/>
    <w:rsid w:val="00965A28"/>
    <w:rsid w:val="00972C6C"/>
    <w:rsid w:val="00973FD8"/>
    <w:rsid w:val="00974189"/>
    <w:rsid w:val="00975396"/>
    <w:rsid w:val="00975E94"/>
    <w:rsid w:val="00981BB6"/>
    <w:rsid w:val="00987DFB"/>
    <w:rsid w:val="009906C7"/>
    <w:rsid w:val="00992001"/>
    <w:rsid w:val="009939F8"/>
    <w:rsid w:val="009A0DF2"/>
    <w:rsid w:val="009A1B43"/>
    <w:rsid w:val="009A28E1"/>
    <w:rsid w:val="009A7B66"/>
    <w:rsid w:val="009B3614"/>
    <w:rsid w:val="009B4CF4"/>
    <w:rsid w:val="009B5AB0"/>
    <w:rsid w:val="009B6D9E"/>
    <w:rsid w:val="009C002F"/>
    <w:rsid w:val="009C2313"/>
    <w:rsid w:val="009C41C7"/>
    <w:rsid w:val="009C718A"/>
    <w:rsid w:val="009D524E"/>
    <w:rsid w:val="009D6C94"/>
    <w:rsid w:val="009F07CE"/>
    <w:rsid w:val="009F25B5"/>
    <w:rsid w:val="009F397E"/>
    <w:rsid w:val="00A00992"/>
    <w:rsid w:val="00A0186B"/>
    <w:rsid w:val="00A028A9"/>
    <w:rsid w:val="00A037CD"/>
    <w:rsid w:val="00A34148"/>
    <w:rsid w:val="00A448FC"/>
    <w:rsid w:val="00A4570B"/>
    <w:rsid w:val="00A505E0"/>
    <w:rsid w:val="00A5142F"/>
    <w:rsid w:val="00A54DB9"/>
    <w:rsid w:val="00A55F73"/>
    <w:rsid w:val="00A606B0"/>
    <w:rsid w:val="00A64017"/>
    <w:rsid w:val="00A64246"/>
    <w:rsid w:val="00A668A0"/>
    <w:rsid w:val="00A732EA"/>
    <w:rsid w:val="00A80F5E"/>
    <w:rsid w:val="00A831D6"/>
    <w:rsid w:val="00A85829"/>
    <w:rsid w:val="00A90356"/>
    <w:rsid w:val="00A9499A"/>
    <w:rsid w:val="00A951EA"/>
    <w:rsid w:val="00AA01F6"/>
    <w:rsid w:val="00AB0E3D"/>
    <w:rsid w:val="00AB6088"/>
    <w:rsid w:val="00AC121B"/>
    <w:rsid w:val="00AE4A3E"/>
    <w:rsid w:val="00AE6A1C"/>
    <w:rsid w:val="00AF62FC"/>
    <w:rsid w:val="00AF7156"/>
    <w:rsid w:val="00AF7CD8"/>
    <w:rsid w:val="00B00668"/>
    <w:rsid w:val="00B01B09"/>
    <w:rsid w:val="00B02929"/>
    <w:rsid w:val="00B04ED8"/>
    <w:rsid w:val="00B12B54"/>
    <w:rsid w:val="00B1361C"/>
    <w:rsid w:val="00B20A23"/>
    <w:rsid w:val="00B2491E"/>
    <w:rsid w:val="00B30536"/>
    <w:rsid w:val="00B3627B"/>
    <w:rsid w:val="00B40549"/>
    <w:rsid w:val="00B51AC5"/>
    <w:rsid w:val="00B56EA7"/>
    <w:rsid w:val="00B6490B"/>
    <w:rsid w:val="00B709F1"/>
    <w:rsid w:val="00B71893"/>
    <w:rsid w:val="00B71B33"/>
    <w:rsid w:val="00B80D9A"/>
    <w:rsid w:val="00B82AB0"/>
    <w:rsid w:val="00B86A62"/>
    <w:rsid w:val="00B875C3"/>
    <w:rsid w:val="00B91E3E"/>
    <w:rsid w:val="00BA22A2"/>
    <w:rsid w:val="00BA2DB9"/>
    <w:rsid w:val="00BA533A"/>
    <w:rsid w:val="00BB264E"/>
    <w:rsid w:val="00BC0387"/>
    <w:rsid w:val="00BC18E2"/>
    <w:rsid w:val="00BC2F9E"/>
    <w:rsid w:val="00BC3170"/>
    <w:rsid w:val="00BC42FC"/>
    <w:rsid w:val="00BD0381"/>
    <w:rsid w:val="00BD0B35"/>
    <w:rsid w:val="00BD605B"/>
    <w:rsid w:val="00BE3F25"/>
    <w:rsid w:val="00BE6FD4"/>
    <w:rsid w:val="00BE7148"/>
    <w:rsid w:val="00BF0891"/>
    <w:rsid w:val="00BF7157"/>
    <w:rsid w:val="00BF7CE2"/>
    <w:rsid w:val="00C050E7"/>
    <w:rsid w:val="00C127C7"/>
    <w:rsid w:val="00C13499"/>
    <w:rsid w:val="00C15FC4"/>
    <w:rsid w:val="00C20450"/>
    <w:rsid w:val="00C21A30"/>
    <w:rsid w:val="00C27677"/>
    <w:rsid w:val="00C3543C"/>
    <w:rsid w:val="00C36938"/>
    <w:rsid w:val="00C37A73"/>
    <w:rsid w:val="00C410EF"/>
    <w:rsid w:val="00C41CE0"/>
    <w:rsid w:val="00C43A94"/>
    <w:rsid w:val="00C43D7A"/>
    <w:rsid w:val="00C50630"/>
    <w:rsid w:val="00C53AF2"/>
    <w:rsid w:val="00C54F98"/>
    <w:rsid w:val="00C568D3"/>
    <w:rsid w:val="00C62233"/>
    <w:rsid w:val="00C7052B"/>
    <w:rsid w:val="00C755B9"/>
    <w:rsid w:val="00C84DD7"/>
    <w:rsid w:val="00C92349"/>
    <w:rsid w:val="00CA612E"/>
    <w:rsid w:val="00CA6879"/>
    <w:rsid w:val="00CB5863"/>
    <w:rsid w:val="00CC1683"/>
    <w:rsid w:val="00CC6483"/>
    <w:rsid w:val="00CD3466"/>
    <w:rsid w:val="00CE0F4D"/>
    <w:rsid w:val="00CE1D86"/>
    <w:rsid w:val="00D025B9"/>
    <w:rsid w:val="00D0495A"/>
    <w:rsid w:val="00D056CA"/>
    <w:rsid w:val="00D1030A"/>
    <w:rsid w:val="00D20CA8"/>
    <w:rsid w:val="00D22FFF"/>
    <w:rsid w:val="00D26C98"/>
    <w:rsid w:val="00D317D2"/>
    <w:rsid w:val="00D336DF"/>
    <w:rsid w:val="00D343E0"/>
    <w:rsid w:val="00D35C0C"/>
    <w:rsid w:val="00D37546"/>
    <w:rsid w:val="00D418B5"/>
    <w:rsid w:val="00D43FE0"/>
    <w:rsid w:val="00D53805"/>
    <w:rsid w:val="00D54A7F"/>
    <w:rsid w:val="00D57EDE"/>
    <w:rsid w:val="00D63B67"/>
    <w:rsid w:val="00D77A09"/>
    <w:rsid w:val="00D846DB"/>
    <w:rsid w:val="00D93F63"/>
    <w:rsid w:val="00DA0468"/>
    <w:rsid w:val="00DA227A"/>
    <w:rsid w:val="00DA243A"/>
    <w:rsid w:val="00DB54A0"/>
    <w:rsid w:val="00DB6668"/>
    <w:rsid w:val="00DC4167"/>
    <w:rsid w:val="00DC647A"/>
    <w:rsid w:val="00DD0A03"/>
    <w:rsid w:val="00DD6039"/>
    <w:rsid w:val="00DF1E6B"/>
    <w:rsid w:val="00E004AD"/>
    <w:rsid w:val="00E066EF"/>
    <w:rsid w:val="00E104B3"/>
    <w:rsid w:val="00E1068A"/>
    <w:rsid w:val="00E14B0C"/>
    <w:rsid w:val="00E17CC9"/>
    <w:rsid w:val="00E273E4"/>
    <w:rsid w:val="00E27DF0"/>
    <w:rsid w:val="00E37F9D"/>
    <w:rsid w:val="00E65712"/>
    <w:rsid w:val="00E732EA"/>
    <w:rsid w:val="00E8258F"/>
    <w:rsid w:val="00E85A36"/>
    <w:rsid w:val="00E861B7"/>
    <w:rsid w:val="00E904ED"/>
    <w:rsid w:val="00E97622"/>
    <w:rsid w:val="00EA6EC0"/>
    <w:rsid w:val="00EB2A7A"/>
    <w:rsid w:val="00EB5AA3"/>
    <w:rsid w:val="00EB62BE"/>
    <w:rsid w:val="00EC0B54"/>
    <w:rsid w:val="00EC58DD"/>
    <w:rsid w:val="00ED3E3E"/>
    <w:rsid w:val="00EE4694"/>
    <w:rsid w:val="00EE67C1"/>
    <w:rsid w:val="00EF1DB7"/>
    <w:rsid w:val="00EF2C6E"/>
    <w:rsid w:val="00EF7D0A"/>
    <w:rsid w:val="00F00134"/>
    <w:rsid w:val="00F045B2"/>
    <w:rsid w:val="00F12A35"/>
    <w:rsid w:val="00F232EB"/>
    <w:rsid w:val="00F30AFE"/>
    <w:rsid w:val="00F34CDB"/>
    <w:rsid w:val="00F36AAD"/>
    <w:rsid w:val="00F37591"/>
    <w:rsid w:val="00F43B91"/>
    <w:rsid w:val="00F47CC6"/>
    <w:rsid w:val="00F52039"/>
    <w:rsid w:val="00F60B29"/>
    <w:rsid w:val="00F660C4"/>
    <w:rsid w:val="00F714D1"/>
    <w:rsid w:val="00F80404"/>
    <w:rsid w:val="00F8158A"/>
    <w:rsid w:val="00F82F3F"/>
    <w:rsid w:val="00FA1E2D"/>
    <w:rsid w:val="00FA6EE1"/>
    <w:rsid w:val="00FA7E9F"/>
    <w:rsid w:val="00FB6BBE"/>
    <w:rsid w:val="00FB6BEB"/>
    <w:rsid w:val="00FC59E6"/>
    <w:rsid w:val="00FC6D39"/>
    <w:rsid w:val="00FD1F0F"/>
    <w:rsid w:val="00FD6994"/>
    <w:rsid w:val="00FD75A9"/>
    <w:rsid w:val="00FD76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FC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515A1C"/>
    <w:pPr>
      <w:pBdr>
        <w:bottom w:val="single" w:sz="24" w:space="10" w:color="6C1740"/>
      </w:pBdr>
      <w:spacing w:before="480" w:after="0"/>
      <w:contextualSpacing/>
      <w:outlineLvl w:val="0"/>
    </w:pPr>
    <w:rPr>
      <w:rFonts w:eastAsiaTheme="majorEastAsia" w:cstheme="majorBidi"/>
      <w:b/>
      <w:bCs/>
      <w:color w:val="6C1740"/>
      <w:sz w:val="94"/>
      <w:szCs w:val="28"/>
    </w:rPr>
  </w:style>
  <w:style w:type="paragraph" w:styleId="Heading2">
    <w:name w:val="heading 2"/>
    <w:basedOn w:val="Normal"/>
    <w:next w:val="Normal"/>
    <w:link w:val="Heading2Char"/>
    <w:uiPriority w:val="9"/>
    <w:unhideWhenUsed/>
    <w:qFormat/>
    <w:rsid w:val="00515A1C"/>
    <w:pPr>
      <w:pBdr>
        <w:top w:val="single" w:sz="24" w:space="10" w:color="6C1740"/>
      </w:pBdr>
      <w:spacing w:before="240" w:after="240"/>
      <w:outlineLvl w:val="1"/>
    </w:pPr>
    <w:rPr>
      <w:rFonts w:eastAsiaTheme="majorEastAsia" w:cstheme="majorBidi"/>
      <w:b/>
      <w:bCs/>
      <w:color w:val="6C1740"/>
      <w:sz w:val="40"/>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A1C"/>
    <w:rPr>
      <w:rFonts w:ascii="Arial" w:eastAsiaTheme="majorEastAsia" w:hAnsi="Arial" w:cstheme="majorBidi"/>
      <w:b/>
      <w:bCs/>
      <w:color w:val="6C1740"/>
      <w:sz w:val="94"/>
      <w:szCs w:val="28"/>
    </w:rPr>
  </w:style>
  <w:style w:type="character" w:customStyle="1" w:styleId="Heading2Char">
    <w:name w:val="Heading 2 Char"/>
    <w:basedOn w:val="DefaultParagraphFont"/>
    <w:link w:val="Heading2"/>
    <w:uiPriority w:val="9"/>
    <w:rsid w:val="00515A1C"/>
    <w:rPr>
      <w:rFonts w:ascii="Arial" w:eastAsiaTheme="majorEastAsia" w:hAnsi="Arial" w:cstheme="majorBidi"/>
      <w:b/>
      <w:bCs/>
      <w:color w:val="6C1740"/>
      <w:sz w:val="40"/>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811A04"/>
    <w:pPr>
      <w:spacing w:line="240" w:lineRule="auto"/>
      <w:contextualSpacing/>
    </w:pPr>
    <w:rPr>
      <w:rFonts w:eastAsiaTheme="majorEastAsia" w:cstheme="majorBidi"/>
      <w:b/>
      <w:color w:val="6C1740"/>
      <w:spacing w:val="5"/>
      <w:sz w:val="100"/>
      <w:szCs w:val="52"/>
    </w:rPr>
  </w:style>
  <w:style w:type="character" w:customStyle="1" w:styleId="TitleChar">
    <w:name w:val="Title Char"/>
    <w:basedOn w:val="DefaultParagraphFont"/>
    <w:link w:val="Title"/>
    <w:uiPriority w:val="10"/>
    <w:rsid w:val="00811A04"/>
    <w:rPr>
      <w:rFonts w:ascii="Arial" w:eastAsiaTheme="majorEastAsia" w:hAnsi="Arial" w:cstheme="majorBidi"/>
      <w:b/>
      <w:color w:val="6C1740"/>
      <w:spacing w:val="5"/>
      <w:sz w:val="100"/>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04BODYCOPY">
    <w:name w:val="04. BODY COPY"/>
    <w:basedOn w:val="Normal"/>
    <w:uiPriority w:val="99"/>
    <w:rsid w:val="00881AEF"/>
    <w:pPr>
      <w:suppressAutoHyphens/>
      <w:autoSpaceDE w:val="0"/>
      <w:autoSpaceDN w:val="0"/>
      <w:adjustRightInd w:val="0"/>
      <w:spacing w:after="170" w:line="280" w:lineRule="atLeast"/>
      <w:textAlignment w:val="center"/>
    </w:pPr>
    <w:rPr>
      <w:rFonts w:ascii="Nunito Sans" w:hAnsi="Nunito Sans" w:cs="Nunito Sans"/>
      <w:color w:val="000000"/>
      <w:spacing w:val="-2"/>
      <w:sz w:val="20"/>
      <w:szCs w:val="20"/>
      <w:lang w:val="en-US"/>
    </w:rPr>
  </w:style>
  <w:style w:type="paragraph" w:customStyle="1" w:styleId="05DOTPOINTS">
    <w:name w:val="05. DOT POINTS"/>
    <w:basedOn w:val="04BODYCOPY"/>
    <w:uiPriority w:val="99"/>
    <w:rsid w:val="00881AEF"/>
    <w:pPr>
      <w:ind w:left="227" w:hanging="227"/>
    </w:pPr>
  </w:style>
  <w:style w:type="character" w:styleId="Hyperlink">
    <w:name w:val="Hyperlink"/>
    <w:basedOn w:val="DefaultParagraphFont"/>
    <w:uiPriority w:val="99"/>
    <w:rsid w:val="00881AEF"/>
    <w:rPr>
      <w:b/>
      <w:bCs/>
      <w:color w:val="055285"/>
      <w:u w:val="thick"/>
    </w:rPr>
  </w:style>
  <w:style w:type="table" w:styleId="TableGrid">
    <w:name w:val="Table Grid"/>
    <w:basedOn w:val="TableNormal"/>
    <w:uiPriority w:val="59"/>
    <w:rsid w:val="008F6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olumnbodycopy">
    <w:name w:val="2 column body copy"/>
    <w:basedOn w:val="Normal"/>
    <w:uiPriority w:val="99"/>
    <w:rsid w:val="003352AB"/>
    <w:pPr>
      <w:widowControl w:val="0"/>
      <w:suppressAutoHyphens/>
      <w:autoSpaceDE w:val="0"/>
      <w:autoSpaceDN w:val="0"/>
      <w:adjustRightInd w:val="0"/>
      <w:spacing w:after="170" w:line="280" w:lineRule="atLeast"/>
    </w:pPr>
    <w:rPr>
      <w:rFonts w:ascii="Nunito Sans" w:eastAsiaTheme="minorEastAsia" w:hAnsi="Nunito Sans" w:cs="Nunito Sans"/>
      <w:color w:val="000000"/>
      <w:sz w:val="20"/>
      <w:szCs w:val="20"/>
      <w:lang w:val="en-US" w:eastAsia="en-IN"/>
    </w:rPr>
  </w:style>
  <w:style w:type="paragraph" w:styleId="BalloonText">
    <w:name w:val="Balloon Text"/>
    <w:basedOn w:val="Normal"/>
    <w:link w:val="BalloonTextChar"/>
    <w:uiPriority w:val="99"/>
    <w:semiHidden/>
    <w:unhideWhenUsed/>
    <w:rsid w:val="000C0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6E7"/>
    <w:rPr>
      <w:rFonts w:ascii="Segoe UI" w:hAnsi="Segoe UI" w:cs="Segoe UI"/>
      <w:sz w:val="18"/>
      <w:szCs w:val="18"/>
    </w:rPr>
  </w:style>
  <w:style w:type="character" w:styleId="CommentReference">
    <w:name w:val="annotation reference"/>
    <w:basedOn w:val="DefaultParagraphFont"/>
    <w:uiPriority w:val="99"/>
    <w:semiHidden/>
    <w:unhideWhenUsed/>
    <w:rsid w:val="000C06E7"/>
    <w:rPr>
      <w:sz w:val="16"/>
      <w:szCs w:val="16"/>
    </w:rPr>
  </w:style>
  <w:style w:type="paragraph" w:styleId="CommentText">
    <w:name w:val="annotation text"/>
    <w:basedOn w:val="Normal"/>
    <w:link w:val="CommentTextChar"/>
    <w:uiPriority w:val="99"/>
    <w:semiHidden/>
    <w:unhideWhenUsed/>
    <w:rsid w:val="000C06E7"/>
    <w:pPr>
      <w:spacing w:line="240" w:lineRule="auto"/>
    </w:pPr>
    <w:rPr>
      <w:sz w:val="20"/>
      <w:szCs w:val="20"/>
    </w:rPr>
  </w:style>
  <w:style w:type="character" w:customStyle="1" w:styleId="CommentTextChar">
    <w:name w:val="Comment Text Char"/>
    <w:basedOn w:val="DefaultParagraphFont"/>
    <w:link w:val="CommentText"/>
    <w:uiPriority w:val="99"/>
    <w:semiHidden/>
    <w:rsid w:val="000C06E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C06E7"/>
    <w:rPr>
      <w:b/>
      <w:bCs/>
    </w:rPr>
  </w:style>
  <w:style w:type="character" w:customStyle="1" w:styleId="CommentSubjectChar">
    <w:name w:val="Comment Subject Char"/>
    <w:basedOn w:val="CommentTextChar"/>
    <w:link w:val="CommentSubject"/>
    <w:uiPriority w:val="99"/>
    <w:semiHidden/>
    <w:rsid w:val="000C06E7"/>
    <w:rPr>
      <w:rFonts w:ascii="Arial" w:hAnsi="Arial"/>
      <w:b/>
      <w:bCs/>
      <w:sz w:val="20"/>
      <w:szCs w:val="20"/>
    </w:rPr>
  </w:style>
  <w:style w:type="character" w:styleId="FollowedHyperlink">
    <w:name w:val="FollowedHyperlink"/>
    <w:basedOn w:val="DefaultParagraphFont"/>
    <w:uiPriority w:val="99"/>
    <w:semiHidden/>
    <w:unhideWhenUsed/>
    <w:rsid w:val="008E5C12"/>
    <w:rPr>
      <w:color w:val="800080" w:themeColor="followedHyperlink"/>
      <w:u w:val="single"/>
    </w:rPr>
  </w:style>
  <w:style w:type="paragraph" w:styleId="TOC1">
    <w:name w:val="toc 1"/>
    <w:basedOn w:val="Normal"/>
    <w:next w:val="Normal"/>
    <w:autoRedefine/>
    <w:uiPriority w:val="39"/>
    <w:unhideWhenUsed/>
    <w:rsid w:val="008E5C12"/>
    <w:pPr>
      <w:spacing w:after="100"/>
    </w:pPr>
  </w:style>
  <w:style w:type="paragraph" w:styleId="TOC2">
    <w:name w:val="toc 2"/>
    <w:basedOn w:val="Normal"/>
    <w:next w:val="Normal"/>
    <w:autoRedefine/>
    <w:uiPriority w:val="39"/>
    <w:unhideWhenUsed/>
    <w:rsid w:val="008E5C12"/>
    <w:pPr>
      <w:spacing w:after="100" w:line="259" w:lineRule="auto"/>
      <w:ind w:left="22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8E5C12"/>
    <w:pPr>
      <w:spacing w:after="100" w:line="259" w:lineRule="auto"/>
      <w:ind w:left="440"/>
    </w:pPr>
    <w:rPr>
      <w:rFonts w:asciiTheme="minorHAnsi" w:eastAsiaTheme="minorEastAsia" w:hAnsiTheme="minorHAnsi" w:cs="Times New Roman"/>
      <w:lang w:val="en-US"/>
    </w:rPr>
  </w:style>
  <w:style w:type="character" w:customStyle="1" w:styleId="UnresolvedMention">
    <w:name w:val="Unresolved Mention"/>
    <w:basedOn w:val="DefaultParagraphFont"/>
    <w:uiPriority w:val="99"/>
    <w:semiHidden/>
    <w:unhideWhenUsed/>
    <w:rsid w:val="008C13A0"/>
    <w:rPr>
      <w:color w:val="605E5C"/>
      <w:shd w:val="clear" w:color="auto" w:fill="E1DFDD"/>
    </w:rPr>
  </w:style>
  <w:style w:type="paragraph" w:styleId="ListBullet">
    <w:name w:val="List Bullet"/>
    <w:basedOn w:val="Normal"/>
    <w:uiPriority w:val="1"/>
    <w:qFormat/>
    <w:rsid w:val="00312D42"/>
    <w:pPr>
      <w:numPr>
        <w:numId w:val="28"/>
      </w:numPr>
      <w:tabs>
        <w:tab w:val="left" w:pos="170"/>
      </w:tabs>
      <w:spacing w:before="60" w:after="120" w:line="280" w:lineRule="atLeast"/>
    </w:pPr>
    <w:rPr>
      <w:rFonts w:eastAsia="Times New Roman" w:cs="Times New Roman"/>
      <w:spacing w:val="4"/>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515A1C"/>
    <w:pPr>
      <w:pBdr>
        <w:bottom w:val="single" w:sz="24" w:space="10" w:color="6C1740"/>
      </w:pBdr>
      <w:spacing w:before="480" w:after="0"/>
      <w:contextualSpacing/>
      <w:outlineLvl w:val="0"/>
    </w:pPr>
    <w:rPr>
      <w:rFonts w:eastAsiaTheme="majorEastAsia" w:cstheme="majorBidi"/>
      <w:b/>
      <w:bCs/>
      <w:color w:val="6C1740"/>
      <w:sz w:val="94"/>
      <w:szCs w:val="28"/>
    </w:rPr>
  </w:style>
  <w:style w:type="paragraph" w:styleId="Heading2">
    <w:name w:val="heading 2"/>
    <w:basedOn w:val="Normal"/>
    <w:next w:val="Normal"/>
    <w:link w:val="Heading2Char"/>
    <w:uiPriority w:val="9"/>
    <w:unhideWhenUsed/>
    <w:qFormat/>
    <w:rsid w:val="00515A1C"/>
    <w:pPr>
      <w:pBdr>
        <w:top w:val="single" w:sz="24" w:space="10" w:color="6C1740"/>
      </w:pBdr>
      <w:spacing w:before="240" w:after="240"/>
      <w:outlineLvl w:val="1"/>
    </w:pPr>
    <w:rPr>
      <w:rFonts w:eastAsiaTheme="majorEastAsia" w:cstheme="majorBidi"/>
      <w:b/>
      <w:bCs/>
      <w:color w:val="6C1740"/>
      <w:sz w:val="40"/>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A1C"/>
    <w:rPr>
      <w:rFonts w:ascii="Arial" w:eastAsiaTheme="majorEastAsia" w:hAnsi="Arial" w:cstheme="majorBidi"/>
      <w:b/>
      <w:bCs/>
      <w:color w:val="6C1740"/>
      <w:sz w:val="94"/>
      <w:szCs w:val="28"/>
    </w:rPr>
  </w:style>
  <w:style w:type="character" w:customStyle="1" w:styleId="Heading2Char">
    <w:name w:val="Heading 2 Char"/>
    <w:basedOn w:val="DefaultParagraphFont"/>
    <w:link w:val="Heading2"/>
    <w:uiPriority w:val="9"/>
    <w:rsid w:val="00515A1C"/>
    <w:rPr>
      <w:rFonts w:ascii="Arial" w:eastAsiaTheme="majorEastAsia" w:hAnsi="Arial" w:cstheme="majorBidi"/>
      <w:b/>
      <w:bCs/>
      <w:color w:val="6C1740"/>
      <w:sz w:val="40"/>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811A04"/>
    <w:pPr>
      <w:spacing w:line="240" w:lineRule="auto"/>
      <w:contextualSpacing/>
    </w:pPr>
    <w:rPr>
      <w:rFonts w:eastAsiaTheme="majorEastAsia" w:cstheme="majorBidi"/>
      <w:b/>
      <w:color w:val="6C1740"/>
      <w:spacing w:val="5"/>
      <w:sz w:val="100"/>
      <w:szCs w:val="52"/>
    </w:rPr>
  </w:style>
  <w:style w:type="character" w:customStyle="1" w:styleId="TitleChar">
    <w:name w:val="Title Char"/>
    <w:basedOn w:val="DefaultParagraphFont"/>
    <w:link w:val="Title"/>
    <w:uiPriority w:val="10"/>
    <w:rsid w:val="00811A04"/>
    <w:rPr>
      <w:rFonts w:ascii="Arial" w:eastAsiaTheme="majorEastAsia" w:hAnsi="Arial" w:cstheme="majorBidi"/>
      <w:b/>
      <w:color w:val="6C1740"/>
      <w:spacing w:val="5"/>
      <w:sz w:val="100"/>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04BODYCOPY">
    <w:name w:val="04. BODY COPY"/>
    <w:basedOn w:val="Normal"/>
    <w:uiPriority w:val="99"/>
    <w:rsid w:val="00881AEF"/>
    <w:pPr>
      <w:suppressAutoHyphens/>
      <w:autoSpaceDE w:val="0"/>
      <w:autoSpaceDN w:val="0"/>
      <w:adjustRightInd w:val="0"/>
      <w:spacing w:after="170" w:line="280" w:lineRule="atLeast"/>
      <w:textAlignment w:val="center"/>
    </w:pPr>
    <w:rPr>
      <w:rFonts w:ascii="Nunito Sans" w:hAnsi="Nunito Sans" w:cs="Nunito Sans"/>
      <w:color w:val="000000"/>
      <w:spacing w:val="-2"/>
      <w:sz w:val="20"/>
      <w:szCs w:val="20"/>
      <w:lang w:val="en-US"/>
    </w:rPr>
  </w:style>
  <w:style w:type="paragraph" w:customStyle="1" w:styleId="05DOTPOINTS">
    <w:name w:val="05. DOT POINTS"/>
    <w:basedOn w:val="04BODYCOPY"/>
    <w:uiPriority w:val="99"/>
    <w:rsid w:val="00881AEF"/>
    <w:pPr>
      <w:ind w:left="227" w:hanging="227"/>
    </w:pPr>
  </w:style>
  <w:style w:type="character" w:styleId="Hyperlink">
    <w:name w:val="Hyperlink"/>
    <w:basedOn w:val="DefaultParagraphFont"/>
    <w:uiPriority w:val="99"/>
    <w:rsid w:val="00881AEF"/>
    <w:rPr>
      <w:b/>
      <w:bCs/>
      <w:color w:val="055285"/>
      <w:u w:val="thick"/>
    </w:rPr>
  </w:style>
  <w:style w:type="table" w:styleId="TableGrid">
    <w:name w:val="Table Grid"/>
    <w:basedOn w:val="TableNormal"/>
    <w:uiPriority w:val="59"/>
    <w:rsid w:val="008F6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olumnbodycopy">
    <w:name w:val="2 column body copy"/>
    <w:basedOn w:val="Normal"/>
    <w:uiPriority w:val="99"/>
    <w:rsid w:val="003352AB"/>
    <w:pPr>
      <w:widowControl w:val="0"/>
      <w:suppressAutoHyphens/>
      <w:autoSpaceDE w:val="0"/>
      <w:autoSpaceDN w:val="0"/>
      <w:adjustRightInd w:val="0"/>
      <w:spacing w:after="170" w:line="280" w:lineRule="atLeast"/>
    </w:pPr>
    <w:rPr>
      <w:rFonts w:ascii="Nunito Sans" w:eastAsiaTheme="minorEastAsia" w:hAnsi="Nunito Sans" w:cs="Nunito Sans"/>
      <w:color w:val="000000"/>
      <w:sz w:val="20"/>
      <w:szCs w:val="20"/>
      <w:lang w:val="en-US" w:eastAsia="en-IN"/>
    </w:rPr>
  </w:style>
  <w:style w:type="paragraph" w:styleId="BalloonText">
    <w:name w:val="Balloon Text"/>
    <w:basedOn w:val="Normal"/>
    <w:link w:val="BalloonTextChar"/>
    <w:uiPriority w:val="99"/>
    <w:semiHidden/>
    <w:unhideWhenUsed/>
    <w:rsid w:val="000C0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6E7"/>
    <w:rPr>
      <w:rFonts w:ascii="Segoe UI" w:hAnsi="Segoe UI" w:cs="Segoe UI"/>
      <w:sz w:val="18"/>
      <w:szCs w:val="18"/>
    </w:rPr>
  </w:style>
  <w:style w:type="character" w:styleId="CommentReference">
    <w:name w:val="annotation reference"/>
    <w:basedOn w:val="DefaultParagraphFont"/>
    <w:uiPriority w:val="99"/>
    <w:semiHidden/>
    <w:unhideWhenUsed/>
    <w:rsid w:val="000C06E7"/>
    <w:rPr>
      <w:sz w:val="16"/>
      <w:szCs w:val="16"/>
    </w:rPr>
  </w:style>
  <w:style w:type="paragraph" w:styleId="CommentText">
    <w:name w:val="annotation text"/>
    <w:basedOn w:val="Normal"/>
    <w:link w:val="CommentTextChar"/>
    <w:uiPriority w:val="99"/>
    <w:semiHidden/>
    <w:unhideWhenUsed/>
    <w:rsid w:val="000C06E7"/>
    <w:pPr>
      <w:spacing w:line="240" w:lineRule="auto"/>
    </w:pPr>
    <w:rPr>
      <w:sz w:val="20"/>
      <w:szCs w:val="20"/>
    </w:rPr>
  </w:style>
  <w:style w:type="character" w:customStyle="1" w:styleId="CommentTextChar">
    <w:name w:val="Comment Text Char"/>
    <w:basedOn w:val="DefaultParagraphFont"/>
    <w:link w:val="CommentText"/>
    <w:uiPriority w:val="99"/>
    <w:semiHidden/>
    <w:rsid w:val="000C06E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C06E7"/>
    <w:rPr>
      <w:b/>
      <w:bCs/>
    </w:rPr>
  </w:style>
  <w:style w:type="character" w:customStyle="1" w:styleId="CommentSubjectChar">
    <w:name w:val="Comment Subject Char"/>
    <w:basedOn w:val="CommentTextChar"/>
    <w:link w:val="CommentSubject"/>
    <w:uiPriority w:val="99"/>
    <w:semiHidden/>
    <w:rsid w:val="000C06E7"/>
    <w:rPr>
      <w:rFonts w:ascii="Arial" w:hAnsi="Arial"/>
      <w:b/>
      <w:bCs/>
      <w:sz w:val="20"/>
      <w:szCs w:val="20"/>
    </w:rPr>
  </w:style>
  <w:style w:type="character" w:styleId="FollowedHyperlink">
    <w:name w:val="FollowedHyperlink"/>
    <w:basedOn w:val="DefaultParagraphFont"/>
    <w:uiPriority w:val="99"/>
    <w:semiHidden/>
    <w:unhideWhenUsed/>
    <w:rsid w:val="008E5C12"/>
    <w:rPr>
      <w:color w:val="800080" w:themeColor="followedHyperlink"/>
      <w:u w:val="single"/>
    </w:rPr>
  </w:style>
  <w:style w:type="paragraph" w:styleId="TOC1">
    <w:name w:val="toc 1"/>
    <w:basedOn w:val="Normal"/>
    <w:next w:val="Normal"/>
    <w:autoRedefine/>
    <w:uiPriority w:val="39"/>
    <w:unhideWhenUsed/>
    <w:rsid w:val="008E5C12"/>
    <w:pPr>
      <w:spacing w:after="100"/>
    </w:pPr>
  </w:style>
  <w:style w:type="paragraph" w:styleId="TOC2">
    <w:name w:val="toc 2"/>
    <w:basedOn w:val="Normal"/>
    <w:next w:val="Normal"/>
    <w:autoRedefine/>
    <w:uiPriority w:val="39"/>
    <w:unhideWhenUsed/>
    <w:rsid w:val="008E5C12"/>
    <w:pPr>
      <w:spacing w:after="100" w:line="259" w:lineRule="auto"/>
      <w:ind w:left="22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8E5C12"/>
    <w:pPr>
      <w:spacing w:after="100" w:line="259" w:lineRule="auto"/>
      <w:ind w:left="440"/>
    </w:pPr>
    <w:rPr>
      <w:rFonts w:asciiTheme="minorHAnsi" w:eastAsiaTheme="minorEastAsia" w:hAnsiTheme="minorHAnsi" w:cs="Times New Roman"/>
      <w:lang w:val="en-US"/>
    </w:rPr>
  </w:style>
  <w:style w:type="character" w:customStyle="1" w:styleId="UnresolvedMention">
    <w:name w:val="Unresolved Mention"/>
    <w:basedOn w:val="DefaultParagraphFont"/>
    <w:uiPriority w:val="99"/>
    <w:semiHidden/>
    <w:unhideWhenUsed/>
    <w:rsid w:val="008C13A0"/>
    <w:rPr>
      <w:color w:val="605E5C"/>
      <w:shd w:val="clear" w:color="auto" w:fill="E1DFDD"/>
    </w:rPr>
  </w:style>
  <w:style w:type="paragraph" w:styleId="ListBullet">
    <w:name w:val="List Bullet"/>
    <w:basedOn w:val="Normal"/>
    <w:uiPriority w:val="1"/>
    <w:qFormat/>
    <w:rsid w:val="00312D42"/>
    <w:pPr>
      <w:numPr>
        <w:numId w:val="28"/>
      </w:numPr>
      <w:tabs>
        <w:tab w:val="left" w:pos="170"/>
      </w:tabs>
      <w:spacing w:before="60" w:after="120" w:line="280" w:lineRule="atLeast"/>
    </w:pPr>
    <w:rPr>
      <w:rFonts w:eastAsia="Times New Roman" w:cs="Times New Roman"/>
      <w:spacing w:val="4"/>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42282">
      <w:bodyDiv w:val="1"/>
      <w:marLeft w:val="0"/>
      <w:marRight w:val="0"/>
      <w:marTop w:val="0"/>
      <w:marBottom w:val="0"/>
      <w:divBdr>
        <w:top w:val="none" w:sz="0" w:space="0" w:color="auto"/>
        <w:left w:val="none" w:sz="0" w:space="0" w:color="auto"/>
        <w:bottom w:val="none" w:sz="0" w:space="0" w:color="auto"/>
        <w:right w:val="none" w:sz="0" w:space="0" w:color="auto"/>
      </w:divBdr>
    </w:div>
    <w:div w:id="1499232018">
      <w:bodyDiv w:val="1"/>
      <w:marLeft w:val="0"/>
      <w:marRight w:val="0"/>
      <w:marTop w:val="0"/>
      <w:marBottom w:val="0"/>
      <w:divBdr>
        <w:top w:val="none" w:sz="0" w:space="0" w:color="auto"/>
        <w:left w:val="none" w:sz="0" w:space="0" w:color="auto"/>
        <w:bottom w:val="none" w:sz="0" w:space="0" w:color="auto"/>
        <w:right w:val="none" w:sz="0" w:space="0" w:color="auto"/>
      </w:divBdr>
    </w:div>
    <w:div w:id="1657495194">
      <w:bodyDiv w:val="1"/>
      <w:marLeft w:val="0"/>
      <w:marRight w:val="0"/>
      <w:marTop w:val="0"/>
      <w:marBottom w:val="0"/>
      <w:divBdr>
        <w:top w:val="none" w:sz="0" w:space="0" w:color="auto"/>
        <w:left w:val="none" w:sz="0" w:space="0" w:color="auto"/>
        <w:bottom w:val="none" w:sz="0" w:space="0" w:color="auto"/>
        <w:right w:val="none" w:sz="0" w:space="0" w:color="auto"/>
      </w:divBdr>
    </w:div>
    <w:div w:id="2005085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isabilitygateway.gov.au/document/3141" TargetMode="External"/><Relationship Id="rId18" Type="http://schemas.openxmlformats.org/officeDocument/2006/relationships/hyperlink" Target="http://www.qld.gov.au/qld-disability-pla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discommission.gov.au/evidencematters" TargetMode="External"/><Relationship Id="rId7" Type="http://schemas.openxmlformats.org/officeDocument/2006/relationships/footnotes" Target="footnotes.xml"/><Relationship Id="rId12" Type="http://schemas.openxmlformats.org/officeDocument/2006/relationships/hyperlink" Target="https://www.disabilitygateway.gov.au/document/3151" TargetMode="External"/><Relationship Id="rId17" Type="http://schemas.openxmlformats.org/officeDocument/2006/relationships/hyperlink" Target="http://www.disabilitygateway.gov.au/ad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isabilitygateway.gov.au/document/3181" TargetMode="External"/><Relationship Id="rId20" Type="http://schemas.openxmlformats.org/officeDocument/2006/relationships/hyperlink" Target="https://www.ndiscommission.gov.au/participants/incidents-and-behaviour-support/understanding-behaviour-support-and-restrictive-practi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disabilitygateway.gov.au/document/3176" TargetMode="External"/><Relationship Id="rId23" Type="http://schemas.openxmlformats.org/officeDocument/2006/relationships/hyperlink" Target="https://www.ndiscommission.gov.au/workerresources" TargetMode="External"/><Relationship Id="rId10" Type="http://schemas.openxmlformats.org/officeDocument/2006/relationships/hyperlink" Target="mailto:communication@dss.gov.au" TargetMode="External"/><Relationship Id="rId19" Type="http://schemas.openxmlformats.org/officeDocument/2006/relationships/hyperlink" Target="https://www.disabilitygateway.gov.au/ads-queensland-forum" TargetMode="External"/><Relationship Id="rId4" Type="http://schemas.microsoft.com/office/2007/relationships/stylesWithEffects" Target="stylesWithEffects.xml"/><Relationship Id="rId9" Type="http://schemas.openxmlformats.org/officeDocument/2006/relationships/hyperlink" Target="https://creativecommons.org/licenses/by/4.0/legalcode" TargetMode="External"/><Relationship Id="rId14" Type="http://schemas.openxmlformats.org/officeDocument/2006/relationships/hyperlink" Target="https://www.disabilitygateway.gov.au/document/3146" TargetMode="External"/><Relationship Id="rId22" Type="http://schemas.openxmlformats.org/officeDocument/2006/relationships/hyperlink" Target="https://www.ndiscommission.gov.au/medicinesfor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6B44-9526-49A9-A091-99E20C6E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7858</Words>
  <Characters>44792</Characters>
  <Application>Microsoft Office Word</Application>
  <DocSecurity>0</DocSecurity>
  <Lines>373</Lines>
  <Paragraphs>105</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Targeted Action Plans Report</vt:lpstr>
      <vt:lpstr>Índice</vt:lpstr>
      <vt:lpstr>Introducción</vt:lpstr>
      <vt:lpstr>Progreso Nacional</vt:lpstr>
      <vt:lpstr>Plan de Acción Específica de Empleo</vt:lpstr>
      <vt:lpstr>    Introducción</vt:lpstr>
      <vt:lpstr>    Objetivos</vt:lpstr>
      <vt:lpstr>Plan de Acción Específica de Actitudes en la Comunidad</vt:lpstr>
      <vt:lpstr>    Introducción </vt:lpstr>
      <vt:lpstr>    Objetivos </vt:lpstr>
      <vt:lpstr>Plan de Acción Específica de la Primera Infancia</vt:lpstr>
      <vt:lpstr>    Introducción</vt:lpstr>
      <vt:lpstr>    Objetivos: </vt:lpstr>
      <vt:lpstr>Plan de Acción Específica de Seguridad</vt:lpstr>
      <vt:lpstr>    Introducción</vt:lpstr>
      <vt:lpstr>    Objetivos </vt:lpstr>
      <vt:lpstr>Plan de Acción Específica de Gestión de Emergencias</vt:lpstr>
      <vt:lpstr>    Introducción </vt:lpstr>
      <vt:lpstr>    Objetivos </vt:lpstr>
      <vt:lpstr>Acciones en la práctica</vt:lpstr>
      <vt:lpstr>    Empleados con discapacidad en el sector público de Queensland </vt:lpstr>
      <vt:lpstr>    Pilotos de Empleo</vt:lpstr>
      <vt:lpstr>    Comisionado para la Discapacidad de Tasmania</vt:lpstr>
      <vt:lpstr>    Taller de crianza para el desarrollo diferente</vt:lpstr>
      <vt:lpstr>    Programa de Centros para Niños y Familias Aborígenes (Aboriginal Child and Famil</vt:lpstr>
      <vt:lpstr>    Apoyo al comportamiento y reducción y eliminación de prácticas restrictivas</vt:lpstr>
      <vt:lpstr>    Las reuniones de Gestión de Emergencias deben incluir a los proveedores de servi</vt:lpstr>
      <vt:lpstr>    Iniciativa de Respuesta a Crisis de Violencia Familiar en Personas con Discapaci</vt:lpstr>
      <vt:lpstr>    Alojamiento en y apoyo para refugios accesibles</vt:lpstr>
      <vt:lpstr>    Programa de intermediarios del ACT</vt:lpstr>
      <vt:lpstr>    Programa de Reducción del Riesgo de Desastres inclusivo para Personas con Discap</vt:lpstr>
      <vt:lpstr>    Reseña del progreso desde el 3 de diciembre de 2021</vt:lpstr>
    </vt:vector>
  </TitlesOfParts>
  <LinksUpToDate>false</LinksUpToDate>
  <CharactersWithSpaces>52545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Action Plans Report</dc:title>
  <dc:creator/>
  <cp:keywords>[SEC=OFFICIAL]</cp:keywords>
  <cp:lastModifiedBy/>
  <cp:revision>1</cp:revision>
  <dcterms:created xsi:type="dcterms:W3CDTF">2023-12-12T14:54:00Z</dcterms:created>
  <dcterms:modified xsi:type="dcterms:W3CDTF">2024-01-24T04:25:00Z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3AE018AB9AF04EDFAC3D15F3603433A5</vt:lpwstr>
  </property>
  <property fmtid="{D5CDD505-2E9C-101B-9397-08002B2CF9AE}" pid="9" name="PM_ProtectiveMarkingValue_Footer">
    <vt:lpwstr>OFFICIAL</vt:lpwstr>
  </property>
  <property fmtid="{D5CDD505-2E9C-101B-9397-08002B2CF9AE}" pid="10" name="PM_Originator_Hash_SHA1">
    <vt:lpwstr>3D6A70663B995E112FA10EB758BC7826B794B2F6</vt:lpwstr>
  </property>
  <property fmtid="{D5CDD505-2E9C-101B-9397-08002B2CF9AE}" pid="11" name="PM_OriginationTimeStamp">
    <vt:lpwstr>2023-12-04T00:37:39Z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7F6E5EE1BC124F48BBCF1A942EADD8AD</vt:lpwstr>
  </property>
  <property fmtid="{D5CDD505-2E9C-101B-9397-08002B2CF9AE}" pid="21" name="PM_Hash_Salt">
    <vt:lpwstr>3A6AADB3BAFE09882B620019B596C4E7</vt:lpwstr>
  </property>
  <property fmtid="{D5CDD505-2E9C-101B-9397-08002B2CF9AE}" pid="22" name="PM_Hash_SHA1">
    <vt:lpwstr>A039EDBC150C79AF0EE819C32E79A88DEBB1694A</vt:lpwstr>
  </property>
  <property fmtid="{D5CDD505-2E9C-101B-9397-08002B2CF9AE}" pid="23" name="PM_OriginatorUserAccountName_SHA256">
    <vt:lpwstr>8EE86B613208A33EEED0E36541754CC1EB30BAB198DFCAC781FD2CA564C73944</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ies>
</file>