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852D" w14:textId="77777777" w:rsidR="00D76AB0" w:rsidRPr="0024338D" w:rsidRDefault="00DB177E" w:rsidP="003767A8">
      <w:pPr>
        <w:tabs>
          <w:tab w:val="left" w:pos="2694"/>
        </w:tabs>
        <w:kinsoku w:val="0"/>
        <w:overflowPunct w:val="0"/>
        <w:autoSpaceDE w:val="0"/>
        <w:autoSpaceDN w:val="0"/>
        <w:adjustRightInd w:val="0"/>
        <w:spacing w:after="640" w:line="240" w:lineRule="auto"/>
        <w:rPr>
          <w:rFonts w:ascii="Times New Roman" w:hAnsi="Times New Roman" w:cs="Times New Roman"/>
          <w:position w:val="30"/>
          <w:sz w:val="20"/>
          <w:szCs w:val="20"/>
          <w:lang w:val="it-IT"/>
        </w:rPr>
      </w:pPr>
      <w:bookmarkStart w:id="0" w:name="Primary_brandmark"/>
      <w:bookmarkStart w:id="1" w:name="_bookmark0"/>
      <w:bookmarkEnd w:id="0"/>
      <w:bookmarkEnd w:id="1"/>
      <w:r w:rsidRPr="00AC15DB">
        <w:rPr>
          <w:rFonts w:ascii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199793C" wp14:editId="37CCCC43">
            <wp:extent cx="1492250" cy="12065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2061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38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4338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AC15DB">
        <w:rPr>
          <w:rFonts w:ascii="Times New Roman" w:hAnsi="Times New Roman" w:cs="Times New Roman"/>
          <w:noProof/>
          <w:position w:val="30"/>
          <w:sz w:val="20"/>
          <w:szCs w:val="20"/>
          <w:lang w:eastAsia="en-AU"/>
        </w:rPr>
        <w:drawing>
          <wp:inline distT="0" distB="0" distL="0" distR="0" wp14:anchorId="46C4FB89" wp14:editId="0DF27E68">
            <wp:extent cx="812800" cy="609600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595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16E5" w14:textId="77777777" w:rsidR="007B0256" w:rsidRPr="0024338D" w:rsidRDefault="00DB177E" w:rsidP="00BF3141">
      <w:pPr>
        <w:pStyle w:val="Title"/>
        <w:outlineLvl w:val="0"/>
        <w:rPr>
          <w:lang w:val="it-IT"/>
        </w:rPr>
      </w:pPr>
      <w:bookmarkStart w:id="2" w:name="_Toc256000000"/>
      <w:r>
        <w:rPr>
          <w:lang w:val="it"/>
        </w:rPr>
        <w:t>Relazione sui piani d'azione mirati</w:t>
      </w:r>
      <w:bookmarkEnd w:id="2"/>
    </w:p>
    <w:p w14:paraId="77D5194B" w14:textId="77777777" w:rsidR="003767A8" w:rsidRPr="0024338D" w:rsidRDefault="00DB177E" w:rsidP="003767A8">
      <w:pPr>
        <w:rPr>
          <w:sz w:val="36"/>
          <w:szCs w:val="36"/>
          <w:lang w:val="it-IT"/>
        </w:rPr>
      </w:pPr>
      <w:r w:rsidRPr="00F92B5C">
        <w:rPr>
          <w:sz w:val="36"/>
          <w:szCs w:val="36"/>
          <w:lang w:val="it"/>
        </w:rPr>
        <w:t>dal 1º luglio 2023 al 30 giugno 2024</w:t>
      </w:r>
    </w:p>
    <w:p w14:paraId="453844BD" w14:textId="77777777" w:rsidR="000E513F" w:rsidRPr="0024338D" w:rsidRDefault="00DB177E" w:rsidP="003767A8">
      <w:pPr>
        <w:rPr>
          <w:sz w:val="28"/>
          <w:szCs w:val="28"/>
          <w:lang w:val="it-IT"/>
        </w:rPr>
      </w:pPr>
      <w:r w:rsidRPr="000E513F">
        <w:rPr>
          <w:sz w:val="28"/>
          <w:szCs w:val="28"/>
          <w:lang w:val="it"/>
        </w:rPr>
        <w:t>Italian | italiano</w:t>
      </w:r>
    </w:p>
    <w:p w14:paraId="1AB1CF1E" w14:textId="6E5F9121" w:rsidR="00AC15DB" w:rsidRPr="0024338D" w:rsidRDefault="00DB177E" w:rsidP="003767A8">
      <w:pPr>
        <w:rPr>
          <w:sz w:val="36"/>
          <w:szCs w:val="36"/>
          <w:lang w:val="it"/>
        </w:rPr>
      </w:pPr>
      <w:r w:rsidRPr="00AC15DB">
        <w:rPr>
          <w:i/>
          <w:lang w:val="it"/>
        </w:rPr>
        <w:t xml:space="preserve">Strategia australiana </w:t>
      </w:r>
      <w:r w:rsidR="00370A78">
        <w:rPr>
          <w:i/>
          <w:lang w:val="it"/>
        </w:rPr>
        <w:t>per l</w:t>
      </w:r>
      <w:r w:rsidRPr="00AC15DB">
        <w:rPr>
          <w:i/>
          <w:lang w:val="it"/>
        </w:rPr>
        <w:t>a disabilità 2021-2031</w:t>
      </w:r>
      <w:r w:rsidRPr="00AC15DB">
        <w:rPr>
          <w:i/>
          <w:lang w:val="it"/>
        </w:rPr>
        <w:br w:type="page"/>
      </w:r>
    </w:p>
    <w:p w14:paraId="32637E2D" w14:textId="77777777" w:rsidR="00A973A8" w:rsidRPr="0024338D" w:rsidRDefault="00DB177E" w:rsidP="00A973A8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A973A8">
        <w:rPr>
          <w:rFonts w:eastAsia="Times New Roman" w:cs="Arial"/>
          <w:color w:val="000000"/>
          <w:lang w:val="it" w:eastAsia="en-AU"/>
        </w:rPr>
        <w:lastRenderedPageBreak/>
        <w:t>© Commonwealth d’Australia (Ministero dei servizi sociali) 2024</w:t>
      </w:r>
    </w:p>
    <w:p w14:paraId="2DEC5ABE" w14:textId="77777777" w:rsidR="00A973A8" w:rsidRPr="0024338D" w:rsidRDefault="00DB177E" w:rsidP="00A973A8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A973A8">
        <w:rPr>
          <w:rFonts w:eastAsia="Times New Roman" w:cs="Arial"/>
          <w:color w:val="000000"/>
          <w:lang w:val="it" w:eastAsia="en-AU"/>
        </w:rPr>
        <w:t>Questo documento è concesso in licenza Creative Commons Attribution 4.0 International License (https://creativecommons.org/licenses/by/4.0), fatta eccezione per:</w:t>
      </w:r>
    </w:p>
    <w:p w14:paraId="5F61EF0F" w14:textId="77777777" w:rsidR="00A973A8" w:rsidRPr="00C20834" w:rsidRDefault="00DB177E" w:rsidP="001018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AU"/>
        </w:rPr>
      </w:pPr>
      <w:r w:rsidRPr="00C20834">
        <w:rPr>
          <w:rFonts w:eastAsia="Times New Roman" w:cs="Arial"/>
          <w:color w:val="000000"/>
          <w:lang w:val="it" w:eastAsia="en-AU"/>
        </w:rPr>
        <w:t>lo stemma del Commonwealth;</w:t>
      </w:r>
    </w:p>
    <w:p w14:paraId="4B1CE997" w14:textId="77777777" w:rsidR="00A973A8" w:rsidRPr="0024338D" w:rsidRDefault="00DB177E" w:rsidP="001018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C20834">
        <w:rPr>
          <w:rFonts w:eastAsia="Times New Roman" w:cs="Arial"/>
          <w:color w:val="000000"/>
          <w:lang w:val="it" w:eastAsia="en-AU"/>
        </w:rPr>
        <w:t>qualsiasi immagine e fotografia, a meno che non sia contrassegnata con CC BY;</w:t>
      </w:r>
    </w:p>
    <w:p w14:paraId="2F3A2936" w14:textId="77777777" w:rsidR="00A973A8" w:rsidRPr="0024338D" w:rsidRDefault="00DB177E" w:rsidP="001018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C20834">
        <w:rPr>
          <w:rFonts w:eastAsia="Times New Roman" w:cs="Arial"/>
          <w:color w:val="000000"/>
          <w:lang w:val="it" w:eastAsia="en-AU"/>
        </w:rPr>
        <w:t>eventuali nomi, simboli e marchi registrati protetti;</w:t>
      </w:r>
    </w:p>
    <w:p w14:paraId="654BD0E9" w14:textId="77777777" w:rsidR="00A973A8" w:rsidRPr="0024338D" w:rsidRDefault="00DB177E" w:rsidP="001018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C20834">
        <w:rPr>
          <w:rFonts w:eastAsia="Times New Roman" w:cs="Arial"/>
          <w:color w:val="000000"/>
          <w:lang w:val="it" w:eastAsia="en-AU"/>
        </w:rPr>
        <w:t xml:space="preserve">contenuti identificati come forniti da terze parti. </w:t>
      </w:r>
    </w:p>
    <w:p w14:paraId="289A61BF" w14:textId="77777777" w:rsidR="00A973A8" w:rsidRPr="0024338D" w:rsidRDefault="00DB177E" w:rsidP="00A973A8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A973A8">
        <w:rPr>
          <w:rFonts w:eastAsia="Times New Roman" w:cs="Arial"/>
          <w:color w:val="000000"/>
          <w:lang w:val="it" w:eastAsia="en-AU"/>
        </w:rPr>
        <w:t>Si prega di indicare come autore il Ministero utilizzando la seguente dicitura:</w:t>
      </w:r>
    </w:p>
    <w:p w14:paraId="45A4B3D4" w14:textId="001491EB" w:rsidR="00A973A8" w:rsidRPr="0024338D" w:rsidRDefault="00DB177E" w:rsidP="00A973A8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A973A8">
        <w:rPr>
          <w:rFonts w:eastAsia="Times New Roman" w:cs="Arial"/>
          <w:color w:val="000000"/>
          <w:lang w:val="it" w:eastAsia="en-AU"/>
        </w:rPr>
        <w:t xml:space="preserve">Commonwealth d’Australia (Ministero dei servizi sociali) 2024 </w:t>
      </w:r>
      <w:r w:rsidR="00370A78">
        <w:rPr>
          <w:rFonts w:eastAsia="Times New Roman" w:cs="Arial"/>
          <w:color w:val="000000"/>
          <w:lang w:val="it" w:eastAsia="en-AU"/>
        </w:rPr>
        <w:br/>
      </w:r>
      <w:r w:rsidR="00370A78">
        <w:rPr>
          <w:rFonts w:eastAsia="Times New Roman" w:cs="Arial"/>
          <w:color w:val="000000"/>
          <w:lang w:val="it" w:eastAsia="en-AU"/>
        </w:rPr>
        <w:br/>
      </w:r>
      <w:r w:rsidRPr="00A973A8">
        <w:rPr>
          <w:rFonts w:eastAsia="Times New Roman" w:cs="Arial"/>
          <w:color w:val="000000"/>
          <w:lang w:val="it" w:eastAsia="en-AU"/>
        </w:rPr>
        <w:t xml:space="preserve">Per eventuali domande sui diritti d’autore, scrivere all’indirizzo </w:t>
      </w:r>
      <w:r w:rsidR="00370A78">
        <w:rPr>
          <w:rFonts w:eastAsia="Times New Roman" w:cs="Arial"/>
          <w:color w:val="000000"/>
          <w:lang w:val="it" w:eastAsia="en-AU"/>
        </w:rPr>
        <w:t>c</w:t>
      </w:r>
      <w:r w:rsidRPr="00A973A8">
        <w:rPr>
          <w:rFonts w:eastAsia="Times New Roman" w:cs="Arial"/>
          <w:color w:val="000000"/>
          <w:lang w:val="it" w:eastAsia="en-AU"/>
        </w:rPr>
        <w:t>opyright@dss.gov.au o chiamare il numero 1300 653 227.</w:t>
      </w:r>
    </w:p>
    <w:p w14:paraId="5A93A4E1" w14:textId="77777777" w:rsidR="00B072F3" w:rsidRPr="0024338D" w:rsidRDefault="00DB177E" w:rsidP="00BF3141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it-IT" w:eastAsia="en-AU"/>
        </w:rPr>
      </w:pPr>
      <w:r w:rsidRPr="00A973A8">
        <w:rPr>
          <w:rFonts w:eastAsia="Times New Roman" w:cs="Arial"/>
          <w:color w:val="000000"/>
          <w:lang w:val="it" w:eastAsia="en-AU"/>
        </w:rPr>
        <w:t>Tutti i link ai siti web forniti in questo documento sono corretti al momento della pubblicazione.</w:t>
      </w:r>
      <w:r w:rsidRPr="00A973A8">
        <w:rPr>
          <w:rFonts w:eastAsia="Times New Roman" w:cs="Arial"/>
          <w:color w:val="000000"/>
          <w:lang w:val="it" w:eastAsia="en-AU"/>
        </w:rPr>
        <w:br w:type="page"/>
      </w:r>
    </w:p>
    <w:p w14:paraId="6D2935E9" w14:textId="77777777" w:rsidR="00D76AB0" w:rsidRDefault="00DB177E" w:rsidP="00BF3141">
      <w:pPr>
        <w:pStyle w:val="Title"/>
        <w:outlineLvl w:val="0"/>
      </w:pPr>
      <w:bookmarkStart w:id="3" w:name="_Toc256000001"/>
      <w:r>
        <w:rPr>
          <w:lang w:val="it"/>
        </w:rPr>
        <w:lastRenderedPageBreak/>
        <w:t>Indice</w:t>
      </w:r>
      <w:bookmarkEnd w:id="3"/>
      <w:r>
        <w:rPr>
          <w:lang w:val="it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  <w:lang w:bidi="ar-SA"/>
        </w:rPr>
        <w:id w:val="4454345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1437E3E" w14:textId="63649B67" w:rsidR="00D667A0" w:rsidRPr="00721917" w:rsidRDefault="00DB177E" w:rsidP="00721917">
          <w:pPr>
            <w:pStyle w:val="TOCHeading"/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</w:p>
        <w:p w14:paraId="4E81EEF7" w14:textId="123AB12B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2" w:history="1">
            <w:r w:rsidRPr="00735DBB">
              <w:rPr>
                <w:rStyle w:val="Hyperlink"/>
                <w:noProof/>
                <w:lang w:val="it"/>
              </w:rPr>
              <w:t>Introduzione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69B9689F" w14:textId="5506CF1A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3" w:history="1">
            <w:r w:rsidRPr="006C4375">
              <w:rPr>
                <w:rStyle w:val="Hyperlink"/>
                <w:noProof/>
                <w:lang w:val="it"/>
              </w:rPr>
              <w:t>La relazione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08EF9560" w14:textId="28B814EA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4" w:history="1">
            <w:r w:rsidRPr="00F877A4">
              <w:rPr>
                <w:rStyle w:val="Hyperlink"/>
                <w:noProof/>
                <w:lang w:val="it"/>
              </w:rPr>
              <w:t>Progresso a livello nazionale dei piani d’azione mirati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6A422FC8" w14:textId="619D6F06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5" w:history="1">
            <w:r w:rsidRPr="00F877A4">
              <w:rPr>
                <w:rStyle w:val="Hyperlink"/>
                <w:noProof/>
                <w:lang w:val="it"/>
              </w:rPr>
              <w:t>Piano d'azione mirato per l'occupazione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082FF66F" w14:textId="2CECF807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6" w:history="1">
            <w:r w:rsidRPr="00F877A4">
              <w:rPr>
                <w:rStyle w:val="Hyperlink"/>
                <w:noProof/>
                <w:lang w:val="it"/>
              </w:rPr>
              <w:t>Piano d'azione mirato per l'atteggiamento della comunità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14:paraId="2EC8FBE1" w14:textId="409B0577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08" w:history="1">
            <w:r w:rsidRPr="00F877A4">
              <w:rPr>
                <w:rStyle w:val="Hyperlink"/>
                <w:noProof/>
                <w:lang w:val="it"/>
              </w:rPr>
              <w:t>Piano d'azione mirato per la prima infanzia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4622E5C6" w14:textId="67A0265A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0" w:history="1">
            <w:r w:rsidRPr="00F877A4">
              <w:rPr>
                <w:rStyle w:val="Hyperlink"/>
                <w:noProof/>
                <w:lang w:val="it"/>
              </w:rPr>
              <w:t>Piano d'azione mirato per la sicurezza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164D4457" w14:textId="5142166C" w:rsidR="00D667A0" w:rsidRDefault="00D667A0" w:rsidP="00E6039B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2" w:history="1">
            <w:r w:rsidRPr="00F877A4">
              <w:rPr>
                <w:rStyle w:val="Hyperlink"/>
                <w:noProof/>
                <w:lang w:val="it"/>
              </w:rPr>
              <w:t>Piano d'azione mirato per la gestione delle emergenze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14:paraId="2D436FE2" w14:textId="444FBE5E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4" w:history="1">
            <w:r w:rsidRPr="00F877A4">
              <w:rPr>
                <w:rStyle w:val="Hyperlink"/>
                <w:noProof/>
                <w:lang w:val="it"/>
              </w:rPr>
              <w:t>Risultati generali e revisione dal 3 dicembre 2021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14:paraId="0F280660" w14:textId="390CA8ED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5" w:history="1">
            <w:r w:rsidRPr="0029611C">
              <w:rPr>
                <w:rStyle w:val="Hyperlink"/>
                <w:noProof/>
                <w:lang w:val="it"/>
              </w:rPr>
              <w:t>Panoramica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14:paraId="0D89391D" w14:textId="2294505D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6" w:history="1">
            <w:r w:rsidRPr="0029611C">
              <w:rPr>
                <w:rStyle w:val="Hyperlink"/>
                <w:noProof/>
                <w:lang w:val="it"/>
              </w:rPr>
              <w:t>Stato finale di tutte le azioni dal 3 dicembre 2021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hyperlink>
        </w:p>
        <w:p w14:paraId="6460D5C4" w14:textId="41613602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7" w:history="1">
            <w:r w:rsidRPr="0029611C">
              <w:rPr>
                <w:rStyle w:val="Hyperlink"/>
                <w:noProof/>
                <w:lang w:val="it"/>
              </w:rPr>
              <w:t>Revisione dei TAP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14:paraId="71F59DF0" w14:textId="447A1A79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8" w:history="1">
            <w:r w:rsidRPr="003137E7">
              <w:rPr>
                <w:rStyle w:val="Hyperlink"/>
                <w:noProof/>
                <w:lang w:val="it"/>
              </w:rPr>
              <w:t>Riscontro delle parti interessate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14:paraId="76B8E2F1" w14:textId="5BF31179" w:rsidR="00D667A0" w:rsidRDefault="00D667A0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19" w:history="1">
            <w:r w:rsidRPr="0029611C">
              <w:rPr>
                <w:rStyle w:val="Hyperlink"/>
                <w:noProof/>
                <w:lang w:val="it"/>
              </w:rPr>
              <w:t>Panoramica dei TAP federali, statali e territoriali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_Toc256000019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hyperlink>
        </w:p>
        <w:p w14:paraId="2DE720FA" w14:textId="6416A024" w:rsidR="00D667A0" w:rsidRDefault="00D667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</w:rPr>
          </w:pPr>
          <w:hyperlink w:anchor="_Toc256000020" w:history="1">
            <w:r w:rsidRPr="0029611C">
              <w:rPr>
                <w:rStyle w:val="Hyperlink"/>
                <w:noProof/>
                <w:lang w:val="it"/>
              </w:rPr>
              <w:t>I prossimi piani d’azione mirati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_Toc256000020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244C0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hyperlink>
        </w:p>
        <w:p w14:paraId="16E8E02E" w14:textId="63649B67" w:rsidR="006815A0" w:rsidRDefault="00DB177E" w:rsidP="006815A0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EECF184" w14:textId="77777777" w:rsidR="00D76AB0" w:rsidRDefault="00DB177E" w:rsidP="006815A0">
      <w:r>
        <w:br w:type="page"/>
      </w:r>
    </w:p>
    <w:p w14:paraId="62FA469E" w14:textId="77777777" w:rsidR="00D76AB0" w:rsidRPr="0024338D" w:rsidRDefault="00DB177E" w:rsidP="00F877A4">
      <w:pPr>
        <w:pStyle w:val="Heading1"/>
        <w:pBdr>
          <w:bottom w:val="single" w:sz="4" w:space="1" w:color="auto"/>
        </w:pBdr>
        <w:rPr>
          <w:sz w:val="40"/>
          <w:szCs w:val="40"/>
          <w:lang w:val="it-IT"/>
        </w:rPr>
      </w:pPr>
      <w:bookmarkStart w:id="4" w:name="_Toc256000002"/>
      <w:r w:rsidRPr="00735DBB">
        <w:rPr>
          <w:sz w:val="40"/>
          <w:szCs w:val="40"/>
          <w:lang w:val="it"/>
        </w:rPr>
        <w:lastRenderedPageBreak/>
        <w:t>Introduzione</w:t>
      </w:r>
      <w:bookmarkEnd w:id="4"/>
      <w:r w:rsidRPr="00735DBB">
        <w:rPr>
          <w:sz w:val="40"/>
          <w:szCs w:val="40"/>
          <w:lang w:val="it"/>
        </w:rPr>
        <w:t xml:space="preserve"> </w:t>
      </w:r>
    </w:p>
    <w:p w14:paraId="36740A5E" w14:textId="302E93BA" w:rsidR="000D780B" w:rsidRPr="0024338D" w:rsidRDefault="00DB177E" w:rsidP="000D780B">
      <w:pPr>
        <w:spacing w:before="120" w:after="120" w:line="240" w:lineRule="auto"/>
        <w:rPr>
          <w:rFonts w:cs="Arial"/>
          <w:lang w:val="it-IT"/>
        </w:rPr>
      </w:pPr>
      <w:bookmarkStart w:id="5" w:name="_Hlk167374840"/>
      <w:r w:rsidRPr="00A130DB">
        <w:rPr>
          <w:rFonts w:cs="Arial"/>
          <w:lang w:val="it"/>
        </w:rPr>
        <w:t>Questa relazione descrive lo stato finale delle azioni nell’ambito di ciascun piano d’azione mirato (Targeted Action Plan, TAP) durante il periodo di riferimento, unitamente a</w:t>
      </w:r>
      <w:r w:rsidR="00370A78">
        <w:rPr>
          <w:rFonts w:cs="Arial"/>
          <w:lang w:val="it"/>
        </w:rPr>
        <w:t>d</w:t>
      </w:r>
      <w:r w:rsidRPr="00A130DB">
        <w:rPr>
          <w:rFonts w:cs="Arial"/>
          <w:lang w:val="it"/>
        </w:rPr>
        <w:t xml:space="preserve"> una panoramica di tutte le azioni dal 3 dicembre 2021.  </w:t>
      </w:r>
    </w:p>
    <w:p w14:paraId="1CBE925D" w14:textId="77777777" w:rsidR="006C4375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735DBB">
        <w:rPr>
          <w:rFonts w:cs="Arial"/>
          <w:lang w:val="it"/>
        </w:rPr>
        <w:t>È la terza e ultima relazione per questa serie di TAP e tratta di:</w:t>
      </w:r>
    </w:p>
    <w:p w14:paraId="5601C7EF" w14:textId="77777777" w:rsidR="006C4375" w:rsidRPr="006C4375" w:rsidRDefault="006C4375" w:rsidP="00735DB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Arial"/>
        </w:rPr>
      </w:pPr>
      <w:hyperlink r:id="rId10" w:history="1">
        <w:r w:rsidRPr="006C4375">
          <w:rPr>
            <w:rStyle w:val="Hyperlink"/>
            <w:rFonts w:cs="Arial"/>
            <w:color w:val="auto"/>
            <w:lang w:val="it"/>
          </w:rPr>
          <w:t xml:space="preserve">Occupazione </w:t>
        </w:r>
      </w:hyperlink>
    </w:p>
    <w:p w14:paraId="1D6006F9" w14:textId="77777777" w:rsidR="006C4375" w:rsidRPr="006C4375" w:rsidRDefault="006C4375" w:rsidP="00735DB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Arial"/>
        </w:rPr>
      </w:pPr>
      <w:hyperlink r:id="rId11" w:history="1">
        <w:r w:rsidRPr="006C4375">
          <w:rPr>
            <w:rStyle w:val="Hyperlink"/>
            <w:rFonts w:cs="Arial"/>
            <w:color w:val="auto"/>
            <w:lang w:val="it"/>
          </w:rPr>
          <w:t xml:space="preserve">Atteggiamento della comunità </w:t>
        </w:r>
      </w:hyperlink>
    </w:p>
    <w:p w14:paraId="07F84E8F" w14:textId="77777777" w:rsidR="006C4375" w:rsidRPr="006C4375" w:rsidRDefault="006C4375" w:rsidP="00735DB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Arial"/>
        </w:rPr>
      </w:pPr>
      <w:hyperlink r:id="rId12" w:history="1">
        <w:r w:rsidRPr="006C4375">
          <w:rPr>
            <w:rStyle w:val="Hyperlink"/>
            <w:rFonts w:cs="Arial"/>
            <w:color w:val="auto"/>
            <w:lang w:val="it"/>
          </w:rPr>
          <w:t xml:space="preserve">Prima infanzia </w:t>
        </w:r>
      </w:hyperlink>
    </w:p>
    <w:p w14:paraId="5BEA7E18" w14:textId="77777777" w:rsidR="006C4375" w:rsidRPr="006C4375" w:rsidRDefault="006C4375" w:rsidP="00735DB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Arial"/>
        </w:rPr>
      </w:pPr>
      <w:hyperlink r:id="rId13" w:history="1">
        <w:r w:rsidRPr="006C4375">
          <w:rPr>
            <w:rStyle w:val="Hyperlink"/>
            <w:rFonts w:cs="Arial"/>
            <w:color w:val="auto"/>
            <w:lang w:val="it"/>
          </w:rPr>
          <w:t xml:space="preserve">Sicurezza </w:t>
        </w:r>
      </w:hyperlink>
    </w:p>
    <w:p w14:paraId="4DF436C2" w14:textId="77777777" w:rsidR="006C4375" w:rsidRPr="006C4375" w:rsidRDefault="006C4375" w:rsidP="00735DB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Arial"/>
        </w:rPr>
      </w:pPr>
      <w:hyperlink r:id="rId14" w:history="1">
        <w:r w:rsidRPr="006C4375">
          <w:rPr>
            <w:rStyle w:val="Hyperlink"/>
            <w:rFonts w:cs="Arial"/>
            <w:color w:val="auto"/>
            <w:lang w:val="it"/>
          </w:rPr>
          <w:t xml:space="preserve">Gestione delle emergenze </w:t>
        </w:r>
      </w:hyperlink>
    </w:p>
    <w:p w14:paraId="2CE59ABA" w14:textId="77777777" w:rsidR="00B86ED6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735DBB">
        <w:rPr>
          <w:rFonts w:cs="Arial"/>
          <w:lang w:val="it"/>
        </w:rPr>
        <w:t xml:space="preserve">Questi TAP sono ora chiusi. </w:t>
      </w:r>
    </w:p>
    <w:p w14:paraId="7F6D9AC6" w14:textId="77777777" w:rsidR="00A711F7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735DBB">
        <w:rPr>
          <w:rFonts w:cs="Arial"/>
          <w:lang w:val="it"/>
        </w:rPr>
        <w:t>Una panoramica generale della prima serie di TAP è inclusa alla fine di questa relazione.</w:t>
      </w:r>
      <w:bookmarkEnd w:id="5"/>
    </w:p>
    <w:p w14:paraId="2AD78987" w14:textId="77777777" w:rsidR="00FC583B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735DBB">
        <w:rPr>
          <w:rFonts w:cs="Arial"/>
          <w:lang w:val="it"/>
        </w:rPr>
        <w:t>Sono stati sviluppati nuovi TAP, in linea con il riscontro ricevuto dalle persone con disabilità. Una descrizione è inclusa alla fine della relazione.</w:t>
      </w:r>
    </w:p>
    <w:p w14:paraId="29C3D397" w14:textId="77777777" w:rsidR="00A711F7" w:rsidRPr="0024338D" w:rsidRDefault="00DB177E" w:rsidP="00735DBB">
      <w:pPr>
        <w:pStyle w:val="Heading2"/>
        <w:rPr>
          <w:lang w:val="it-IT"/>
        </w:rPr>
      </w:pPr>
      <w:bookmarkStart w:id="6" w:name="_Toc256000003"/>
      <w:bookmarkStart w:id="7" w:name="_Hlk167374916"/>
      <w:r w:rsidRPr="006C4375">
        <w:rPr>
          <w:lang w:val="it"/>
        </w:rPr>
        <w:t>La relazione</w:t>
      </w:r>
      <w:bookmarkEnd w:id="6"/>
    </w:p>
    <w:p w14:paraId="58990FA3" w14:textId="77777777" w:rsidR="00A711F7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6C4375">
        <w:rPr>
          <w:rFonts w:cs="Arial"/>
          <w:lang w:val="it"/>
        </w:rPr>
        <w:t xml:space="preserve">La relazione include gli aggiornamenti provenienti dal governo federale e dai governi statali e territoriali, nonché lo stato finale delle azioni. </w:t>
      </w:r>
    </w:p>
    <w:p w14:paraId="02F9BA82" w14:textId="77777777" w:rsidR="00A711F7" w:rsidRPr="0024338D" w:rsidRDefault="00DB177E" w:rsidP="00735DBB">
      <w:pPr>
        <w:spacing w:before="120" w:after="120" w:line="240" w:lineRule="auto"/>
        <w:rPr>
          <w:rFonts w:cs="Arial"/>
          <w:lang w:val="it-IT"/>
        </w:rPr>
      </w:pPr>
      <w:r w:rsidRPr="006C4375">
        <w:rPr>
          <w:rFonts w:cs="Arial"/>
          <w:lang w:val="it"/>
        </w:rPr>
        <w:t>La terza relazione sui TAP è costituita da due documenti:</w:t>
      </w:r>
    </w:p>
    <w:p w14:paraId="4174BBFB" w14:textId="77777777" w:rsidR="00997AB4" w:rsidRPr="006C4375" w:rsidRDefault="00DB177E" w:rsidP="00735DBB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cs="Arial"/>
        </w:rPr>
      </w:pPr>
      <w:r w:rsidRPr="006C4375">
        <w:rPr>
          <w:rFonts w:cs="Arial"/>
          <w:u w:val="single"/>
          <w:lang w:val="it"/>
        </w:rPr>
        <w:t>La relazione</w:t>
      </w:r>
      <w:r w:rsidRPr="006C4375">
        <w:rPr>
          <w:rFonts w:cs="Arial"/>
          <w:lang w:val="it"/>
        </w:rPr>
        <w:t>:</w:t>
      </w:r>
    </w:p>
    <w:p w14:paraId="365C7337" w14:textId="77777777" w:rsidR="00997AB4" w:rsidRPr="0024338D" w:rsidRDefault="00DB177E" w:rsidP="00735DB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rPr>
          <w:rFonts w:cs="Arial"/>
          <w:color w:val="000000"/>
          <w:sz w:val="20"/>
          <w:szCs w:val="20"/>
          <w:lang w:val="it-IT"/>
        </w:rPr>
      </w:pPr>
      <w:r w:rsidRPr="006C4375">
        <w:rPr>
          <w:rFonts w:cs="Arial"/>
          <w:lang w:val="it"/>
        </w:rPr>
        <w:t xml:space="preserve">La relazione offre una panoramica dei progressi riguardanti tutte le azioni e include dati e grafici. </w:t>
      </w:r>
      <w:r w:rsidRPr="006C4375">
        <w:rPr>
          <w:rFonts w:cs="Arial"/>
          <w:color w:val="000000"/>
          <w:lang w:val="it"/>
        </w:rPr>
        <w:t>Essa riporta lo stato finale dal lancio dell’ADS (periodo da dicembre 2021 a giugno 2023),</w:t>
      </w:r>
      <w:r w:rsidRPr="006C4375">
        <w:rPr>
          <w:rFonts w:cs="Arial"/>
          <w:lang w:val="it"/>
        </w:rPr>
        <w:t xml:space="preserve"> il riscontro delle parti interessate e una panoramica di alcune delle azioni completate. </w:t>
      </w:r>
    </w:p>
    <w:p w14:paraId="13BCC619" w14:textId="77777777" w:rsidR="00997AB4" w:rsidRPr="006C4375" w:rsidRDefault="00DB177E" w:rsidP="00735DBB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cs="Arial"/>
        </w:rPr>
      </w:pPr>
      <w:r w:rsidRPr="006C4375">
        <w:rPr>
          <w:rFonts w:cs="Arial"/>
          <w:u w:val="single"/>
          <w:lang w:val="it"/>
        </w:rPr>
        <w:t>L’appendice</w:t>
      </w:r>
      <w:r w:rsidRPr="006C4375">
        <w:rPr>
          <w:rFonts w:cs="Arial"/>
          <w:lang w:val="it"/>
        </w:rPr>
        <w:t>:</w:t>
      </w:r>
    </w:p>
    <w:p w14:paraId="4C085AA3" w14:textId="77777777" w:rsidR="00D439A9" w:rsidRPr="0024338D" w:rsidRDefault="00DB177E" w:rsidP="00735DBB">
      <w:pPr>
        <w:pStyle w:val="ListParagraph"/>
        <w:numPr>
          <w:ilvl w:val="1"/>
          <w:numId w:val="2"/>
        </w:numPr>
        <w:spacing w:before="120" w:after="120" w:line="240" w:lineRule="auto"/>
        <w:ind w:left="567" w:hanging="283"/>
        <w:contextualSpacing w:val="0"/>
        <w:rPr>
          <w:rFonts w:cs="Arial"/>
          <w:lang w:val="it-IT"/>
        </w:rPr>
      </w:pPr>
      <w:r w:rsidRPr="006C4375">
        <w:rPr>
          <w:rFonts w:cs="Arial"/>
          <w:lang w:val="it"/>
        </w:rPr>
        <w:t xml:space="preserve">Fornisce aggiornamenti sull’avanzamento e sullo stato delle azioni dei TAP per il periodo di riferimento. </w:t>
      </w:r>
    </w:p>
    <w:p w14:paraId="778A09D6" w14:textId="77777777" w:rsidR="003C46E3" w:rsidRPr="0024338D" w:rsidRDefault="00DB177E" w:rsidP="00875178">
      <w:pPr>
        <w:pStyle w:val="ListParagraph"/>
        <w:spacing w:before="400" w:after="120" w:line="240" w:lineRule="auto"/>
        <w:ind w:left="0"/>
        <w:contextualSpacing w:val="0"/>
        <w:rPr>
          <w:rFonts w:cs="Arial"/>
          <w:lang w:val="it-IT"/>
        </w:rPr>
      </w:pPr>
      <w:r w:rsidRPr="006C4375">
        <w:rPr>
          <w:rFonts w:cs="Arial"/>
          <w:lang w:val="it"/>
        </w:rPr>
        <w:t>Le azioni rientrano in una delle seguenti categorie:</w:t>
      </w:r>
    </w:p>
    <w:p w14:paraId="05A842CB" w14:textId="77777777" w:rsidR="00A711F7" w:rsidRPr="0024338D" w:rsidRDefault="00DB177E" w:rsidP="00727168">
      <w:pPr>
        <w:pStyle w:val="ListParagraph"/>
        <w:numPr>
          <w:ilvl w:val="0"/>
          <w:numId w:val="36"/>
        </w:numPr>
        <w:spacing w:before="120" w:after="120" w:line="240" w:lineRule="auto"/>
        <w:ind w:left="284" w:hanging="284"/>
        <w:rPr>
          <w:rFonts w:cs="Arial"/>
          <w:lang w:val="it-IT"/>
        </w:rPr>
      </w:pPr>
      <w:r w:rsidRPr="00727168">
        <w:rPr>
          <w:rFonts w:cs="Arial"/>
          <w:b/>
          <w:bCs/>
          <w:lang w:val="it"/>
        </w:rPr>
        <w:t>Completata nel periodo</w:t>
      </w:r>
      <w:r w:rsidRPr="00727168">
        <w:rPr>
          <w:rFonts w:cs="Arial"/>
          <w:lang w:val="it"/>
        </w:rPr>
        <w:t xml:space="preserve">: l’azione è stata completata tra il 1° luglio 2023 e il 30 giugno 2024. </w:t>
      </w:r>
    </w:p>
    <w:p w14:paraId="23171687" w14:textId="77777777" w:rsidR="00A711F7" w:rsidRPr="0024338D" w:rsidRDefault="00DB177E" w:rsidP="00727168">
      <w:pPr>
        <w:pStyle w:val="ListParagraph"/>
        <w:numPr>
          <w:ilvl w:val="0"/>
          <w:numId w:val="36"/>
        </w:numPr>
        <w:spacing w:before="120" w:after="120" w:line="240" w:lineRule="auto"/>
        <w:ind w:left="284" w:hanging="284"/>
        <w:rPr>
          <w:rFonts w:cs="Arial"/>
          <w:lang w:val="it-IT"/>
        </w:rPr>
      </w:pPr>
      <w:r w:rsidRPr="00727168">
        <w:rPr>
          <w:rFonts w:cs="Arial"/>
          <w:b/>
          <w:bCs/>
          <w:lang w:val="it"/>
        </w:rPr>
        <w:t>In corso</w:t>
      </w:r>
      <w:r w:rsidRPr="00727168">
        <w:rPr>
          <w:rFonts w:cs="Arial"/>
          <w:lang w:val="it"/>
        </w:rPr>
        <w:t>: le attività dell’azione sono ancora in corso e saranno integrate nelle normali funzioni aziendali. La reportistica su queste attività rientrerà nei normali obblighi di rendicontazione annuale, come previsto dalle leggi del governo federale e dei governi statali/territoriali.</w:t>
      </w:r>
    </w:p>
    <w:p w14:paraId="47C7F609" w14:textId="77777777" w:rsidR="00A711F7" w:rsidRPr="0024338D" w:rsidRDefault="00DB177E" w:rsidP="00727168">
      <w:pPr>
        <w:pStyle w:val="ListParagraph"/>
        <w:numPr>
          <w:ilvl w:val="0"/>
          <w:numId w:val="36"/>
        </w:numPr>
        <w:spacing w:before="120" w:after="120" w:line="240" w:lineRule="auto"/>
        <w:ind w:left="284" w:hanging="284"/>
        <w:rPr>
          <w:rFonts w:cs="Arial"/>
          <w:lang w:val="it-IT"/>
        </w:rPr>
      </w:pPr>
      <w:r w:rsidRPr="00727168">
        <w:rPr>
          <w:rFonts w:cs="Arial"/>
          <w:b/>
          <w:bCs/>
          <w:lang w:val="it"/>
        </w:rPr>
        <w:t>Interrotta</w:t>
      </w:r>
      <w:r w:rsidRPr="00727168">
        <w:rPr>
          <w:rFonts w:cs="Arial"/>
          <w:lang w:val="it"/>
        </w:rPr>
        <w:t>: l’azione non è stata portata avanti. Le attività dell’azione sono state riviste o sostituite da altre azioni, oppure si è deciso di ritirare l’azione. L’aggiornamento sullo stato di avanzamento fornirà dettagli sul motivo per cui l’azione è stata interrotta.</w:t>
      </w:r>
    </w:p>
    <w:p w14:paraId="5D368B90" w14:textId="4BFE3868" w:rsidR="00A711F7" w:rsidRPr="0024338D" w:rsidRDefault="00DB177E" w:rsidP="00727168">
      <w:pPr>
        <w:pStyle w:val="ListParagraph"/>
        <w:numPr>
          <w:ilvl w:val="0"/>
          <w:numId w:val="36"/>
        </w:numPr>
        <w:spacing w:before="120" w:after="120" w:line="240" w:lineRule="auto"/>
        <w:ind w:left="284" w:hanging="284"/>
        <w:rPr>
          <w:rFonts w:cs="Arial"/>
          <w:lang w:val="it-IT"/>
        </w:rPr>
      </w:pPr>
      <w:r w:rsidRPr="00727168">
        <w:rPr>
          <w:rFonts w:cs="Arial"/>
          <w:b/>
          <w:bCs/>
          <w:lang w:val="it"/>
        </w:rPr>
        <w:t>Completata nel periodo precedente</w:t>
      </w:r>
      <w:r w:rsidRPr="00727168">
        <w:rPr>
          <w:rFonts w:cs="Arial"/>
          <w:lang w:val="it"/>
        </w:rPr>
        <w:t xml:space="preserve">: l’azione è stata completata nel 2021-2022 o </w:t>
      </w:r>
      <w:r w:rsidR="002517F9">
        <w:rPr>
          <w:rFonts w:cs="Arial"/>
          <w:lang w:val="it"/>
        </w:rPr>
        <w:br/>
      </w:r>
      <w:r w:rsidRPr="00727168">
        <w:rPr>
          <w:rFonts w:cs="Arial"/>
          <w:lang w:val="it"/>
        </w:rPr>
        <w:t xml:space="preserve">2022-2023.  </w:t>
      </w:r>
    </w:p>
    <w:p w14:paraId="1094FA6B" w14:textId="77777777" w:rsidR="00A711F7" w:rsidRPr="0024338D" w:rsidRDefault="00DB177E" w:rsidP="00735DBB">
      <w:pPr>
        <w:spacing w:before="120" w:after="120" w:line="240" w:lineRule="auto"/>
        <w:rPr>
          <w:rStyle w:val="Hyperlink"/>
          <w:rFonts w:cs="Arial"/>
          <w:color w:val="auto"/>
          <w:lang w:val="it-IT"/>
        </w:rPr>
      </w:pPr>
      <w:r w:rsidRPr="006C4375">
        <w:rPr>
          <w:rFonts w:cs="Arial"/>
          <w:lang w:val="it"/>
        </w:rPr>
        <w:t xml:space="preserve">Ulteriori informazioni sull’ADS, compresi i TAP, sono disponibili su </w:t>
      </w:r>
      <w:hyperlink r:id="rId15" w:history="1">
        <w:r w:rsidR="00A711F7" w:rsidRPr="006C4375">
          <w:rPr>
            <w:rStyle w:val="Hyperlink"/>
            <w:rFonts w:cs="Arial"/>
            <w:color w:val="auto"/>
            <w:lang w:val="it"/>
          </w:rPr>
          <w:t>www.disabilitygateway.gov.au/ads</w:t>
        </w:r>
      </w:hyperlink>
      <w:bookmarkEnd w:id="7"/>
      <w:r w:rsidRPr="006C4375">
        <w:rPr>
          <w:rFonts w:cs="Arial"/>
          <w:lang w:val="it"/>
        </w:rPr>
        <w:br w:type="page"/>
      </w:r>
    </w:p>
    <w:p w14:paraId="3E578BF3" w14:textId="77777777" w:rsidR="00DC7B30" w:rsidRPr="0024338D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8" w:name="_Toc256000004"/>
      <w:r w:rsidRPr="00F877A4">
        <w:rPr>
          <w:sz w:val="48"/>
          <w:szCs w:val="48"/>
          <w:lang w:val="it"/>
        </w:rPr>
        <w:lastRenderedPageBreak/>
        <w:t>Progresso a livello nazionale dei piani d’azione mirati</w:t>
      </w:r>
      <w:bookmarkEnd w:id="8"/>
    </w:p>
    <w:p w14:paraId="3FA0C225" w14:textId="72C6B8A2" w:rsidR="00D439A9" w:rsidRPr="0024338D" w:rsidRDefault="00DB177E" w:rsidP="00D439A9">
      <w:pPr>
        <w:spacing w:before="240" w:after="240" w:line="240" w:lineRule="auto"/>
        <w:rPr>
          <w:lang w:val="it-IT"/>
        </w:rPr>
      </w:pPr>
      <w:r>
        <w:rPr>
          <w:lang w:val="it"/>
        </w:rPr>
        <w:t xml:space="preserve">La presente relazione finale riguarda il periodo dal 1° luglio 2023 al 30 giugno 2024 </w:t>
      </w:r>
      <w:r w:rsidR="002517F9">
        <w:rPr>
          <w:lang w:val="it"/>
        </w:rPr>
        <w:br/>
      </w:r>
      <w:r>
        <w:rPr>
          <w:lang w:val="it"/>
        </w:rPr>
        <w:t>(il periodo di riferimento).</w:t>
      </w:r>
    </w:p>
    <w:p w14:paraId="1544C941" w14:textId="77777777" w:rsidR="00D439A9" w:rsidRPr="0024338D" w:rsidRDefault="00DB177E" w:rsidP="00D439A9">
      <w:pPr>
        <w:spacing w:before="240" w:after="240" w:line="240" w:lineRule="auto"/>
        <w:rPr>
          <w:lang w:val="it-IT"/>
        </w:rPr>
      </w:pPr>
      <w:r>
        <w:rPr>
          <w:lang w:val="it"/>
        </w:rPr>
        <w:t xml:space="preserve">Gli aggiornamenti sui progressi e sullo stato si riferiscono alle 273 azioni rimanenti (non completate) del periodo di riferimento 2022-2023. </w:t>
      </w:r>
    </w:p>
    <w:p w14:paraId="0AE984DA" w14:textId="77777777" w:rsidR="00D439A9" w:rsidRPr="0024338D" w:rsidRDefault="00DB177E" w:rsidP="00D439A9">
      <w:pPr>
        <w:spacing w:before="240" w:after="240" w:line="240" w:lineRule="auto"/>
        <w:rPr>
          <w:lang w:val="it-IT"/>
        </w:rPr>
      </w:pPr>
      <w:r>
        <w:rPr>
          <w:lang w:val="it"/>
        </w:rPr>
        <w:t>Il progresso a livello nazionale per tutti e 5 i TAP, comprendenti le 273 azioni rimanenti nel periodo di riferimento 2023-2024, indica che:</w:t>
      </w:r>
    </w:p>
    <w:p w14:paraId="3B9A688D" w14:textId="05E6189F" w:rsidR="00D439A9" w:rsidRPr="0024338D" w:rsidRDefault="00270E76" w:rsidP="00101896">
      <w:pPr>
        <w:pStyle w:val="ListParagraph"/>
        <w:numPr>
          <w:ilvl w:val="0"/>
          <w:numId w:val="3"/>
        </w:numPr>
        <w:spacing w:before="120" w:after="120" w:line="240" w:lineRule="auto"/>
        <w:ind w:left="360"/>
        <w:rPr>
          <w:lang w:val="it-IT"/>
        </w:rPr>
      </w:pPr>
      <w:r>
        <w:rPr>
          <w:b/>
          <w:lang w:val="it"/>
        </w:rPr>
        <w:t>138 (50%)</w:t>
      </w:r>
      <w:r>
        <w:rPr>
          <w:lang w:val="it"/>
        </w:rPr>
        <w:t xml:space="preserve"> azioni sono state completate nel periodo di riferimento</w:t>
      </w:r>
    </w:p>
    <w:p w14:paraId="2DA9BC65" w14:textId="674B48E7" w:rsidR="00D439A9" w:rsidRDefault="00270E76" w:rsidP="00101896">
      <w:pPr>
        <w:pStyle w:val="ListParagraph"/>
        <w:numPr>
          <w:ilvl w:val="0"/>
          <w:numId w:val="4"/>
        </w:numPr>
        <w:spacing w:before="120" w:after="120" w:line="240" w:lineRule="auto"/>
      </w:pPr>
      <w:r>
        <w:rPr>
          <w:b/>
          <w:lang w:val="it"/>
        </w:rPr>
        <w:t xml:space="preserve">127 (47%) </w:t>
      </w:r>
      <w:r>
        <w:rPr>
          <w:lang w:val="it"/>
        </w:rPr>
        <w:t>azioni sono in corso</w:t>
      </w:r>
    </w:p>
    <w:p w14:paraId="63AD39FE" w14:textId="4E38A826" w:rsidR="00D439A9" w:rsidRDefault="00DB177E" w:rsidP="00101896">
      <w:pPr>
        <w:pStyle w:val="ListParagraph"/>
        <w:numPr>
          <w:ilvl w:val="0"/>
          <w:numId w:val="4"/>
        </w:numPr>
        <w:spacing w:before="120" w:after="120" w:line="240" w:lineRule="auto"/>
      </w:pPr>
      <w:r>
        <w:rPr>
          <w:b/>
          <w:lang w:val="it"/>
        </w:rPr>
        <w:t xml:space="preserve">8 (3%) </w:t>
      </w:r>
      <w:r>
        <w:rPr>
          <w:lang w:val="it"/>
        </w:rPr>
        <w:t>azioni sono state interrotte</w:t>
      </w:r>
    </w:p>
    <w:p w14:paraId="0796B42C" w14:textId="77777777" w:rsidR="006C498F" w:rsidRPr="0024338D" w:rsidRDefault="00DB177E" w:rsidP="006C498F">
      <w:pPr>
        <w:spacing w:before="240" w:after="240" w:line="240" w:lineRule="auto"/>
        <w:rPr>
          <w:lang w:val="it-IT"/>
        </w:rPr>
      </w:pPr>
      <w:r>
        <w:rPr>
          <w:lang w:val="it"/>
        </w:rPr>
        <w:t xml:space="preserve">Nel periodo dal 1° luglio 2023 al 30 giugno 2024, la maggior parte dei TAP aveva completato il 45% o più delle proprie azioni. Il TAP per l’atteggiamento della comunità ha riportato la più alta percentuale di azioni completate, con il 60%. Il TAP per la sicurezza ha segnalato la percentuale più bassa di azioni completate, con il 45%. </w:t>
      </w:r>
    </w:p>
    <w:p w14:paraId="3B8AA8DE" w14:textId="77777777" w:rsidR="006815A0" w:rsidRPr="0024338D" w:rsidRDefault="00DB177E" w:rsidP="006815A0">
      <w:pPr>
        <w:spacing w:before="240" w:after="240" w:line="240" w:lineRule="auto"/>
        <w:rPr>
          <w:lang w:val="it-IT"/>
        </w:rPr>
      </w:pPr>
      <w:r>
        <w:rPr>
          <w:lang w:val="it"/>
        </w:rPr>
        <w:t>Il governo con la più alta percentuale complessiva di azioni completate è stato il Northern Territory, con l’86% delle azioni completate nel periodo di riferimento. Il New South Wales ha complessivamente registrato il secondo numero più alto di azioni completate nel periodo di riferimento, con l’80%.</w:t>
      </w:r>
      <w:r>
        <w:rPr>
          <w:lang w:val="it"/>
        </w:rPr>
        <w:br w:type="page"/>
      </w:r>
    </w:p>
    <w:p w14:paraId="517D1EEB" w14:textId="48C889F3" w:rsidR="00D439A9" w:rsidRPr="0024338D" w:rsidRDefault="00DB177E" w:rsidP="00D76AB0">
      <w:pPr>
        <w:rPr>
          <w:b/>
          <w:bCs/>
          <w:lang w:val="it-IT"/>
        </w:rPr>
      </w:pPr>
      <w:r w:rsidRPr="00294EDD">
        <w:rPr>
          <w:b/>
          <w:bCs/>
          <w:lang w:val="it"/>
        </w:rPr>
        <w:lastRenderedPageBreak/>
        <w:t xml:space="preserve">Tabella 1: </w:t>
      </w:r>
      <w:r w:rsidR="00370A78">
        <w:rPr>
          <w:b/>
          <w:bCs/>
          <w:lang w:val="it"/>
        </w:rPr>
        <w:t>S</w:t>
      </w:r>
      <w:r w:rsidRPr="00294EDD">
        <w:rPr>
          <w:b/>
          <w:bCs/>
          <w:lang w:val="it"/>
        </w:rPr>
        <w:t>tato dei TAP per governo nel periodo di riferimento 2023-2024</w:t>
      </w:r>
    </w:p>
    <w:tbl>
      <w:tblPr>
        <w:tblStyle w:val="GridTable6Colourful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843"/>
        <w:gridCol w:w="1275"/>
      </w:tblGrid>
      <w:tr w:rsidR="00D667A0" w14:paraId="5C184A98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48180825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 xml:space="preserve">Governo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CFD470F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Completato nel periodo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B9BFF8F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In corso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AA80D7B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Interrotto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C19FD55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Totale </w:t>
            </w:r>
          </w:p>
        </w:tc>
      </w:tr>
      <w:tr w:rsidR="00D667A0" w14:paraId="2C1CD3B5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2AF28336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Governo australiano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4A067DD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8BD5A70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32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343234C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1AE05AF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42</w:t>
            </w:r>
          </w:p>
        </w:tc>
      </w:tr>
      <w:tr w:rsidR="00D667A0" w14:paraId="603A142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F28504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New South Wales</w:t>
            </w:r>
          </w:p>
        </w:tc>
        <w:tc>
          <w:tcPr>
            <w:tcW w:w="2409" w:type="dxa"/>
          </w:tcPr>
          <w:p w14:paraId="3AE5E87C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32</w:t>
            </w:r>
          </w:p>
        </w:tc>
        <w:tc>
          <w:tcPr>
            <w:tcW w:w="1418" w:type="dxa"/>
          </w:tcPr>
          <w:p w14:paraId="2114A475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7</w:t>
            </w:r>
          </w:p>
        </w:tc>
        <w:tc>
          <w:tcPr>
            <w:tcW w:w="1843" w:type="dxa"/>
          </w:tcPr>
          <w:p w14:paraId="2FF5D3F4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</w:t>
            </w:r>
          </w:p>
        </w:tc>
        <w:tc>
          <w:tcPr>
            <w:tcW w:w="1275" w:type="dxa"/>
          </w:tcPr>
          <w:p w14:paraId="04D0FB01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40</w:t>
            </w:r>
          </w:p>
        </w:tc>
      </w:tr>
      <w:tr w:rsidR="00D667A0" w14:paraId="3D9CEC9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23FE40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Victoria</w:t>
            </w:r>
          </w:p>
        </w:tc>
        <w:tc>
          <w:tcPr>
            <w:tcW w:w="2409" w:type="dxa"/>
          </w:tcPr>
          <w:p w14:paraId="12DDAE2D" w14:textId="1723E09E" w:rsidR="00E0018F" w:rsidRDefault="00270E76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18</w:t>
            </w:r>
          </w:p>
        </w:tc>
        <w:tc>
          <w:tcPr>
            <w:tcW w:w="1418" w:type="dxa"/>
          </w:tcPr>
          <w:p w14:paraId="5D6FAE6A" w14:textId="7199E159" w:rsidR="00E0018F" w:rsidRDefault="00270E76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14</w:t>
            </w:r>
          </w:p>
        </w:tc>
        <w:tc>
          <w:tcPr>
            <w:tcW w:w="1843" w:type="dxa"/>
          </w:tcPr>
          <w:p w14:paraId="20830FF2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5F077EEB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32</w:t>
            </w:r>
          </w:p>
        </w:tc>
      </w:tr>
      <w:tr w:rsidR="00D667A0" w14:paraId="7C27D89C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2C3F6E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Queensland</w:t>
            </w:r>
          </w:p>
        </w:tc>
        <w:tc>
          <w:tcPr>
            <w:tcW w:w="2409" w:type="dxa"/>
          </w:tcPr>
          <w:p w14:paraId="648A471C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21</w:t>
            </w:r>
          </w:p>
        </w:tc>
        <w:tc>
          <w:tcPr>
            <w:tcW w:w="1418" w:type="dxa"/>
          </w:tcPr>
          <w:p w14:paraId="27D6E972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11</w:t>
            </w:r>
          </w:p>
        </w:tc>
        <w:tc>
          <w:tcPr>
            <w:tcW w:w="1843" w:type="dxa"/>
          </w:tcPr>
          <w:p w14:paraId="7AC67FF2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2C275655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32</w:t>
            </w:r>
          </w:p>
        </w:tc>
      </w:tr>
      <w:tr w:rsidR="00D667A0" w14:paraId="3629E727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DE1CB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Western Australia</w:t>
            </w:r>
          </w:p>
        </w:tc>
        <w:tc>
          <w:tcPr>
            <w:tcW w:w="2409" w:type="dxa"/>
          </w:tcPr>
          <w:p w14:paraId="6CBBEBCE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</w:t>
            </w:r>
          </w:p>
        </w:tc>
        <w:tc>
          <w:tcPr>
            <w:tcW w:w="1418" w:type="dxa"/>
          </w:tcPr>
          <w:p w14:paraId="00522D7C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18</w:t>
            </w:r>
          </w:p>
        </w:tc>
        <w:tc>
          <w:tcPr>
            <w:tcW w:w="1843" w:type="dxa"/>
          </w:tcPr>
          <w:p w14:paraId="6BA79408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</w:t>
            </w:r>
          </w:p>
        </w:tc>
        <w:tc>
          <w:tcPr>
            <w:tcW w:w="1275" w:type="dxa"/>
          </w:tcPr>
          <w:p w14:paraId="16E6FAA2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21</w:t>
            </w:r>
          </w:p>
        </w:tc>
      </w:tr>
      <w:tr w:rsidR="00D667A0" w14:paraId="3AE92258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9595E5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South Australia</w:t>
            </w:r>
          </w:p>
        </w:tc>
        <w:tc>
          <w:tcPr>
            <w:tcW w:w="2409" w:type="dxa"/>
          </w:tcPr>
          <w:p w14:paraId="05A413B0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18</w:t>
            </w:r>
          </w:p>
        </w:tc>
        <w:tc>
          <w:tcPr>
            <w:tcW w:w="1418" w:type="dxa"/>
          </w:tcPr>
          <w:p w14:paraId="029401D6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21</w:t>
            </w:r>
          </w:p>
        </w:tc>
        <w:tc>
          <w:tcPr>
            <w:tcW w:w="1843" w:type="dxa"/>
          </w:tcPr>
          <w:p w14:paraId="031724E1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</w:t>
            </w:r>
          </w:p>
        </w:tc>
        <w:tc>
          <w:tcPr>
            <w:tcW w:w="1275" w:type="dxa"/>
          </w:tcPr>
          <w:p w14:paraId="29EE6D70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41</w:t>
            </w:r>
          </w:p>
        </w:tc>
      </w:tr>
      <w:tr w:rsidR="00D667A0" w14:paraId="3FD8FC06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D74B32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Tasmania</w:t>
            </w:r>
          </w:p>
        </w:tc>
        <w:tc>
          <w:tcPr>
            <w:tcW w:w="2409" w:type="dxa"/>
          </w:tcPr>
          <w:p w14:paraId="0A6C8865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5</w:t>
            </w:r>
          </w:p>
        </w:tc>
        <w:tc>
          <w:tcPr>
            <w:tcW w:w="1418" w:type="dxa"/>
          </w:tcPr>
          <w:p w14:paraId="00B94C42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16</w:t>
            </w:r>
          </w:p>
        </w:tc>
        <w:tc>
          <w:tcPr>
            <w:tcW w:w="1843" w:type="dxa"/>
          </w:tcPr>
          <w:p w14:paraId="5FAF30FA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5EF6DF14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21</w:t>
            </w:r>
          </w:p>
        </w:tc>
      </w:tr>
      <w:tr w:rsidR="00D667A0" w14:paraId="07D6351E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495264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Australian Capital Territory</w:t>
            </w:r>
          </w:p>
        </w:tc>
        <w:tc>
          <w:tcPr>
            <w:tcW w:w="2409" w:type="dxa"/>
          </w:tcPr>
          <w:p w14:paraId="51EA827F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11</w:t>
            </w:r>
          </w:p>
        </w:tc>
        <w:tc>
          <w:tcPr>
            <w:tcW w:w="1418" w:type="dxa"/>
          </w:tcPr>
          <w:p w14:paraId="2C9D1683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4</w:t>
            </w:r>
          </w:p>
        </w:tc>
        <w:tc>
          <w:tcPr>
            <w:tcW w:w="1843" w:type="dxa"/>
          </w:tcPr>
          <w:p w14:paraId="217557F0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2DBB5C71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15</w:t>
            </w:r>
          </w:p>
        </w:tc>
      </w:tr>
      <w:tr w:rsidR="00D667A0" w14:paraId="1669B2FA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C0801D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>Northern Territory</w:t>
            </w:r>
          </w:p>
        </w:tc>
        <w:tc>
          <w:tcPr>
            <w:tcW w:w="2409" w:type="dxa"/>
          </w:tcPr>
          <w:p w14:paraId="56FFA58F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25</w:t>
            </w:r>
          </w:p>
        </w:tc>
        <w:tc>
          <w:tcPr>
            <w:tcW w:w="1418" w:type="dxa"/>
          </w:tcPr>
          <w:p w14:paraId="287F54AA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4</w:t>
            </w:r>
          </w:p>
        </w:tc>
        <w:tc>
          <w:tcPr>
            <w:tcW w:w="1843" w:type="dxa"/>
          </w:tcPr>
          <w:p w14:paraId="37DFBEF2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1DAD24CE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29</w:t>
            </w:r>
          </w:p>
        </w:tc>
      </w:tr>
      <w:tr w:rsidR="00D667A0" w14:paraId="2220C092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7003E6E0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>Totale nazionale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60BD1935" w14:textId="495DBD5B" w:rsidR="00E0018F" w:rsidRPr="00E0018F" w:rsidRDefault="00270E76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138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17CED94" w14:textId="0C024980" w:rsidR="00E0018F" w:rsidRPr="00E0018F" w:rsidRDefault="00270E76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127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B3331D" w14:textId="77777777" w:rsidR="00E0018F" w:rsidRP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5BCAC0A" w14:textId="77777777" w:rsidR="00E0018F" w:rsidRP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018F">
              <w:rPr>
                <w:b/>
                <w:bCs/>
                <w:lang w:val="it"/>
              </w:rPr>
              <w:t>273</w:t>
            </w:r>
          </w:p>
        </w:tc>
      </w:tr>
      <w:tr w:rsidR="00D667A0" w14:paraId="5EB9C5F8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5D8858B6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>Percentuale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52C01662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51%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E278665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47%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3D5B8D89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3%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14:paraId="7C518720" w14:textId="77777777" w:rsidR="00E0018F" w:rsidRPr="00E0018F" w:rsidRDefault="00E0018F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167A53A" w14:textId="77777777" w:rsidR="000954A7" w:rsidRPr="002517F9" w:rsidRDefault="00DB177E" w:rsidP="000954A7">
      <w:pPr>
        <w:rPr>
          <w:spacing w:val="-4"/>
          <w:lang w:val="it"/>
        </w:rPr>
      </w:pPr>
      <w:r w:rsidRPr="002517F9">
        <w:rPr>
          <w:spacing w:val="-4"/>
          <w:lang w:val="it"/>
        </w:rPr>
        <w:t>Nota: la somma delle percentuali potrebbe non equivalere a 100 a causa degli arrotondamenti</w:t>
      </w:r>
    </w:p>
    <w:p w14:paraId="69A76BAB" w14:textId="3476E348" w:rsidR="00E0018F" w:rsidRPr="0024338D" w:rsidRDefault="00DB177E" w:rsidP="000954A7">
      <w:pPr>
        <w:rPr>
          <w:lang w:val="it-IT"/>
        </w:rPr>
      </w:pPr>
      <w:r w:rsidRPr="00294EDD">
        <w:rPr>
          <w:b/>
          <w:bCs/>
          <w:lang w:val="it"/>
        </w:rPr>
        <w:t xml:space="preserve">Tabella 2: </w:t>
      </w:r>
      <w:r w:rsidR="00370A78">
        <w:rPr>
          <w:b/>
          <w:bCs/>
          <w:lang w:val="it"/>
        </w:rPr>
        <w:t>S</w:t>
      </w:r>
      <w:r w:rsidRPr="00294EDD">
        <w:rPr>
          <w:b/>
          <w:bCs/>
          <w:lang w:val="it"/>
        </w:rPr>
        <w:t>tato per TAP nel periodo di riferimento 2023-2024</w:t>
      </w:r>
    </w:p>
    <w:tbl>
      <w:tblPr>
        <w:tblStyle w:val="GridTable6Colourful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843"/>
        <w:gridCol w:w="1275"/>
      </w:tblGrid>
      <w:tr w:rsidR="00D667A0" w14:paraId="565B2116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56DA63E6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>Piano d'azione mirato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3375429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Completato nel periodo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CA4680F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In corso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A38E602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Interrotto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3DCBD68" w14:textId="77777777" w:rsidR="00E0018F" w:rsidRPr="00E0018F" w:rsidRDefault="00DB177E" w:rsidP="00E0018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Totale </w:t>
            </w:r>
          </w:p>
        </w:tc>
      </w:tr>
      <w:tr w:rsidR="00D667A0" w14:paraId="10B47FA9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01112ED3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Occupazione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0B3E025D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27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4ED559E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FFA7DB3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7B548BE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56</w:t>
            </w:r>
          </w:p>
        </w:tc>
      </w:tr>
      <w:tr w:rsidR="00D667A0" w14:paraId="2A93F1EB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9239AD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Atteggiamento della comunità </w:t>
            </w:r>
          </w:p>
        </w:tc>
        <w:tc>
          <w:tcPr>
            <w:tcW w:w="2409" w:type="dxa"/>
          </w:tcPr>
          <w:p w14:paraId="3FBBA665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26</w:t>
            </w:r>
          </w:p>
        </w:tc>
        <w:tc>
          <w:tcPr>
            <w:tcW w:w="1418" w:type="dxa"/>
          </w:tcPr>
          <w:p w14:paraId="1CEB56F9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17</w:t>
            </w:r>
          </w:p>
        </w:tc>
        <w:tc>
          <w:tcPr>
            <w:tcW w:w="1843" w:type="dxa"/>
          </w:tcPr>
          <w:p w14:paraId="0B743F9D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05B92382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43</w:t>
            </w:r>
          </w:p>
        </w:tc>
      </w:tr>
      <w:tr w:rsidR="00D667A0" w14:paraId="23A1100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B486FC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Prima infanzia </w:t>
            </w:r>
          </w:p>
        </w:tc>
        <w:tc>
          <w:tcPr>
            <w:tcW w:w="2409" w:type="dxa"/>
          </w:tcPr>
          <w:p w14:paraId="10AB3762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30</w:t>
            </w:r>
          </w:p>
        </w:tc>
        <w:tc>
          <w:tcPr>
            <w:tcW w:w="1418" w:type="dxa"/>
          </w:tcPr>
          <w:p w14:paraId="1378692B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19</w:t>
            </w:r>
          </w:p>
        </w:tc>
        <w:tc>
          <w:tcPr>
            <w:tcW w:w="1843" w:type="dxa"/>
          </w:tcPr>
          <w:p w14:paraId="0D6763CD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5</w:t>
            </w:r>
          </w:p>
        </w:tc>
        <w:tc>
          <w:tcPr>
            <w:tcW w:w="1275" w:type="dxa"/>
          </w:tcPr>
          <w:p w14:paraId="526C6665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54</w:t>
            </w:r>
          </w:p>
        </w:tc>
      </w:tr>
      <w:tr w:rsidR="00D667A0" w14:paraId="7746FB3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EFABA2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Sicurezza </w:t>
            </w:r>
          </w:p>
        </w:tc>
        <w:tc>
          <w:tcPr>
            <w:tcW w:w="2409" w:type="dxa"/>
          </w:tcPr>
          <w:p w14:paraId="29986BAD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37</w:t>
            </w:r>
          </w:p>
        </w:tc>
        <w:tc>
          <w:tcPr>
            <w:tcW w:w="1418" w:type="dxa"/>
          </w:tcPr>
          <w:p w14:paraId="57678F35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44</w:t>
            </w:r>
          </w:p>
        </w:tc>
        <w:tc>
          <w:tcPr>
            <w:tcW w:w="1843" w:type="dxa"/>
          </w:tcPr>
          <w:p w14:paraId="3AEDC968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</w:t>
            </w:r>
          </w:p>
        </w:tc>
        <w:tc>
          <w:tcPr>
            <w:tcW w:w="1275" w:type="dxa"/>
          </w:tcPr>
          <w:p w14:paraId="4F547CDD" w14:textId="77777777" w:rsid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83</w:t>
            </w:r>
          </w:p>
        </w:tc>
      </w:tr>
      <w:tr w:rsidR="00D667A0" w14:paraId="7D04448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2000AF" w14:textId="77777777" w:rsidR="00E0018F" w:rsidRPr="005D4EFE" w:rsidRDefault="00DB177E" w:rsidP="00E0018F">
            <w:pPr>
              <w:spacing w:before="120" w:after="120"/>
            </w:pPr>
            <w:r w:rsidRPr="005D4EFE">
              <w:rPr>
                <w:b w:val="0"/>
                <w:bCs w:val="0"/>
                <w:lang w:val="it"/>
              </w:rPr>
              <w:t xml:space="preserve">Gestione delle emergenze </w:t>
            </w:r>
          </w:p>
        </w:tc>
        <w:tc>
          <w:tcPr>
            <w:tcW w:w="2409" w:type="dxa"/>
          </w:tcPr>
          <w:p w14:paraId="5BC73115" w14:textId="6A8F1C03" w:rsidR="00E0018F" w:rsidRDefault="00270E76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18</w:t>
            </w:r>
          </w:p>
        </w:tc>
        <w:tc>
          <w:tcPr>
            <w:tcW w:w="1418" w:type="dxa"/>
          </w:tcPr>
          <w:p w14:paraId="03B2E80C" w14:textId="7628FEEE" w:rsidR="00E0018F" w:rsidRDefault="00270E76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19</w:t>
            </w:r>
          </w:p>
        </w:tc>
        <w:tc>
          <w:tcPr>
            <w:tcW w:w="1843" w:type="dxa"/>
          </w:tcPr>
          <w:p w14:paraId="017CB9AE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275" w:type="dxa"/>
          </w:tcPr>
          <w:p w14:paraId="28EBE6DC" w14:textId="77777777" w:rsid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37</w:t>
            </w:r>
          </w:p>
        </w:tc>
      </w:tr>
      <w:tr w:rsidR="00D667A0" w14:paraId="0033BB6B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7C727F6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>Totale nazionale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E54C9EF" w14:textId="4C152BFB" w:rsidR="00E0018F" w:rsidRPr="00E0018F" w:rsidRDefault="00270E76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138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5D386D4" w14:textId="61667CB9" w:rsidR="00E0018F" w:rsidRPr="00E0018F" w:rsidRDefault="00270E76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127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EE844EA" w14:textId="77777777" w:rsidR="00E0018F" w:rsidRP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FA88CEF" w14:textId="77777777" w:rsidR="00E0018F" w:rsidRPr="00E0018F" w:rsidRDefault="00DB177E" w:rsidP="00E0018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018F">
              <w:rPr>
                <w:b/>
                <w:bCs/>
                <w:lang w:val="it"/>
              </w:rPr>
              <w:t>273</w:t>
            </w:r>
          </w:p>
        </w:tc>
      </w:tr>
      <w:tr w:rsidR="00D667A0" w14:paraId="374A256C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5BA99E75" w14:textId="77777777" w:rsidR="00E0018F" w:rsidRPr="00E0018F" w:rsidRDefault="00DB177E" w:rsidP="00E0018F">
            <w:pPr>
              <w:spacing w:before="120" w:after="120"/>
            </w:pPr>
            <w:r w:rsidRPr="00E0018F">
              <w:rPr>
                <w:lang w:val="it"/>
              </w:rPr>
              <w:t>Percentuale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1530DD41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51%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A4B3F3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47%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5F9820A1" w14:textId="77777777" w:rsidR="00E0018F" w:rsidRPr="00E0018F" w:rsidRDefault="00DB177E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3%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14:paraId="6A28B8E5" w14:textId="77777777" w:rsidR="00E0018F" w:rsidRPr="00E0018F" w:rsidRDefault="00E0018F" w:rsidP="00E0018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28A8038" w14:textId="77777777" w:rsidR="00B61BD1" w:rsidRPr="002517F9" w:rsidRDefault="00DB177E" w:rsidP="00B61BD1">
      <w:pPr>
        <w:rPr>
          <w:spacing w:val="-2"/>
          <w:lang w:val="it-IT"/>
        </w:rPr>
      </w:pPr>
      <w:r w:rsidRPr="002517F9">
        <w:rPr>
          <w:spacing w:val="-2"/>
          <w:lang w:val="it"/>
        </w:rPr>
        <w:t>Nota: la somma delle percentuali potrebbe non equivalere a 100 a causa degli arrotondamenti</w:t>
      </w:r>
      <w:r w:rsidRPr="002517F9">
        <w:rPr>
          <w:spacing w:val="-2"/>
          <w:lang w:val="it"/>
        </w:rPr>
        <w:br w:type="page"/>
      </w:r>
    </w:p>
    <w:p w14:paraId="0665B1F9" w14:textId="77777777" w:rsidR="006C4375" w:rsidRPr="0024338D" w:rsidRDefault="00DB177E" w:rsidP="00BF3141">
      <w:pPr>
        <w:pStyle w:val="Heading1"/>
        <w:pBdr>
          <w:bottom w:val="single" w:sz="4" w:space="1" w:color="auto"/>
        </w:pBdr>
        <w:spacing w:after="480"/>
        <w:rPr>
          <w:sz w:val="48"/>
          <w:szCs w:val="48"/>
          <w:lang w:val="it-IT"/>
        </w:rPr>
      </w:pPr>
      <w:bookmarkStart w:id="9" w:name="_Toc256000005"/>
      <w:r w:rsidRPr="00F877A4">
        <w:rPr>
          <w:sz w:val="48"/>
          <w:szCs w:val="48"/>
          <w:lang w:val="it"/>
        </w:rPr>
        <w:lastRenderedPageBreak/>
        <w:t>Piano d'azione mirato per l'occupazione</w:t>
      </w:r>
      <w:bookmarkEnd w:id="9"/>
    </w:p>
    <w:p w14:paraId="066957D4" w14:textId="77777777" w:rsidR="004B0B44" w:rsidRPr="0024338D" w:rsidRDefault="00DB177E" w:rsidP="004B0B44">
      <w:pPr>
        <w:rPr>
          <w:lang w:val="it-IT"/>
        </w:rPr>
      </w:pPr>
      <w:r w:rsidRPr="006C498F">
        <w:rPr>
          <w:lang w:val="it"/>
        </w:rPr>
        <w:t>Nell’ambito del TAP per l’occupazione sono state segnalate 56 azioni del governo federale e dei governi statali e territoriali per il periodo 2023-2024.</w:t>
      </w:r>
    </w:p>
    <w:p w14:paraId="125B269A" w14:textId="77777777" w:rsidR="009D3FC4" w:rsidRPr="0024338D" w:rsidRDefault="00DB177E">
      <w:pPr>
        <w:rPr>
          <w:b/>
          <w:bCs/>
          <w:lang w:val="it-IT"/>
        </w:rPr>
      </w:pPr>
      <w:bookmarkStart w:id="10" w:name="_Hlk167262866"/>
      <w:r w:rsidRPr="00A56869">
        <w:rPr>
          <w:b/>
          <w:bCs/>
          <w:lang w:val="it"/>
        </w:rPr>
        <w:t>Tabella 3: TAP per l’occupazione – stato delle azioni nel 2023-24 per governo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843"/>
        <w:gridCol w:w="1276"/>
      </w:tblGrid>
      <w:tr w:rsidR="00D667A0" w14:paraId="18AFB6F1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E49977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Governo</w:t>
            </w:r>
          </w:p>
        </w:tc>
        <w:tc>
          <w:tcPr>
            <w:tcW w:w="2409" w:type="dxa"/>
          </w:tcPr>
          <w:p w14:paraId="55E05AEC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276" w:type="dxa"/>
          </w:tcPr>
          <w:p w14:paraId="1B0CF0C5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843" w:type="dxa"/>
          </w:tcPr>
          <w:p w14:paraId="5A7D71A8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</w:tcPr>
          <w:p w14:paraId="197E2DCC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73195717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09E823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 xml:space="preserve">Governo australiano </w:t>
            </w:r>
          </w:p>
        </w:tc>
        <w:tc>
          <w:tcPr>
            <w:tcW w:w="2409" w:type="dxa"/>
          </w:tcPr>
          <w:p w14:paraId="1F1B3D1D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7304566D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7</w:t>
            </w:r>
          </w:p>
        </w:tc>
        <w:tc>
          <w:tcPr>
            <w:tcW w:w="1843" w:type="dxa"/>
          </w:tcPr>
          <w:p w14:paraId="08748C16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7A2EDE76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7</w:t>
            </w:r>
          </w:p>
        </w:tc>
      </w:tr>
      <w:tr w:rsidR="00D667A0" w14:paraId="1B62985C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2F01DF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New South Wales</w:t>
            </w:r>
          </w:p>
        </w:tc>
        <w:tc>
          <w:tcPr>
            <w:tcW w:w="2409" w:type="dxa"/>
          </w:tcPr>
          <w:p w14:paraId="5C678CDF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4</w:t>
            </w:r>
          </w:p>
        </w:tc>
        <w:tc>
          <w:tcPr>
            <w:tcW w:w="1276" w:type="dxa"/>
          </w:tcPr>
          <w:p w14:paraId="0B941E15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2</w:t>
            </w:r>
          </w:p>
        </w:tc>
        <w:tc>
          <w:tcPr>
            <w:tcW w:w="1843" w:type="dxa"/>
          </w:tcPr>
          <w:p w14:paraId="4C52C1A7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1DDBFC16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6</w:t>
            </w:r>
          </w:p>
        </w:tc>
      </w:tr>
      <w:tr w:rsidR="00D667A0" w14:paraId="310D4189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7BB606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Victoria</w:t>
            </w:r>
          </w:p>
        </w:tc>
        <w:tc>
          <w:tcPr>
            <w:tcW w:w="2409" w:type="dxa"/>
          </w:tcPr>
          <w:p w14:paraId="1502CB4A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3</w:t>
            </w:r>
          </w:p>
        </w:tc>
        <w:tc>
          <w:tcPr>
            <w:tcW w:w="1276" w:type="dxa"/>
          </w:tcPr>
          <w:p w14:paraId="273D97D2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10</w:t>
            </w:r>
          </w:p>
        </w:tc>
        <w:tc>
          <w:tcPr>
            <w:tcW w:w="1843" w:type="dxa"/>
          </w:tcPr>
          <w:p w14:paraId="00F62723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7E482701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13</w:t>
            </w:r>
          </w:p>
        </w:tc>
      </w:tr>
      <w:tr w:rsidR="00D667A0" w14:paraId="274CB0DA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97E0A3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Queensland</w:t>
            </w:r>
          </w:p>
        </w:tc>
        <w:tc>
          <w:tcPr>
            <w:tcW w:w="2409" w:type="dxa"/>
          </w:tcPr>
          <w:p w14:paraId="3191AC13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5</w:t>
            </w:r>
          </w:p>
        </w:tc>
        <w:tc>
          <w:tcPr>
            <w:tcW w:w="1276" w:type="dxa"/>
          </w:tcPr>
          <w:p w14:paraId="3C832D18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1</w:t>
            </w:r>
          </w:p>
        </w:tc>
        <w:tc>
          <w:tcPr>
            <w:tcW w:w="1843" w:type="dxa"/>
          </w:tcPr>
          <w:p w14:paraId="0F65C38B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4E0B6C75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6</w:t>
            </w:r>
          </w:p>
        </w:tc>
      </w:tr>
      <w:tr w:rsidR="00D667A0" w14:paraId="67B364FD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2967B2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Western Australia</w:t>
            </w:r>
          </w:p>
        </w:tc>
        <w:tc>
          <w:tcPr>
            <w:tcW w:w="2409" w:type="dxa"/>
          </w:tcPr>
          <w:p w14:paraId="037C02F7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0</w:t>
            </w:r>
          </w:p>
        </w:tc>
        <w:tc>
          <w:tcPr>
            <w:tcW w:w="1276" w:type="dxa"/>
          </w:tcPr>
          <w:p w14:paraId="478A7567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5</w:t>
            </w:r>
          </w:p>
        </w:tc>
        <w:tc>
          <w:tcPr>
            <w:tcW w:w="1843" w:type="dxa"/>
          </w:tcPr>
          <w:p w14:paraId="25C6C8AF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1</w:t>
            </w:r>
          </w:p>
        </w:tc>
        <w:tc>
          <w:tcPr>
            <w:tcW w:w="1276" w:type="dxa"/>
          </w:tcPr>
          <w:p w14:paraId="560DBA5D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6</w:t>
            </w:r>
          </w:p>
        </w:tc>
      </w:tr>
      <w:tr w:rsidR="00D667A0" w14:paraId="3BC40A70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362AA1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South Australia</w:t>
            </w:r>
          </w:p>
        </w:tc>
        <w:tc>
          <w:tcPr>
            <w:tcW w:w="2409" w:type="dxa"/>
          </w:tcPr>
          <w:p w14:paraId="010E51D6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7</w:t>
            </w:r>
          </w:p>
        </w:tc>
        <w:tc>
          <w:tcPr>
            <w:tcW w:w="1276" w:type="dxa"/>
          </w:tcPr>
          <w:p w14:paraId="1D662F13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2</w:t>
            </w:r>
          </w:p>
        </w:tc>
        <w:tc>
          <w:tcPr>
            <w:tcW w:w="1843" w:type="dxa"/>
          </w:tcPr>
          <w:p w14:paraId="7428A572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565FFEEF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9</w:t>
            </w:r>
          </w:p>
        </w:tc>
      </w:tr>
      <w:tr w:rsidR="00D667A0" w14:paraId="0B469814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14EF0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Tasmania</w:t>
            </w:r>
          </w:p>
        </w:tc>
        <w:tc>
          <w:tcPr>
            <w:tcW w:w="2409" w:type="dxa"/>
          </w:tcPr>
          <w:p w14:paraId="7ACE4EBC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2</w:t>
            </w:r>
          </w:p>
        </w:tc>
        <w:tc>
          <w:tcPr>
            <w:tcW w:w="1276" w:type="dxa"/>
          </w:tcPr>
          <w:p w14:paraId="57AF84BF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843" w:type="dxa"/>
          </w:tcPr>
          <w:p w14:paraId="0384765F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0BBDCBF8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2</w:t>
            </w:r>
          </w:p>
        </w:tc>
      </w:tr>
      <w:tr w:rsidR="00D667A0" w14:paraId="7BEBE93C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44E679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Australian Capital Territory</w:t>
            </w:r>
          </w:p>
        </w:tc>
        <w:tc>
          <w:tcPr>
            <w:tcW w:w="2409" w:type="dxa"/>
          </w:tcPr>
          <w:p w14:paraId="244A7412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1</w:t>
            </w:r>
          </w:p>
        </w:tc>
        <w:tc>
          <w:tcPr>
            <w:tcW w:w="1276" w:type="dxa"/>
          </w:tcPr>
          <w:p w14:paraId="57538E49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1</w:t>
            </w:r>
          </w:p>
        </w:tc>
        <w:tc>
          <w:tcPr>
            <w:tcW w:w="1843" w:type="dxa"/>
          </w:tcPr>
          <w:p w14:paraId="3B8665C1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2DFA71C9" w14:textId="77777777" w:rsidR="00D25013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2</w:t>
            </w:r>
          </w:p>
        </w:tc>
      </w:tr>
      <w:tr w:rsidR="00D667A0" w14:paraId="3EAF6BF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5F8C00" w14:textId="77777777" w:rsidR="00D25013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Northern Territory</w:t>
            </w:r>
          </w:p>
        </w:tc>
        <w:tc>
          <w:tcPr>
            <w:tcW w:w="2409" w:type="dxa"/>
          </w:tcPr>
          <w:p w14:paraId="008A9061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lang w:val="it"/>
              </w:rPr>
              <w:t>5</w:t>
            </w:r>
          </w:p>
        </w:tc>
        <w:tc>
          <w:tcPr>
            <w:tcW w:w="1276" w:type="dxa"/>
          </w:tcPr>
          <w:p w14:paraId="5ED18B70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843" w:type="dxa"/>
          </w:tcPr>
          <w:p w14:paraId="27DF3C5B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lang w:val="it"/>
              </w:rPr>
              <w:t>0</w:t>
            </w:r>
          </w:p>
        </w:tc>
        <w:tc>
          <w:tcPr>
            <w:tcW w:w="1276" w:type="dxa"/>
          </w:tcPr>
          <w:p w14:paraId="3A1B26E2" w14:textId="77777777" w:rsidR="00D25013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5</w:t>
            </w:r>
          </w:p>
        </w:tc>
      </w:tr>
      <w:tr w:rsidR="00D667A0" w14:paraId="3B78179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CCCD19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Totale nazionale</w:t>
            </w:r>
          </w:p>
        </w:tc>
        <w:tc>
          <w:tcPr>
            <w:tcW w:w="2409" w:type="dxa"/>
          </w:tcPr>
          <w:p w14:paraId="4DE51C09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27</w:t>
            </w:r>
          </w:p>
        </w:tc>
        <w:tc>
          <w:tcPr>
            <w:tcW w:w="1276" w:type="dxa"/>
          </w:tcPr>
          <w:p w14:paraId="69716B18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28</w:t>
            </w:r>
          </w:p>
        </w:tc>
        <w:tc>
          <w:tcPr>
            <w:tcW w:w="1843" w:type="dxa"/>
          </w:tcPr>
          <w:p w14:paraId="3F267227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</w:t>
            </w:r>
          </w:p>
        </w:tc>
        <w:tc>
          <w:tcPr>
            <w:tcW w:w="1276" w:type="dxa"/>
          </w:tcPr>
          <w:p w14:paraId="40F6145D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98F">
              <w:rPr>
                <w:b/>
                <w:bCs/>
                <w:lang w:val="it"/>
              </w:rPr>
              <w:t>56</w:t>
            </w:r>
          </w:p>
        </w:tc>
      </w:tr>
    </w:tbl>
    <w:p w14:paraId="092DD39A" w14:textId="77777777" w:rsidR="009D3FC4" w:rsidRPr="0024338D" w:rsidRDefault="00DB177E" w:rsidP="00B61BD1">
      <w:pPr>
        <w:spacing w:before="600"/>
        <w:rPr>
          <w:b/>
          <w:bCs/>
          <w:lang w:val="it-IT"/>
        </w:rPr>
      </w:pPr>
      <w:r w:rsidRPr="00A56869">
        <w:rPr>
          <w:b/>
          <w:bCs/>
          <w:lang w:val="it"/>
        </w:rPr>
        <w:t>Tabella 4: TAP per l’occupazione – stato delle azioni nel 2023-24 per obiettivo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701"/>
        <w:gridCol w:w="1418"/>
      </w:tblGrid>
      <w:tr w:rsidR="00D667A0" w14:paraId="3625622D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1B62F5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Piano d'azione mirato</w:t>
            </w:r>
          </w:p>
        </w:tc>
        <w:tc>
          <w:tcPr>
            <w:tcW w:w="2409" w:type="dxa"/>
          </w:tcPr>
          <w:p w14:paraId="3BB02AB2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276" w:type="dxa"/>
          </w:tcPr>
          <w:p w14:paraId="7062B266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</w:tcPr>
          <w:p w14:paraId="1562D4B0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418" w:type="dxa"/>
          </w:tcPr>
          <w:p w14:paraId="0B86317E" w14:textId="77777777" w:rsidR="009D3FC4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6578E057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34230D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1</w:t>
            </w:r>
          </w:p>
        </w:tc>
        <w:tc>
          <w:tcPr>
            <w:tcW w:w="2409" w:type="dxa"/>
          </w:tcPr>
          <w:p w14:paraId="1231873C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17</w:t>
            </w:r>
          </w:p>
        </w:tc>
        <w:tc>
          <w:tcPr>
            <w:tcW w:w="1276" w:type="dxa"/>
          </w:tcPr>
          <w:p w14:paraId="111DD6A7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18</w:t>
            </w:r>
          </w:p>
        </w:tc>
        <w:tc>
          <w:tcPr>
            <w:tcW w:w="1701" w:type="dxa"/>
          </w:tcPr>
          <w:p w14:paraId="40C06D94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</w:t>
            </w:r>
          </w:p>
        </w:tc>
        <w:tc>
          <w:tcPr>
            <w:tcW w:w="1418" w:type="dxa"/>
          </w:tcPr>
          <w:p w14:paraId="3138A759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36</w:t>
            </w:r>
          </w:p>
        </w:tc>
      </w:tr>
      <w:tr w:rsidR="00D667A0" w14:paraId="6127FA46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69434FBB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2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656A8E0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5998173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07FE14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6AB3549" w14:textId="77777777" w:rsidR="009D3FC4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"/>
              </w:rPr>
              <w:t>20</w:t>
            </w:r>
          </w:p>
        </w:tc>
      </w:tr>
      <w:tr w:rsidR="00D667A0" w14:paraId="4A47C103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55B93794" w14:textId="77777777" w:rsidR="009D3FC4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Totale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3D96150A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41B1E62B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28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60D7C8AD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13A7282" w14:textId="77777777" w:rsidR="009D3FC4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C498F">
              <w:rPr>
                <w:b/>
                <w:bCs/>
                <w:lang w:val="it"/>
              </w:rPr>
              <w:t>56</w:t>
            </w:r>
          </w:p>
        </w:tc>
      </w:tr>
      <w:bookmarkEnd w:id="10"/>
    </w:tbl>
    <w:p w14:paraId="3DC47D7C" w14:textId="77777777" w:rsidR="003151CB" w:rsidRDefault="00DB177E">
      <w:r>
        <w:br w:type="page"/>
      </w:r>
    </w:p>
    <w:p w14:paraId="360EDF61" w14:textId="77777777" w:rsidR="00DC7B30" w:rsidRPr="0024338D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11" w:name="_Toc256000006"/>
      <w:r w:rsidRPr="00F877A4">
        <w:rPr>
          <w:sz w:val="48"/>
          <w:szCs w:val="48"/>
          <w:lang w:val="it"/>
        </w:rPr>
        <w:lastRenderedPageBreak/>
        <w:t>Piano d'azione mirato per l'atteggiamento della comunità</w:t>
      </w:r>
      <w:bookmarkEnd w:id="11"/>
    </w:p>
    <w:p w14:paraId="739C6434" w14:textId="77777777" w:rsidR="008A3063" w:rsidRPr="0024338D" w:rsidRDefault="00DB177E" w:rsidP="00B61BD1">
      <w:pPr>
        <w:outlineLvl w:val="1"/>
        <w:rPr>
          <w:b/>
          <w:sz w:val="36"/>
          <w:szCs w:val="36"/>
          <w:lang w:val="it-IT"/>
        </w:rPr>
      </w:pPr>
      <w:bookmarkStart w:id="12" w:name="_Toc256000007"/>
      <w:r w:rsidRPr="006C498F">
        <w:rPr>
          <w:b/>
          <w:sz w:val="36"/>
          <w:szCs w:val="36"/>
          <w:lang w:val="it"/>
        </w:rPr>
        <w:t>Introduzione</w:t>
      </w:r>
      <w:bookmarkEnd w:id="12"/>
      <w:r w:rsidRPr="006C498F">
        <w:rPr>
          <w:b/>
          <w:sz w:val="36"/>
          <w:szCs w:val="36"/>
          <w:lang w:val="it"/>
        </w:rPr>
        <w:t xml:space="preserve"> </w:t>
      </w:r>
    </w:p>
    <w:p w14:paraId="51BD022B" w14:textId="77777777" w:rsidR="007417AF" w:rsidRPr="0024338D" w:rsidRDefault="00DB177E" w:rsidP="007417AF">
      <w:pPr>
        <w:rPr>
          <w:lang w:val="it-IT"/>
        </w:rPr>
      </w:pPr>
      <w:r w:rsidRPr="006C498F">
        <w:rPr>
          <w:lang w:val="it"/>
        </w:rPr>
        <w:t xml:space="preserve">Nell’ambito del TAP per l’atteggiamento della comunità sono state segnalate 43 azioni del governo federale e dei governi statali e territoriali per il periodo 2023-2024. </w:t>
      </w:r>
    </w:p>
    <w:p w14:paraId="5B091F62" w14:textId="4CA60A4C" w:rsidR="006146CF" w:rsidRPr="0024338D" w:rsidRDefault="00DB177E" w:rsidP="006146CF">
      <w:pPr>
        <w:rPr>
          <w:b/>
          <w:bCs/>
          <w:lang w:val="it-IT"/>
        </w:rPr>
      </w:pPr>
      <w:r w:rsidRPr="00A56869">
        <w:rPr>
          <w:b/>
          <w:bCs/>
          <w:lang w:val="it"/>
        </w:rPr>
        <w:t xml:space="preserve">Tabella 5: TAP per l’atteggiamento della comunità – stato delle azioni nel 2023-24 </w:t>
      </w:r>
      <w:r w:rsidR="002517F9">
        <w:rPr>
          <w:b/>
          <w:bCs/>
          <w:lang w:val="it"/>
        </w:rPr>
        <w:br/>
      </w:r>
      <w:r w:rsidRPr="00A56869">
        <w:rPr>
          <w:b/>
          <w:bCs/>
          <w:lang w:val="it"/>
        </w:rPr>
        <w:t>per governo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D667A0" w14:paraId="1C7E2637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05E4CC" w14:textId="77777777" w:rsidR="006146CF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Governo</w:t>
            </w:r>
          </w:p>
        </w:tc>
        <w:tc>
          <w:tcPr>
            <w:tcW w:w="2409" w:type="dxa"/>
          </w:tcPr>
          <w:p w14:paraId="652712B1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8" w:type="dxa"/>
          </w:tcPr>
          <w:p w14:paraId="2704ED10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</w:tcPr>
          <w:p w14:paraId="030753B6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</w:tcPr>
          <w:p w14:paraId="4B2318E0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0C7AD4F7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8CD87C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 xml:space="preserve">Governo australiano </w:t>
            </w:r>
          </w:p>
        </w:tc>
        <w:tc>
          <w:tcPr>
            <w:tcW w:w="2409" w:type="dxa"/>
          </w:tcPr>
          <w:p w14:paraId="6C59D1FB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4CD96838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4B8004AF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9408D56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</w:t>
            </w:r>
          </w:p>
        </w:tc>
      </w:tr>
      <w:tr w:rsidR="00D667A0" w14:paraId="5EDB5C06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48CE76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New South Wales</w:t>
            </w:r>
          </w:p>
        </w:tc>
        <w:tc>
          <w:tcPr>
            <w:tcW w:w="2409" w:type="dxa"/>
          </w:tcPr>
          <w:p w14:paraId="072570B1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10</w:t>
            </w:r>
          </w:p>
        </w:tc>
        <w:tc>
          <w:tcPr>
            <w:tcW w:w="1418" w:type="dxa"/>
          </w:tcPr>
          <w:p w14:paraId="4260F863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701" w:type="dxa"/>
          </w:tcPr>
          <w:p w14:paraId="1D25CFC0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4E9FADCC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10</w:t>
            </w:r>
          </w:p>
        </w:tc>
      </w:tr>
      <w:tr w:rsidR="00D667A0" w14:paraId="2278638D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66481E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Victoria</w:t>
            </w:r>
          </w:p>
        </w:tc>
        <w:tc>
          <w:tcPr>
            <w:tcW w:w="2409" w:type="dxa"/>
          </w:tcPr>
          <w:p w14:paraId="0EE97CFF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  <w:tc>
          <w:tcPr>
            <w:tcW w:w="1418" w:type="dxa"/>
          </w:tcPr>
          <w:p w14:paraId="2E6CEACD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3</w:t>
            </w:r>
          </w:p>
        </w:tc>
        <w:tc>
          <w:tcPr>
            <w:tcW w:w="1701" w:type="dxa"/>
          </w:tcPr>
          <w:p w14:paraId="23787BBD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602FBD27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7</w:t>
            </w:r>
          </w:p>
        </w:tc>
      </w:tr>
      <w:tr w:rsidR="00D667A0" w14:paraId="06196D41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8FDEA7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Queensland</w:t>
            </w:r>
          </w:p>
        </w:tc>
        <w:tc>
          <w:tcPr>
            <w:tcW w:w="2409" w:type="dxa"/>
          </w:tcPr>
          <w:p w14:paraId="4D5DA2FB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  <w:tc>
          <w:tcPr>
            <w:tcW w:w="1418" w:type="dxa"/>
          </w:tcPr>
          <w:p w14:paraId="1C4249D5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2</w:t>
            </w:r>
          </w:p>
        </w:tc>
        <w:tc>
          <w:tcPr>
            <w:tcW w:w="1701" w:type="dxa"/>
          </w:tcPr>
          <w:p w14:paraId="36173145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32C9E315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6</w:t>
            </w:r>
          </w:p>
        </w:tc>
      </w:tr>
      <w:tr w:rsidR="00D667A0" w14:paraId="7DF0C70A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811B2D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Western Australia</w:t>
            </w:r>
          </w:p>
        </w:tc>
        <w:tc>
          <w:tcPr>
            <w:tcW w:w="2409" w:type="dxa"/>
          </w:tcPr>
          <w:p w14:paraId="2BFC488B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</w:t>
            </w:r>
          </w:p>
        </w:tc>
        <w:tc>
          <w:tcPr>
            <w:tcW w:w="1418" w:type="dxa"/>
          </w:tcPr>
          <w:p w14:paraId="0877C302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7580D447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6A5C9C9B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2</w:t>
            </w:r>
          </w:p>
        </w:tc>
      </w:tr>
      <w:tr w:rsidR="00D667A0" w14:paraId="78E968E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10B795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South Australia</w:t>
            </w:r>
          </w:p>
        </w:tc>
        <w:tc>
          <w:tcPr>
            <w:tcW w:w="2409" w:type="dxa"/>
          </w:tcPr>
          <w:p w14:paraId="315F86CD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38C33EBD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  <w:tc>
          <w:tcPr>
            <w:tcW w:w="1701" w:type="dxa"/>
          </w:tcPr>
          <w:p w14:paraId="354AB173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D866BFC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</w:tr>
      <w:tr w:rsidR="00D667A0" w14:paraId="3F510470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6A5543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Tasmania</w:t>
            </w:r>
          </w:p>
        </w:tc>
        <w:tc>
          <w:tcPr>
            <w:tcW w:w="2409" w:type="dxa"/>
          </w:tcPr>
          <w:p w14:paraId="6355C22E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6C074C8E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  <w:tc>
          <w:tcPr>
            <w:tcW w:w="1701" w:type="dxa"/>
          </w:tcPr>
          <w:p w14:paraId="6F10C85D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71E37D76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</w:tr>
      <w:tr w:rsidR="00D667A0" w14:paraId="68D09C71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241E2C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Australian Capital Territory</w:t>
            </w:r>
          </w:p>
        </w:tc>
        <w:tc>
          <w:tcPr>
            <w:tcW w:w="2409" w:type="dxa"/>
          </w:tcPr>
          <w:p w14:paraId="5EA63D86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3</w:t>
            </w:r>
          </w:p>
        </w:tc>
        <w:tc>
          <w:tcPr>
            <w:tcW w:w="1418" w:type="dxa"/>
          </w:tcPr>
          <w:p w14:paraId="2A9318B8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2</w:t>
            </w:r>
          </w:p>
        </w:tc>
        <w:tc>
          <w:tcPr>
            <w:tcW w:w="1701" w:type="dxa"/>
          </w:tcPr>
          <w:p w14:paraId="682818EB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6550D38C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5</w:t>
            </w:r>
          </w:p>
        </w:tc>
      </w:tr>
      <w:tr w:rsidR="00D667A0" w14:paraId="4F1B904C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0E7B30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Northern Territory</w:t>
            </w:r>
          </w:p>
        </w:tc>
        <w:tc>
          <w:tcPr>
            <w:tcW w:w="2409" w:type="dxa"/>
          </w:tcPr>
          <w:p w14:paraId="149895A4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  <w:tc>
          <w:tcPr>
            <w:tcW w:w="1418" w:type="dxa"/>
          </w:tcPr>
          <w:p w14:paraId="3CB166B5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701" w:type="dxa"/>
          </w:tcPr>
          <w:p w14:paraId="7CBDF515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1E7023D6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33A">
              <w:rPr>
                <w:lang w:val="it"/>
              </w:rPr>
              <w:t>4</w:t>
            </w:r>
          </w:p>
        </w:tc>
      </w:tr>
      <w:tr w:rsidR="00D667A0" w14:paraId="2ED38D3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7B9F5B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Totale nazionale</w:t>
            </w:r>
          </w:p>
        </w:tc>
        <w:tc>
          <w:tcPr>
            <w:tcW w:w="2409" w:type="dxa"/>
          </w:tcPr>
          <w:p w14:paraId="749D478A" w14:textId="77777777" w:rsidR="00C82759" w:rsidRPr="00C82759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26</w:t>
            </w:r>
          </w:p>
        </w:tc>
        <w:tc>
          <w:tcPr>
            <w:tcW w:w="1418" w:type="dxa"/>
          </w:tcPr>
          <w:p w14:paraId="50CE5F1C" w14:textId="77777777" w:rsidR="00C82759" w:rsidRPr="00C82759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17</w:t>
            </w:r>
          </w:p>
        </w:tc>
        <w:tc>
          <w:tcPr>
            <w:tcW w:w="1701" w:type="dxa"/>
          </w:tcPr>
          <w:p w14:paraId="18239741" w14:textId="77777777" w:rsidR="00C82759" w:rsidRPr="00C82759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0</w:t>
            </w:r>
          </w:p>
        </w:tc>
        <w:tc>
          <w:tcPr>
            <w:tcW w:w="1276" w:type="dxa"/>
          </w:tcPr>
          <w:p w14:paraId="286E698A" w14:textId="77777777" w:rsidR="00C82759" w:rsidRPr="00C82759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43</w:t>
            </w:r>
          </w:p>
        </w:tc>
      </w:tr>
    </w:tbl>
    <w:p w14:paraId="04DCD4F8" w14:textId="18E5F1BC" w:rsidR="006146CF" w:rsidRPr="0024338D" w:rsidRDefault="00DB177E" w:rsidP="00B61BD1">
      <w:pPr>
        <w:spacing w:before="600"/>
        <w:rPr>
          <w:b/>
          <w:bCs/>
          <w:lang w:val="it-IT"/>
        </w:rPr>
      </w:pPr>
      <w:r w:rsidRPr="00A56869">
        <w:rPr>
          <w:b/>
          <w:bCs/>
          <w:lang w:val="it"/>
        </w:rPr>
        <w:t xml:space="preserve">Tabella 6: TAP per l’atteggiamento della comunità – stato delle azioni nel 2023-24 </w:t>
      </w:r>
      <w:r w:rsidR="002517F9">
        <w:rPr>
          <w:b/>
          <w:bCs/>
          <w:lang w:val="it"/>
        </w:rPr>
        <w:br/>
      </w:r>
      <w:r w:rsidRPr="00A56869">
        <w:rPr>
          <w:b/>
          <w:bCs/>
          <w:lang w:val="it"/>
        </w:rPr>
        <w:t>per obiettivo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D667A0" w14:paraId="0F3D8D2E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E2CFBD" w14:textId="77777777" w:rsidR="006146CF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Piano d'azione mirato</w:t>
            </w:r>
          </w:p>
        </w:tc>
        <w:tc>
          <w:tcPr>
            <w:tcW w:w="2409" w:type="dxa"/>
          </w:tcPr>
          <w:p w14:paraId="66484E7D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8" w:type="dxa"/>
          </w:tcPr>
          <w:p w14:paraId="7EF80086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</w:tcPr>
          <w:p w14:paraId="0B392332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</w:tcPr>
          <w:p w14:paraId="2A07FB39" w14:textId="77777777" w:rsidR="006146CF" w:rsidRPr="006C498F" w:rsidRDefault="00DB177E" w:rsidP="00261873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78D6CDD3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5DDE86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1</w:t>
            </w:r>
          </w:p>
        </w:tc>
        <w:tc>
          <w:tcPr>
            <w:tcW w:w="2409" w:type="dxa"/>
          </w:tcPr>
          <w:p w14:paraId="772E9916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3</w:t>
            </w:r>
          </w:p>
        </w:tc>
        <w:tc>
          <w:tcPr>
            <w:tcW w:w="1418" w:type="dxa"/>
          </w:tcPr>
          <w:p w14:paraId="51B3DC19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2</w:t>
            </w:r>
          </w:p>
        </w:tc>
        <w:tc>
          <w:tcPr>
            <w:tcW w:w="1701" w:type="dxa"/>
          </w:tcPr>
          <w:p w14:paraId="7C0F95B4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7CEF066F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5</w:t>
            </w:r>
          </w:p>
        </w:tc>
      </w:tr>
      <w:tr w:rsidR="00D667A0" w14:paraId="6C7A2A2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A32172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2</w:t>
            </w:r>
          </w:p>
        </w:tc>
        <w:tc>
          <w:tcPr>
            <w:tcW w:w="2409" w:type="dxa"/>
          </w:tcPr>
          <w:p w14:paraId="0446EDC1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9</w:t>
            </w:r>
          </w:p>
        </w:tc>
        <w:tc>
          <w:tcPr>
            <w:tcW w:w="1418" w:type="dxa"/>
          </w:tcPr>
          <w:p w14:paraId="301BC8B3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5</w:t>
            </w:r>
          </w:p>
        </w:tc>
        <w:tc>
          <w:tcPr>
            <w:tcW w:w="1701" w:type="dxa"/>
          </w:tcPr>
          <w:p w14:paraId="34EF4EB9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5BABE4EC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14</w:t>
            </w:r>
          </w:p>
        </w:tc>
      </w:tr>
      <w:tr w:rsidR="00D667A0" w14:paraId="4ADB673A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AFA350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3</w:t>
            </w:r>
          </w:p>
        </w:tc>
        <w:tc>
          <w:tcPr>
            <w:tcW w:w="2409" w:type="dxa"/>
          </w:tcPr>
          <w:p w14:paraId="5E18EDD5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2</w:t>
            </w:r>
          </w:p>
        </w:tc>
        <w:tc>
          <w:tcPr>
            <w:tcW w:w="1418" w:type="dxa"/>
          </w:tcPr>
          <w:p w14:paraId="7D68DFF0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3B63F90B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555E268" w14:textId="77777777" w:rsidR="00C82759" w:rsidRPr="006C498F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3</w:t>
            </w:r>
          </w:p>
        </w:tc>
      </w:tr>
      <w:tr w:rsidR="00D667A0" w14:paraId="607B21E0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5E1405CB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Obiettivo 4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12F21E6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12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83456A3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AEC7C24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D632B25" w14:textId="77777777" w:rsidR="00C82759" w:rsidRPr="006C498F" w:rsidRDefault="00DB177E" w:rsidP="00261873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36D">
              <w:rPr>
                <w:lang w:val="it"/>
              </w:rPr>
              <w:t>21</w:t>
            </w:r>
          </w:p>
        </w:tc>
      </w:tr>
      <w:tr w:rsidR="00D667A0" w14:paraId="25229682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6ECF7CE4" w14:textId="77777777" w:rsidR="00C82759" w:rsidRPr="006C498F" w:rsidRDefault="00DB177E" w:rsidP="00261873">
            <w:pPr>
              <w:spacing w:before="100" w:after="100"/>
            </w:pPr>
            <w:r w:rsidRPr="006C498F">
              <w:rPr>
                <w:lang w:val="it"/>
              </w:rPr>
              <w:t>Totale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28F733F6" w14:textId="77777777" w:rsidR="00C82759" w:rsidRPr="00C82759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26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E912508" w14:textId="77777777" w:rsidR="00C82759" w:rsidRPr="00C82759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11467462" w14:textId="77777777" w:rsidR="00C82759" w:rsidRPr="00C82759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56EB8A39" w14:textId="77777777" w:rsidR="00C82759" w:rsidRPr="00C82759" w:rsidRDefault="00DB177E" w:rsidP="0026187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43</w:t>
            </w:r>
          </w:p>
        </w:tc>
      </w:tr>
    </w:tbl>
    <w:p w14:paraId="3AF4BEFC" w14:textId="77777777" w:rsidR="00B61BD1" w:rsidRDefault="00DB177E">
      <w:r>
        <w:br w:type="page"/>
      </w:r>
    </w:p>
    <w:p w14:paraId="5A4FA781" w14:textId="77777777" w:rsidR="00DC7B30" w:rsidRPr="0024338D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13" w:name="_Toc256000008"/>
      <w:r w:rsidRPr="00F877A4">
        <w:rPr>
          <w:sz w:val="48"/>
          <w:szCs w:val="48"/>
          <w:lang w:val="it"/>
        </w:rPr>
        <w:lastRenderedPageBreak/>
        <w:t>Piano d'azione mirato per la prima infanzia</w:t>
      </w:r>
      <w:bookmarkEnd w:id="13"/>
    </w:p>
    <w:p w14:paraId="3CD9F786" w14:textId="77777777" w:rsidR="008A3063" w:rsidRPr="0024338D" w:rsidRDefault="00DB177E" w:rsidP="00B61BD1">
      <w:pPr>
        <w:outlineLvl w:val="1"/>
        <w:rPr>
          <w:b/>
          <w:sz w:val="36"/>
          <w:szCs w:val="36"/>
          <w:lang w:val="it-IT"/>
        </w:rPr>
      </w:pPr>
      <w:bookmarkStart w:id="14" w:name="_Toc256000009"/>
      <w:r w:rsidRPr="006C498F">
        <w:rPr>
          <w:b/>
          <w:sz w:val="36"/>
          <w:szCs w:val="36"/>
          <w:lang w:val="it"/>
        </w:rPr>
        <w:t>Introduzione</w:t>
      </w:r>
      <w:bookmarkEnd w:id="14"/>
      <w:r w:rsidRPr="006C498F">
        <w:rPr>
          <w:b/>
          <w:sz w:val="36"/>
          <w:szCs w:val="36"/>
          <w:lang w:val="it"/>
        </w:rPr>
        <w:t xml:space="preserve"> </w:t>
      </w:r>
    </w:p>
    <w:p w14:paraId="10F9AC98" w14:textId="77777777" w:rsidR="007417AF" w:rsidRPr="0024338D" w:rsidRDefault="00DB177E" w:rsidP="007417AF">
      <w:pPr>
        <w:rPr>
          <w:lang w:val="it-IT"/>
        </w:rPr>
      </w:pPr>
      <w:r w:rsidRPr="006C498F">
        <w:rPr>
          <w:lang w:val="it"/>
        </w:rPr>
        <w:t xml:space="preserve">Nell’ambito del TAP per la prima infanzia sono state segnalate 54 azioni del governo federale e dei governi statali e territoriali per il periodo 2023-2024. </w:t>
      </w:r>
    </w:p>
    <w:p w14:paraId="555EFFAF" w14:textId="77777777" w:rsidR="006146CF" w:rsidRPr="0024338D" w:rsidRDefault="00DB177E" w:rsidP="006146CF">
      <w:pPr>
        <w:rPr>
          <w:b/>
          <w:bCs/>
          <w:lang w:val="it-IT"/>
        </w:rPr>
      </w:pPr>
      <w:r w:rsidRPr="00A56869">
        <w:rPr>
          <w:b/>
          <w:bCs/>
          <w:lang w:val="it"/>
        </w:rPr>
        <w:t>Tabella 7: TAP per la prima infanzia – stato delle azioni nel 2023-24 per governo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D667A0" w14:paraId="5EBDD22A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3883CCD1" w14:textId="77777777" w:rsidR="006146C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Governo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3554B83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A3EB568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C2484D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25C6C90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7F0CCEB3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33347DC9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 xml:space="preserve">Governo australiano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7FCA4A67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E954F13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10756E9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19DD54D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8</w:t>
            </w:r>
          </w:p>
        </w:tc>
      </w:tr>
      <w:tr w:rsidR="00D667A0" w14:paraId="7802E38D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62A02A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New South Wales</w:t>
            </w:r>
          </w:p>
        </w:tc>
        <w:tc>
          <w:tcPr>
            <w:tcW w:w="2409" w:type="dxa"/>
          </w:tcPr>
          <w:p w14:paraId="47A73DE7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418" w:type="dxa"/>
          </w:tcPr>
          <w:p w14:paraId="75FEAE2B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2</w:t>
            </w:r>
          </w:p>
        </w:tc>
        <w:tc>
          <w:tcPr>
            <w:tcW w:w="1701" w:type="dxa"/>
          </w:tcPr>
          <w:p w14:paraId="466C8D00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276" w:type="dxa"/>
          </w:tcPr>
          <w:p w14:paraId="4D6A09B3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4</w:t>
            </w:r>
          </w:p>
        </w:tc>
      </w:tr>
      <w:tr w:rsidR="00D667A0" w14:paraId="0B1C80CC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E09C06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Victoria</w:t>
            </w:r>
          </w:p>
        </w:tc>
        <w:tc>
          <w:tcPr>
            <w:tcW w:w="2409" w:type="dxa"/>
          </w:tcPr>
          <w:p w14:paraId="40CE5923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418" w:type="dxa"/>
          </w:tcPr>
          <w:p w14:paraId="473E6E14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4111D15A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63994C99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2</w:t>
            </w:r>
          </w:p>
        </w:tc>
      </w:tr>
      <w:tr w:rsidR="00D667A0" w14:paraId="0142BA58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85C535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Queensland</w:t>
            </w:r>
          </w:p>
        </w:tc>
        <w:tc>
          <w:tcPr>
            <w:tcW w:w="2409" w:type="dxa"/>
          </w:tcPr>
          <w:p w14:paraId="29EB7DD0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6</w:t>
            </w:r>
          </w:p>
        </w:tc>
        <w:tc>
          <w:tcPr>
            <w:tcW w:w="1418" w:type="dxa"/>
          </w:tcPr>
          <w:p w14:paraId="4A465C32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084BB685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5BA5C350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7</w:t>
            </w:r>
          </w:p>
        </w:tc>
      </w:tr>
      <w:tr w:rsidR="00D667A0" w14:paraId="344DDCE0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F3731E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Western Australia</w:t>
            </w:r>
          </w:p>
        </w:tc>
        <w:tc>
          <w:tcPr>
            <w:tcW w:w="2409" w:type="dxa"/>
          </w:tcPr>
          <w:p w14:paraId="51944C18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41382663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4</w:t>
            </w:r>
          </w:p>
        </w:tc>
        <w:tc>
          <w:tcPr>
            <w:tcW w:w="1701" w:type="dxa"/>
          </w:tcPr>
          <w:p w14:paraId="22256C7F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10C01763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4</w:t>
            </w:r>
          </w:p>
        </w:tc>
      </w:tr>
      <w:tr w:rsidR="00D667A0" w14:paraId="3C95177F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1F41C9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South Australia</w:t>
            </w:r>
          </w:p>
        </w:tc>
        <w:tc>
          <w:tcPr>
            <w:tcW w:w="2409" w:type="dxa"/>
          </w:tcPr>
          <w:p w14:paraId="0C2B8FA5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4</w:t>
            </w:r>
          </w:p>
        </w:tc>
        <w:tc>
          <w:tcPr>
            <w:tcW w:w="1418" w:type="dxa"/>
          </w:tcPr>
          <w:p w14:paraId="7E325553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3</w:t>
            </w:r>
          </w:p>
        </w:tc>
        <w:tc>
          <w:tcPr>
            <w:tcW w:w="1701" w:type="dxa"/>
          </w:tcPr>
          <w:p w14:paraId="6C004DAE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</w:t>
            </w:r>
          </w:p>
        </w:tc>
        <w:tc>
          <w:tcPr>
            <w:tcW w:w="1276" w:type="dxa"/>
          </w:tcPr>
          <w:p w14:paraId="62B10837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8</w:t>
            </w:r>
          </w:p>
        </w:tc>
      </w:tr>
      <w:tr w:rsidR="00D667A0" w14:paraId="53F1D490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B34418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Tasmania</w:t>
            </w:r>
          </w:p>
        </w:tc>
        <w:tc>
          <w:tcPr>
            <w:tcW w:w="2409" w:type="dxa"/>
          </w:tcPr>
          <w:p w14:paraId="7E482834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313B4AC7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5</w:t>
            </w:r>
          </w:p>
        </w:tc>
        <w:tc>
          <w:tcPr>
            <w:tcW w:w="1701" w:type="dxa"/>
          </w:tcPr>
          <w:p w14:paraId="4AB07FBF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702198DA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5</w:t>
            </w:r>
          </w:p>
        </w:tc>
      </w:tr>
      <w:tr w:rsidR="00D667A0" w14:paraId="698CC18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746B68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Australian Capital Territory</w:t>
            </w:r>
          </w:p>
        </w:tc>
        <w:tc>
          <w:tcPr>
            <w:tcW w:w="2409" w:type="dxa"/>
          </w:tcPr>
          <w:p w14:paraId="30495F7B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3</w:t>
            </w:r>
          </w:p>
        </w:tc>
        <w:tc>
          <w:tcPr>
            <w:tcW w:w="1418" w:type="dxa"/>
          </w:tcPr>
          <w:p w14:paraId="09E0BE57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701" w:type="dxa"/>
          </w:tcPr>
          <w:p w14:paraId="0DF2BC1E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34277A54" w14:textId="77777777" w:rsidR="00C82759" w:rsidRPr="006C498F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3</w:t>
            </w:r>
          </w:p>
        </w:tc>
      </w:tr>
      <w:tr w:rsidR="00D667A0" w14:paraId="0BDEB170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57E95027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Northern Territory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CB4C887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E7DAD26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66856EF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BDBD749" w14:textId="77777777" w:rsidR="00C82759" w:rsidRPr="006C498F" w:rsidRDefault="00DB177E" w:rsidP="004A303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50">
              <w:rPr>
                <w:lang w:val="it"/>
              </w:rPr>
              <w:t>13</w:t>
            </w:r>
          </w:p>
        </w:tc>
      </w:tr>
      <w:tr w:rsidR="00D667A0" w14:paraId="38920331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7949C5B7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 nazionale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1E32E7E2" w14:textId="77777777" w:rsidR="00C82759" w:rsidRPr="00C82759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1F679E2" w14:textId="77777777" w:rsidR="00C82759" w:rsidRPr="00C82759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7AE9019" w14:textId="77777777" w:rsidR="00C82759" w:rsidRPr="00C82759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4EDABD03" w14:textId="77777777" w:rsidR="00C82759" w:rsidRPr="00C82759" w:rsidRDefault="00DB177E" w:rsidP="004A30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54</w:t>
            </w:r>
          </w:p>
        </w:tc>
      </w:tr>
    </w:tbl>
    <w:p w14:paraId="5491463E" w14:textId="77777777" w:rsidR="006146CF" w:rsidRPr="006C498F" w:rsidRDefault="006146CF" w:rsidP="006146CF"/>
    <w:p w14:paraId="64409163" w14:textId="77777777" w:rsidR="006146CF" w:rsidRPr="0024338D" w:rsidRDefault="00DB177E" w:rsidP="006146CF">
      <w:pPr>
        <w:rPr>
          <w:b/>
          <w:bCs/>
          <w:lang w:val="it-IT"/>
        </w:rPr>
      </w:pPr>
      <w:r w:rsidRPr="00A56869">
        <w:rPr>
          <w:b/>
          <w:bCs/>
          <w:lang w:val="it"/>
        </w:rPr>
        <w:t>Tabella 8: TAP per la prima infanzia – stato delle azioni nel 2023-24 per obiettivo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D667A0" w14:paraId="53502152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1C166D24" w14:textId="77777777" w:rsidR="006146C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Piano d'azione mirato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365C051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18FACC9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FE447D3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3A45B53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01B6664B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441B1A09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5EC29D8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B22A1E7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AA14E7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9F0B0AB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22</w:t>
            </w:r>
          </w:p>
        </w:tc>
      </w:tr>
      <w:tr w:rsidR="00D667A0" w14:paraId="0714A7F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7EFA60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2</w:t>
            </w:r>
          </w:p>
        </w:tc>
        <w:tc>
          <w:tcPr>
            <w:tcW w:w="2409" w:type="dxa"/>
          </w:tcPr>
          <w:p w14:paraId="1B581862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11</w:t>
            </w:r>
          </w:p>
        </w:tc>
        <w:tc>
          <w:tcPr>
            <w:tcW w:w="1418" w:type="dxa"/>
          </w:tcPr>
          <w:p w14:paraId="1DAC3A7A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8</w:t>
            </w:r>
          </w:p>
        </w:tc>
        <w:tc>
          <w:tcPr>
            <w:tcW w:w="1701" w:type="dxa"/>
          </w:tcPr>
          <w:p w14:paraId="734C09BF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1</w:t>
            </w:r>
          </w:p>
        </w:tc>
        <w:tc>
          <w:tcPr>
            <w:tcW w:w="1276" w:type="dxa"/>
          </w:tcPr>
          <w:p w14:paraId="471EE3C4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20</w:t>
            </w:r>
          </w:p>
        </w:tc>
      </w:tr>
      <w:tr w:rsidR="00D667A0" w14:paraId="78D718C9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3E7BF5A3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3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48B3852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BFC6DE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E1198D3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420C94C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454">
              <w:rPr>
                <w:lang w:val="it"/>
              </w:rPr>
              <w:t>12</w:t>
            </w:r>
          </w:p>
        </w:tc>
      </w:tr>
      <w:tr w:rsidR="00D667A0" w14:paraId="3658086E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6EDECF5A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74C5A51B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D5BEEEC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2AE9C627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656387A7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54</w:t>
            </w:r>
          </w:p>
        </w:tc>
      </w:tr>
    </w:tbl>
    <w:p w14:paraId="6A4839FA" w14:textId="77777777" w:rsidR="006815A0" w:rsidRDefault="00DB177E">
      <w:r>
        <w:br w:type="page"/>
      </w:r>
    </w:p>
    <w:p w14:paraId="6FE519BD" w14:textId="77777777" w:rsidR="00DC7B30" w:rsidRPr="0024338D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15" w:name="_Toc256000010"/>
      <w:r w:rsidRPr="00F877A4">
        <w:rPr>
          <w:sz w:val="48"/>
          <w:szCs w:val="48"/>
          <w:lang w:val="it"/>
        </w:rPr>
        <w:lastRenderedPageBreak/>
        <w:t>Piano d'azione mirato per la sicurezza</w:t>
      </w:r>
      <w:bookmarkEnd w:id="15"/>
    </w:p>
    <w:p w14:paraId="43195368" w14:textId="77777777" w:rsidR="00DC7B30" w:rsidRPr="0024338D" w:rsidRDefault="00DB177E" w:rsidP="00B61BD1">
      <w:pPr>
        <w:outlineLvl w:val="1"/>
        <w:rPr>
          <w:b/>
          <w:sz w:val="36"/>
          <w:szCs w:val="36"/>
          <w:lang w:val="it-IT"/>
        </w:rPr>
      </w:pPr>
      <w:bookmarkStart w:id="16" w:name="_Toc256000011"/>
      <w:r w:rsidRPr="006C498F">
        <w:rPr>
          <w:b/>
          <w:sz w:val="36"/>
          <w:szCs w:val="36"/>
          <w:lang w:val="it"/>
        </w:rPr>
        <w:t>Introduzione</w:t>
      </w:r>
      <w:bookmarkEnd w:id="16"/>
      <w:r w:rsidRPr="006C498F">
        <w:rPr>
          <w:b/>
          <w:sz w:val="36"/>
          <w:szCs w:val="36"/>
          <w:lang w:val="it"/>
        </w:rPr>
        <w:t xml:space="preserve"> </w:t>
      </w:r>
    </w:p>
    <w:p w14:paraId="3DA19E6A" w14:textId="77777777" w:rsidR="007417AF" w:rsidRPr="0024338D" w:rsidRDefault="00DB177E" w:rsidP="007417AF">
      <w:pPr>
        <w:rPr>
          <w:lang w:val="it-IT"/>
        </w:rPr>
      </w:pPr>
      <w:r w:rsidRPr="006C498F">
        <w:rPr>
          <w:lang w:val="it"/>
        </w:rPr>
        <w:t xml:space="preserve">Nell’ambito del TAP per la sicurezza sono state segnalate 83 azioni del governo federale e dei governi statali e territoriali per il periodo 2023-2024. </w:t>
      </w:r>
    </w:p>
    <w:p w14:paraId="7C4715FB" w14:textId="77777777" w:rsidR="006146CF" w:rsidRPr="0024338D" w:rsidRDefault="00DB177E" w:rsidP="006146CF">
      <w:pPr>
        <w:rPr>
          <w:b/>
          <w:bCs/>
          <w:lang w:val="it-IT"/>
        </w:rPr>
      </w:pPr>
      <w:r w:rsidRPr="00A56869">
        <w:rPr>
          <w:b/>
          <w:bCs/>
          <w:lang w:val="it"/>
        </w:rPr>
        <w:t>Tabella 9: TAP per la sicurezza – stato delle azioni nel 2023-24 per governo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701"/>
        <w:gridCol w:w="1418"/>
      </w:tblGrid>
      <w:tr w:rsidR="00D667A0" w14:paraId="112BB0D3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4E233758" w14:textId="77777777" w:rsidR="006146C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Governo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80EF9DE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1949DC1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D74C25E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3514E09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5D6240B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542B4460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 xml:space="preserve">Governo australiano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AEAF9C8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37D3E81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D3B45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2B9CFB5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14</w:t>
            </w:r>
          </w:p>
        </w:tc>
      </w:tr>
      <w:tr w:rsidR="00D667A0" w14:paraId="2E6ACCB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5AD21B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New South Wales</w:t>
            </w:r>
          </w:p>
        </w:tc>
        <w:tc>
          <w:tcPr>
            <w:tcW w:w="2410" w:type="dxa"/>
          </w:tcPr>
          <w:p w14:paraId="403B0CCE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14</w:t>
            </w:r>
          </w:p>
        </w:tc>
        <w:tc>
          <w:tcPr>
            <w:tcW w:w="1417" w:type="dxa"/>
          </w:tcPr>
          <w:p w14:paraId="3467211D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3</w:t>
            </w:r>
          </w:p>
        </w:tc>
        <w:tc>
          <w:tcPr>
            <w:tcW w:w="1701" w:type="dxa"/>
          </w:tcPr>
          <w:p w14:paraId="736E2D0C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64C32B8E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17</w:t>
            </w:r>
          </w:p>
        </w:tc>
      </w:tr>
      <w:tr w:rsidR="00D667A0" w14:paraId="1E875C18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3C520F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Victoria</w:t>
            </w:r>
          </w:p>
        </w:tc>
        <w:tc>
          <w:tcPr>
            <w:tcW w:w="2410" w:type="dxa"/>
          </w:tcPr>
          <w:p w14:paraId="6F24F18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8</w:t>
            </w:r>
          </w:p>
        </w:tc>
        <w:tc>
          <w:tcPr>
            <w:tcW w:w="1417" w:type="dxa"/>
          </w:tcPr>
          <w:p w14:paraId="775286FB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701" w:type="dxa"/>
          </w:tcPr>
          <w:p w14:paraId="34113B3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141902A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8</w:t>
            </w:r>
          </w:p>
        </w:tc>
      </w:tr>
      <w:tr w:rsidR="00D667A0" w14:paraId="339F7E47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4CAA0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Queensland</w:t>
            </w:r>
          </w:p>
        </w:tc>
        <w:tc>
          <w:tcPr>
            <w:tcW w:w="2410" w:type="dxa"/>
          </w:tcPr>
          <w:p w14:paraId="693E4805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4</w:t>
            </w:r>
          </w:p>
        </w:tc>
        <w:tc>
          <w:tcPr>
            <w:tcW w:w="1417" w:type="dxa"/>
          </w:tcPr>
          <w:p w14:paraId="155DD73D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6</w:t>
            </w:r>
          </w:p>
        </w:tc>
        <w:tc>
          <w:tcPr>
            <w:tcW w:w="1701" w:type="dxa"/>
          </w:tcPr>
          <w:p w14:paraId="4C16F675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27F9C24B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10</w:t>
            </w:r>
          </w:p>
        </w:tc>
      </w:tr>
      <w:tr w:rsidR="00D667A0" w14:paraId="175FACA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BC4B21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Western Australia</w:t>
            </w:r>
          </w:p>
        </w:tc>
        <w:tc>
          <w:tcPr>
            <w:tcW w:w="2410" w:type="dxa"/>
          </w:tcPr>
          <w:p w14:paraId="3A9AE297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</w:t>
            </w:r>
          </w:p>
        </w:tc>
        <w:tc>
          <w:tcPr>
            <w:tcW w:w="1417" w:type="dxa"/>
          </w:tcPr>
          <w:p w14:paraId="62F39E22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5</w:t>
            </w:r>
          </w:p>
        </w:tc>
        <w:tc>
          <w:tcPr>
            <w:tcW w:w="1701" w:type="dxa"/>
          </w:tcPr>
          <w:p w14:paraId="3706720B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0D51D4DC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6</w:t>
            </w:r>
          </w:p>
        </w:tc>
      </w:tr>
      <w:tr w:rsidR="00D667A0" w14:paraId="50B2034F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6E5283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South Australia</w:t>
            </w:r>
          </w:p>
        </w:tc>
        <w:tc>
          <w:tcPr>
            <w:tcW w:w="2410" w:type="dxa"/>
          </w:tcPr>
          <w:p w14:paraId="3F604401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5</w:t>
            </w:r>
          </w:p>
        </w:tc>
        <w:tc>
          <w:tcPr>
            <w:tcW w:w="1417" w:type="dxa"/>
          </w:tcPr>
          <w:p w14:paraId="6B1DC116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6</w:t>
            </w:r>
          </w:p>
        </w:tc>
        <w:tc>
          <w:tcPr>
            <w:tcW w:w="1701" w:type="dxa"/>
          </w:tcPr>
          <w:p w14:paraId="6F856A51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</w:t>
            </w:r>
          </w:p>
        </w:tc>
        <w:tc>
          <w:tcPr>
            <w:tcW w:w="1418" w:type="dxa"/>
          </w:tcPr>
          <w:p w14:paraId="6C4C930B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12</w:t>
            </w:r>
          </w:p>
        </w:tc>
      </w:tr>
      <w:tr w:rsidR="00D667A0" w14:paraId="0921F0B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35C058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Tasmania</w:t>
            </w:r>
          </w:p>
        </w:tc>
        <w:tc>
          <w:tcPr>
            <w:tcW w:w="2410" w:type="dxa"/>
          </w:tcPr>
          <w:p w14:paraId="2120D739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03ED64B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7</w:t>
            </w:r>
          </w:p>
        </w:tc>
        <w:tc>
          <w:tcPr>
            <w:tcW w:w="1701" w:type="dxa"/>
          </w:tcPr>
          <w:p w14:paraId="453DDDD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7173F8F0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7</w:t>
            </w:r>
          </w:p>
        </w:tc>
      </w:tr>
      <w:tr w:rsidR="00D667A0" w14:paraId="5ED9F00E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1D960B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Australian Capital Territory</w:t>
            </w:r>
          </w:p>
        </w:tc>
        <w:tc>
          <w:tcPr>
            <w:tcW w:w="2410" w:type="dxa"/>
          </w:tcPr>
          <w:p w14:paraId="681208D9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4</w:t>
            </w:r>
          </w:p>
        </w:tc>
        <w:tc>
          <w:tcPr>
            <w:tcW w:w="1417" w:type="dxa"/>
          </w:tcPr>
          <w:p w14:paraId="16EA598E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1</w:t>
            </w:r>
          </w:p>
        </w:tc>
        <w:tc>
          <w:tcPr>
            <w:tcW w:w="1701" w:type="dxa"/>
          </w:tcPr>
          <w:p w14:paraId="377A6591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6D97425E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5</w:t>
            </w:r>
          </w:p>
        </w:tc>
      </w:tr>
      <w:tr w:rsidR="00D667A0" w14:paraId="1B3A3E77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69DB361B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Northern Territory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9B78EA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1E8D5F8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C654623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4408BA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1E">
              <w:rPr>
                <w:lang w:val="it"/>
              </w:rPr>
              <w:t>4</w:t>
            </w:r>
          </w:p>
        </w:tc>
      </w:tr>
      <w:tr w:rsidR="00D667A0" w14:paraId="71EAF7D3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247B28EF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 nazionale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23DE1A2A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1A9E7FB9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44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4D96941A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4BC969E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83</w:t>
            </w:r>
          </w:p>
        </w:tc>
      </w:tr>
    </w:tbl>
    <w:p w14:paraId="5E323DFB" w14:textId="77777777" w:rsidR="006146CF" w:rsidRPr="006C498F" w:rsidRDefault="006146CF" w:rsidP="006146CF"/>
    <w:p w14:paraId="4880A86A" w14:textId="77777777" w:rsidR="006146CF" w:rsidRPr="0024338D" w:rsidRDefault="00DB177E" w:rsidP="006146CF">
      <w:pPr>
        <w:rPr>
          <w:b/>
          <w:bCs/>
          <w:lang w:val="it-IT"/>
        </w:rPr>
      </w:pPr>
      <w:r w:rsidRPr="00A56869">
        <w:rPr>
          <w:b/>
          <w:bCs/>
          <w:lang w:val="it"/>
        </w:rPr>
        <w:t>Tabella 10: TAP per la sicurezza – stato delle azioni nel 2023-24 per obiettivo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701"/>
        <w:gridCol w:w="1418"/>
      </w:tblGrid>
      <w:tr w:rsidR="00D667A0" w14:paraId="06999A22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0AC9C95F" w14:textId="77777777" w:rsidR="006146C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Piano d'azione mirato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A3EF356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0A226D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BD796ED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8C5C814" w14:textId="77777777" w:rsidR="006146C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35D04779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4DBACF49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2AF018F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EDB7CD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5518FFD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0D99C0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12</w:t>
            </w:r>
          </w:p>
        </w:tc>
      </w:tr>
      <w:tr w:rsidR="00D667A0" w14:paraId="66C301EA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52B5F1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2</w:t>
            </w:r>
          </w:p>
        </w:tc>
        <w:tc>
          <w:tcPr>
            <w:tcW w:w="2410" w:type="dxa"/>
          </w:tcPr>
          <w:p w14:paraId="0A1A8EE2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4</w:t>
            </w:r>
          </w:p>
        </w:tc>
        <w:tc>
          <w:tcPr>
            <w:tcW w:w="1417" w:type="dxa"/>
          </w:tcPr>
          <w:p w14:paraId="37E82DA6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11</w:t>
            </w:r>
          </w:p>
        </w:tc>
        <w:tc>
          <w:tcPr>
            <w:tcW w:w="1701" w:type="dxa"/>
          </w:tcPr>
          <w:p w14:paraId="612BFFF6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70076538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15</w:t>
            </w:r>
          </w:p>
        </w:tc>
      </w:tr>
      <w:tr w:rsidR="00D667A0" w14:paraId="378DE73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22D4F7D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3</w:t>
            </w:r>
          </w:p>
        </w:tc>
        <w:tc>
          <w:tcPr>
            <w:tcW w:w="2410" w:type="dxa"/>
          </w:tcPr>
          <w:p w14:paraId="7F4F544F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21</w:t>
            </w:r>
          </w:p>
        </w:tc>
        <w:tc>
          <w:tcPr>
            <w:tcW w:w="1417" w:type="dxa"/>
          </w:tcPr>
          <w:p w14:paraId="21625C1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13</w:t>
            </w:r>
          </w:p>
        </w:tc>
        <w:tc>
          <w:tcPr>
            <w:tcW w:w="1701" w:type="dxa"/>
          </w:tcPr>
          <w:p w14:paraId="55741F98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2</w:t>
            </w:r>
          </w:p>
        </w:tc>
        <w:tc>
          <w:tcPr>
            <w:tcW w:w="1418" w:type="dxa"/>
          </w:tcPr>
          <w:p w14:paraId="62ECF55D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36</w:t>
            </w:r>
          </w:p>
        </w:tc>
      </w:tr>
      <w:tr w:rsidR="00D667A0" w14:paraId="17F160A8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ED3C65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4</w:t>
            </w:r>
          </w:p>
        </w:tc>
        <w:tc>
          <w:tcPr>
            <w:tcW w:w="2410" w:type="dxa"/>
          </w:tcPr>
          <w:p w14:paraId="7D32C6BB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7</w:t>
            </w:r>
          </w:p>
        </w:tc>
        <w:tc>
          <w:tcPr>
            <w:tcW w:w="1417" w:type="dxa"/>
          </w:tcPr>
          <w:p w14:paraId="1FFEDE2F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10</w:t>
            </w:r>
          </w:p>
        </w:tc>
        <w:tc>
          <w:tcPr>
            <w:tcW w:w="1701" w:type="dxa"/>
          </w:tcPr>
          <w:p w14:paraId="0F9E7A6F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0</w:t>
            </w:r>
          </w:p>
        </w:tc>
        <w:tc>
          <w:tcPr>
            <w:tcW w:w="1418" w:type="dxa"/>
          </w:tcPr>
          <w:p w14:paraId="4DCBA121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17</w:t>
            </w:r>
          </w:p>
        </w:tc>
      </w:tr>
      <w:tr w:rsidR="00D667A0" w14:paraId="377A161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2215D590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AAEC88F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E50E838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0E9971D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C572D8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024">
              <w:rPr>
                <w:lang w:val="it"/>
              </w:rPr>
              <w:t>3</w:t>
            </w:r>
          </w:p>
        </w:tc>
      </w:tr>
      <w:tr w:rsidR="00D667A0" w14:paraId="0BDFF13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61AD606B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5358C555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F972D44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44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35B045F2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46783040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83</w:t>
            </w:r>
          </w:p>
        </w:tc>
      </w:tr>
    </w:tbl>
    <w:p w14:paraId="29350539" w14:textId="77777777" w:rsidR="006146CF" w:rsidRPr="006C498F" w:rsidRDefault="00DB177E" w:rsidP="006815A0">
      <w:r>
        <w:br w:type="page"/>
      </w:r>
    </w:p>
    <w:p w14:paraId="7216316C" w14:textId="77777777" w:rsidR="00DC7B30" w:rsidRPr="0024338D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17" w:name="_Toc256000012"/>
      <w:r w:rsidRPr="00F877A4">
        <w:rPr>
          <w:sz w:val="48"/>
          <w:szCs w:val="48"/>
          <w:lang w:val="it"/>
        </w:rPr>
        <w:lastRenderedPageBreak/>
        <w:t>Piano d'azione mirato per la gestione delle emergenze</w:t>
      </w:r>
      <w:bookmarkEnd w:id="17"/>
    </w:p>
    <w:p w14:paraId="5872F4A5" w14:textId="77777777" w:rsidR="00DC7B30" w:rsidRPr="0024338D" w:rsidRDefault="00DB177E" w:rsidP="00B61BD1">
      <w:pPr>
        <w:outlineLvl w:val="1"/>
        <w:rPr>
          <w:b/>
          <w:sz w:val="36"/>
          <w:szCs w:val="36"/>
          <w:lang w:val="it-IT"/>
        </w:rPr>
      </w:pPr>
      <w:bookmarkStart w:id="18" w:name="_Toc256000013"/>
      <w:r w:rsidRPr="006C498F">
        <w:rPr>
          <w:b/>
          <w:sz w:val="36"/>
          <w:szCs w:val="36"/>
          <w:lang w:val="it"/>
        </w:rPr>
        <w:t>Introduzione</w:t>
      </w:r>
      <w:bookmarkEnd w:id="18"/>
      <w:r w:rsidRPr="006C498F">
        <w:rPr>
          <w:b/>
          <w:sz w:val="36"/>
          <w:szCs w:val="36"/>
          <w:lang w:val="it"/>
        </w:rPr>
        <w:t xml:space="preserve"> </w:t>
      </w:r>
    </w:p>
    <w:p w14:paraId="4D2033E2" w14:textId="77777777" w:rsidR="007417AF" w:rsidRPr="0024338D" w:rsidRDefault="00DB177E" w:rsidP="007417AF">
      <w:pPr>
        <w:rPr>
          <w:lang w:val="it-IT"/>
        </w:rPr>
      </w:pPr>
      <w:r w:rsidRPr="006C498F">
        <w:rPr>
          <w:lang w:val="it"/>
        </w:rPr>
        <w:t xml:space="preserve">Nell’ambito del TAP per la gestione delle emergenze sono state segnalate 37 azioni del governo federale e dei governi statali e territoriali per il periodo 2023-2024. </w:t>
      </w:r>
    </w:p>
    <w:p w14:paraId="67734C0D" w14:textId="77777777" w:rsidR="006C498F" w:rsidRPr="0024338D" w:rsidRDefault="00DB177E" w:rsidP="00BF3141">
      <w:pPr>
        <w:keepNext/>
        <w:rPr>
          <w:b/>
          <w:bCs/>
          <w:lang w:val="it-IT"/>
        </w:rPr>
      </w:pPr>
      <w:r w:rsidRPr="00A56869">
        <w:rPr>
          <w:b/>
          <w:bCs/>
          <w:lang w:val="it"/>
        </w:rPr>
        <w:t>Tabella 11: TAP per la gestione delle emergenze – stato delle azioni nel 2023</w:t>
      </w:r>
      <w:r w:rsidRPr="00A56869">
        <w:rPr>
          <w:b/>
          <w:bCs/>
          <w:lang w:val="it"/>
        </w:rPr>
        <w:noBreakHyphen/>
        <w:t>24 per governo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843"/>
        <w:gridCol w:w="1276"/>
      </w:tblGrid>
      <w:tr w:rsidR="00D667A0" w14:paraId="4B9C58CF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4D397E97" w14:textId="77777777" w:rsidR="006C498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Governo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1BA47F7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26791CA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A50E206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FBF2BF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7DDBED54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4807EBB8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 xml:space="preserve">Governo australiano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2EAC89C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41EEF8D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1D8B6D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1EAF59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12</w:t>
            </w:r>
          </w:p>
        </w:tc>
      </w:tr>
      <w:tr w:rsidR="00D667A0" w14:paraId="48E1961A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2CA30D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New South Wales</w:t>
            </w:r>
          </w:p>
        </w:tc>
        <w:tc>
          <w:tcPr>
            <w:tcW w:w="2410" w:type="dxa"/>
          </w:tcPr>
          <w:p w14:paraId="40782D86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  <w:tc>
          <w:tcPr>
            <w:tcW w:w="1417" w:type="dxa"/>
          </w:tcPr>
          <w:p w14:paraId="5D7734A3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843" w:type="dxa"/>
          </w:tcPr>
          <w:p w14:paraId="412B2B94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3033A8DB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</w:tr>
      <w:tr w:rsidR="00D667A0" w14:paraId="2AECF0E4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48344C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Victoria</w:t>
            </w:r>
          </w:p>
        </w:tc>
        <w:tc>
          <w:tcPr>
            <w:tcW w:w="2410" w:type="dxa"/>
          </w:tcPr>
          <w:p w14:paraId="1A0AFAB7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2</w:t>
            </w:r>
          </w:p>
        </w:tc>
        <w:tc>
          <w:tcPr>
            <w:tcW w:w="1417" w:type="dxa"/>
          </w:tcPr>
          <w:p w14:paraId="3240ED50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0</w:t>
            </w:r>
          </w:p>
        </w:tc>
        <w:tc>
          <w:tcPr>
            <w:tcW w:w="1843" w:type="dxa"/>
          </w:tcPr>
          <w:p w14:paraId="7FDCDDB1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5731C204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2</w:t>
            </w:r>
          </w:p>
        </w:tc>
      </w:tr>
      <w:tr w:rsidR="00D667A0" w14:paraId="7DA10BDA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E221B5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Queensland</w:t>
            </w:r>
          </w:p>
        </w:tc>
        <w:tc>
          <w:tcPr>
            <w:tcW w:w="2410" w:type="dxa"/>
          </w:tcPr>
          <w:p w14:paraId="24341684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2</w:t>
            </w:r>
          </w:p>
        </w:tc>
        <w:tc>
          <w:tcPr>
            <w:tcW w:w="1417" w:type="dxa"/>
          </w:tcPr>
          <w:p w14:paraId="7D507FCB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1</w:t>
            </w:r>
          </w:p>
        </w:tc>
        <w:tc>
          <w:tcPr>
            <w:tcW w:w="1843" w:type="dxa"/>
          </w:tcPr>
          <w:p w14:paraId="144397A5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01D4307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</w:tr>
      <w:tr w:rsidR="00D667A0" w14:paraId="210CBEC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6509FC3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Western Australia</w:t>
            </w:r>
          </w:p>
        </w:tc>
        <w:tc>
          <w:tcPr>
            <w:tcW w:w="2410" w:type="dxa"/>
          </w:tcPr>
          <w:p w14:paraId="7E0DBD8C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702DAF8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  <w:tc>
          <w:tcPr>
            <w:tcW w:w="1843" w:type="dxa"/>
          </w:tcPr>
          <w:p w14:paraId="23B397B3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3BCF76C9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</w:tr>
      <w:tr w:rsidR="00D667A0" w14:paraId="0F24E06F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00D11D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South Australia</w:t>
            </w:r>
          </w:p>
        </w:tc>
        <w:tc>
          <w:tcPr>
            <w:tcW w:w="2410" w:type="dxa"/>
          </w:tcPr>
          <w:p w14:paraId="1762E4B5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2</w:t>
            </w:r>
          </w:p>
        </w:tc>
        <w:tc>
          <w:tcPr>
            <w:tcW w:w="1417" w:type="dxa"/>
          </w:tcPr>
          <w:p w14:paraId="47ECBCCF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6</w:t>
            </w:r>
          </w:p>
        </w:tc>
        <w:tc>
          <w:tcPr>
            <w:tcW w:w="1843" w:type="dxa"/>
          </w:tcPr>
          <w:p w14:paraId="60143A5C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30FC5D3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8</w:t>
            </w:r>
          </w:p>
        </w:tc>
      </w:tr>
      <w:tr w:rsidR="00D667A0" w14:paraId="0F14473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C2BF52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Tasmania</w:t>
            </w:r>
          </w:p>
        </w:tc>
        <w:tc>
          <w:tcPr>
            <w:tcW w:w="2410" w:type="dxa"/>
          </w:tcPr>
          <w:p w14:paraId="0E3271B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  <w:tc>
          <w:tcPr>
            <w:tcW w:w="1417" w:type="dxa"/>
          </w:tcPr>
          <w:p w14:paraId="4041A43E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843" w:type="dxa"/>
          </w:tcPr>
          <w:p w14:paraId="3146B6C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00DF3C2D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</w:tr>
      <w:tr w:rsidR="00D667A0" w14:paraId="235DAD3F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FBE92A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Australian Capital Territory</w:t>
            </w:r>
          </w:p>
        </w:tc>
        <w:tc>
          <w:tcPr>
            <w:tcW w:w="2410" w:type="dxa"/>
          </w:tcPr>
          <w:p w14:paraId="362C9E61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68C4AE37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843" w:type="dxa"/>
          </w:tcPr>
          <w:p w14:paraId="5C5C5456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</w:tcPr>
          <w:p w14:paraId="5D1C57B5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</w:tr>
      <w:tr w:rsidR="00D667A0" w14:paraId="2954FDE8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5BCC1257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Northern Territory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EE8863F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972F547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A388F31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6DA21F0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9D3">
              <w:rPr>
                <w:lang w:val="it"/>
              </w:rPr>
              <w:t>3</w:t>
            </w:r>
          </w:p>
        </w:tc>
      </w:tr>
      <w:tr w:rsidR="00D667A0" w14:paraId="05753BB4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3C9D81BA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 nazionale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01868B40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2198BF17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19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7BE7889B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7C7090F0" w14:textId="77777777" w:rsidR="00C82759" w:rsidRPr="00C82759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37</w:t>
            </w:r>
          </w:p>
        </w:tc>
      </w:tr>
    </w:tbl>
    <w:p w14:paraId="7D802D3F" w14:textId="77777777" w:rsidR="006C498F" w:rsidRPr="0024338D" w:rsidRDefault="00DB177E" w:rsidP="00B61BD1">
      <w:pPr>
        <w:keepNext/>
        <w:spacing w:before="600"/>
        <w:rPr>
          <w:b/>
          <w:bCs/>
          <w:lang w:val="it-IT"/>
        </w:rPr>
      </w:pPr>
      <w:r w:rsidRPr="00A56869">
        <w:rPr>
          <w:b/>
          <w:bCs/>
          <w:lang w:val="it"/>
        </w:rPr>
        <w:t>Tabella 12: TAP per la gestione delle emergenze – stato delle azioni nel 2023-24 per obiettivo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843"/>
        <w:gridCol w:w="1276"/>
      </w:tblGrid>
      <w:tr w:rsidR="00D667A0" w14:paraId="7E5FF37E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3954C751" w14:textId="77777777" w:rsidR="006C498F" w:rsidRPr="006C498F" w:rsidRDefault="00DB177E" w:rsidP="00C31D76">
            <w:pPr>
              <w:spacing w:before="120" w:after="120"/>
            </w:pPr>
            <w:r w:rsidRPr="006C498F">
              <w:rPr>
                <w:lang w:val="it"/>
              </w:rPr>
              <w:t>Piano d'azione mirato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46F4AF7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Completato nel periodo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C9BA5B8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>In corso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A316254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Interrotto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960C3B" w14:textId="77777777" w:rsidR="006C498F" w:rsidRPr="006C498F" w:rsidRDefault="00DB177E" w:rsidP="00C31D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98F">
              <w:rPr>
                <w:lang w:val="it"/>
              </w:rPr>
              <w:t xml:space="preserve">Totale </w:t>
            </w:r>
          </w:p>
        </w:tc>
      </w:tr>
      <w:tr w:rsidR="00D667A0" w14:paraId="64BAADA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420D3497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FA75C9A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9827F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241BBB1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ECA5F66" w14:textId="77777777" w:rsidR="00C82759" w:rsidRPr="006C498F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18</w:t>
            </w:r>
          </w:p>
        </w:tc>
      </w:tr>
      <w:tr w:rsidR="00D667A0" w14:paraId="1DA49E95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68A6067C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Obiettivo 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453C32D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73600D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11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138B03C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6CDBBA7" w14:textId="77777777" w:rsidR="00C82759" w:rsidRPr="006C498F" w:rsidRDefault="00DB177E" w:rsidP="00C8275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C82">
              <w:rPr>
                <w:lang w:val="it"/>
              </w:rPr>
              <w:t>19</w:t>
            </w:r>
          </w:p>
        </w:tc>
      </w:tr>
      <w:tr w:rsidR="00D667A0" w14:paraId="6C20C714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4F647459" w14:textId="77777777" w:rsidR="00C82759" w:rsidRPr="006C498F" w:rsidRDefault="00DB177E" w:rsidP="00C82759">
            <w:pPr>
              <w:spacing w:before="120" w:after="120"/>
            </w:pPr>
            <w:r w:rsidRPr="006C498F">
              <w:rPr>
                <w:lang w:val="it"/>
              </w:rPr>
              <w:t>Totale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5BD05957" w14:textId="77777777" w:rsidR="00C82759" w:rsidRPr="00C82759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630044BB" w14:textId="77777777" w:rsidR="00C82759" w:rsidRPr="00C82759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19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1C59A9E1" w14:textId="77777777" w:rsidR="00C82759" w:rsidRPr="00C82759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36D6DE74" w14:textId="77777777" w:rsidR="00C82759" w:rsidRPr="00C82759" w:rsidRDefault="00DB177E" w:rsidP="00C8275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37</w:t>
            </w:r>
          </w:p>
        </w:tc>
      </w:tr>
    </w:tbl>
    <w:p w14:paraId="40823A49" w14:textId="77777777" w:rsidR="006815A0" w:rsidRDefault="00DB177E">
      <w:pPr>
        <w:rPr>
          <w:rFonts w:eastAsiaTheme="majorEastAsia" w:cstheme="majorBidi"/>
          <w:b/>
          <w:bCs/>
          <w:sz w:val="48"/>
          <w:szCs w:val="48"/>
        </w:rPr>
      </w:pPr>
      <w:r>
        <w:rPr>
          <w:sz w:val="48"/>
          <w:szCs w:val="48"/>
        </w:rPr>
        <w:br w:type="page"/>
      </w:r>
    </w:p>
    <w:p w14:paraId="5F02CB46" w14:textId="77777777" w:rsidR="00DC7B30" w:rsidRPr="00721917" w:rsidRDefault="00DB177E" w:rsidP="00F877A4">
      <w:pPr>
        <w:pStyle w:val="Heading1"/>
        <w:pBdr>
          <w:bottom w:val="single" w:sz="4" w:space="1" w:color="auto"/>
        </w:pBdr>
        <w:rPr>
          <w:sz w:val="48"/>
          <w:szCs w:val="48"/>
          <w:lang w:val="it-IT"/>
        </w:rPr>
      </w:pPr>
      <w:bookmarkStart w:id="19" w:name="_Toc256000014"/>
      <w:r w:rsidRPr="00F877A4">
        <w:rPr>
          <w:sz w:val="48"/>
          <w:szCs w:val="48"/>
          <w:lang w:val="it"/>
        </w:rPr>
        <w:lastRenderedPageBreak/>
        <w:t>Risultati generali e revisione dal 3 dicembre 2021</w:t>
      </w:r>
      <w:bookmarkEnd w:id="19"/>
    </w:p>
    <w:p w14:paraId="093D2495" w14:textId="77777777" w:rsidR="00FE5CFD" w:rsidRPr="00721917" w:rsidRDefault="00DB177E" w:rsidP="008700DC">
      <w:pPr>
        <w:pStyle w:val="Heading2"/>
        <w:rPr>
          <w:sz w:val="28"/>
          <w:szCs w:val="28"/>
          <w:lang w:val="it-IT"/>
        </w:rPr>
      </w:pPr>
      <w:bookmarkStart w:id="20" w:name="_Toc256000015"/>
      <w:r w:rsidRPr="0029611C">
        <w:rPr>
          <w:sz w:val="28"/>
          <w:szCs w:val="28"/>
          <w:lang w:val="it"/>
        </w:rPr>
        <w:t>Panoramica</w:t>
      </w:r>
      <w:bookmarkEnd w:id="20"/>
      <w:r w:rsidRPr="0029611C">
        <w:rPr>
          <w:sz w:val="28"/>
          <w:szCs w:val="28"/>
          <w:lang w:val="it"/>
        </w:rPr>
        <w:t xml:space="preserve"> </w:t>
      </w:r>
    </w:p>
    <w:p w14:paraId="09B12E0A" w14:textId="77777777" w:rsidR="000F6B68" w:rsidRPr="00721917" w:rsidRDefault="00DB177E" w:rsidP="009F4CF5">
      <w:pPr>
        <w:spacing w:after="0" w:line="240" w:lineRule="auto"/>
        <w:rPr>
          <w:lang w:val="it-IT"/>
        </w:rPr>
      </w:pPr>
      <w:r w:rsidRPr="006C498F">
        <w:rPr>
          <w:lang w:val="it"/>
        </w:rPr>
        <w:t>Questa sezione include una panoramica generale della prima serie di TAP, incluso lo stato finale di tutte le 417 azioni e una suddivisione per tema dei vari tipi di azioni per ogni TAP. Include anche il riscontro consolidato sui TAP fornito dalle parti interessate a partire dal lancio dell’ADS il 3 dicembre 2021.</w:t>
      </w:r>
    </w:p>
    <w:p w14:paraId="6D3FFB2A" w14:textId="77777777" w:rsidR="009F4CF5" w:rsidRPr="00721917" w:rsidRDefault="00DB177E" w:rsidP="00B61BD1">
      <w:pPr>
        <w:spacing w:before="320" w:after="0" w:line="240" w:lineRule="auto"/>
        <w:rPr>
          <w:rFonts w:cs="Arial"/>
          <w:kern w:val="2"/>
          <w:lang w:val="it-IT"/>
          <w14:ligatures w14:val="standardContextual"/>
        </w:rPr>
      </w:pPr>
      <w:r w:rsidRPr="006C498F">
        <w:rPr>
          <w:rFonts w:cs="Arial"/>
          <w:kern w:val="2"/>
          <w:lang w:val="it"/>
          <w14:ligatures w14:val="standardContextual"/>
        </w:rPr>
        <w:t>Nel 2025, nell’ambito della roadmap dell’ADS, il governo australiano commissionerà la prima importante revisione di valutazione indipendente dell’ADS. La valutazione principale prenderà in considerazione l’efficacia dei TAP e la loro attuazione in modo più approfondito.</w:t>
      </w:r>
    </w:p>
    <w:p w14:paraId="4A9369AD" w14:textId="474A11AE" w:rsidR="00C43D2E" w:rsidRPr="00721917" w:rsidRDefault="00DB177E" w:rsidP="00B61BD1">
      <w:pPr>
        <w:spacing w:before="320" w:after="0" w:line="240" w:lineRule="auto"/>
        <w:rPr>
          <w:rFonts w:cs="Arial"/>
          <w:kern w:val="2"/>
          <w:lang w:val="it-IT"/>
          <w14:ligatures w14:val="standardContextual"/>
        </w:rPr>
      </w:pPr>
      <w:r>
        <w:rPr>
          <w:lang w:val="it"/>
        </w:rPr>
        <w:t xml:space="preserve">Oltre alle panoramiche, è stato raccolto il riscontro delle parti interessate tramite la Commissione reale sulla violenza, </w:t>
      </w:r>
      <w:r w:rsidR="00370A78">
        <w:rPr>
          <w:lang w:val="it"/>
        </w:rPr>
        <w:t>l’incuria</w:t>
      </w:r>
      <w:r>
        <w:rPr>
          <w:lang w:val="it"/>
        </w:rPr>
        <w:t xml:space="preserve"> e lo sfruttamento delle persone con disabilità (Royal Commission into Violence, Abuse, Neglect and Exploitation of People with Disability, detta anche Disability Royal Commission) e il riesame dell’NDIS, le organizzazioni che rappresentano le persone con disabilità e il Consiglio consultivo dell’ADS (ADS Advisory Council) insieme al riscontro ricevuto nell’ambito della revisione dell’ADS nel 2024.</w:t>
      </w:r>
      <w:r>
        <w:rPr>
          <w:lang w:val="it"/>
        </w:rPr>
        <w:br w:type="page"/>
      </w:r>
    </w:p>
    <w:p w14:paraId="1449EF96" w14:textId="77777777" w:rsidR="00097377" w:rsidRPr="00721917" w:rsidRDefault="00DB177E" w:rsidP="006815A0">
      <w:pPr>
        <w:pStyle w:val="Heading2"/>
        <w:keepNext/>
        <w:rPr>
          <w:sz w:val="28"/>
          <w:szCs w:val="28"/>
          <w:lang w:val="it-IT"/>
        </w:rPr>
      </w:pPr>
      <w:bookmarkStart w:id="21" w:name="_Toc256000016"/>
      <w:r w:rsidRPr="0029611C">
        <w:rPr>
          <w:sz w:val="28"/>
          <w:szCs w:val="28"/>
          <w:lang w:val="it"/>
        </w:rPr>
        <w:lastRenderedPageBreak/>
        <w:t>Stato finale di tutte le azioni dal 3 dicembre 2021</w:t>
      </w:r>
      <w:bookmarkEnd w:id="21"/>
    </w:p>
    <w:p w14:paraId="737909E2" w14:textId="77777777" w:rsidR="00097377" w:rsidRPr="00721917" w:rsidRDefault="00DB177E" w:rsidP="00B61BD1">
      <w:pPr>
        <w:keepNext/>
        <w:spacing w:before="240" w:after="240" w:line="240" w:lineRule="auto"/>
        <w:rPr>
          <w:lang w:val="it-IT"/>
        </w:rPr>
      </w:pPr>
      <w:r>
        <w:rPr>
          <w:lang w:val="it"/>
        </w:rPr>
        <w:t>I progressi complessivi compiuti per tutti i 417 TAP nel periodo dal 3 dicembre 2021 al 30 giugno 2024, mostrano che:</w:t>
      </w:r>
    </w:p>
    <w:p w14:paraId="057D0C61" w14:textId="7F951FBE" w:rsidR="00097377" w:rsidRPr="00721917" w:rsidRDefault="00270E76" w:rsidP="00101896">
      <w:pPr>
        <w:pStyle w:val="ListParagraph"/>
        <w:numPr>
          <w:ilvl w:val="0"/>
          <w:numId w:val="5"/>
        </w:numPr>
        <w:spacing w:before="120" w:after="0" w:line="240" w:lineRule="auto"/>
        <w:rPr>
          <w:lang w:val="it-IT"/>
        </w:rPr>
      </w:pPr>
      <w:r>
        <w:rPr>
          <w:b/>
          <w:lang w:val="it"/>
        </w:rPr>
        <w:t>282 (67%)</w:t>
      </w:r>
      <w:r>
        <w:rPr>
          <w:lang w:val="it"/>
        </w:rPr>
        <w:t xml:space="preserve"> azioni sono state completate dal lancio dei TAP</w:t>
      </w:r>
    </w:p>
    <w:p w14:paraId="2950A0A8" w14:textId="16EFAC92" w:rsidR="00097377" w:rsidRPr="00721917" w:rsidRDefault="00270E76" w:rsidP="006815A0">
      <w:pPr>
        <w:pStyle w:val="ListParagraph"/>
        <w:keepNext/>
        <w:numPr>
          <w:ilvl w:val="0"/>
          <w:numId w:val="6"/>
        </w:numPr>
        <w:spacing w:before="120" w:after="0" w:line="240" w:lineRule="auto"/>
        <w:ind w:left="357" w:hanging="357"/>
        <w:rPr>
          <w:lang w:val="it-IT"/>
        </w:rPr>
      </w:pPr>
      <w:r>
        <w:rPr>
          <w:b/>
          <w:lang w:val="it"/>
        </w:rPr>
        <w:t>127</w:t>
      </w:r>
      <w:r>
        <w:rPr>
          <w:lang w:val="it"/>
        </w:rPr>
        <w:t xml:space="preserve"> </w:t>
      </w:r>
      <w:r>
        <w:rPr>
          <w:b/>
          <w:lang w:val="it"/>
        </w:rPr>
        <w:t>(31%)</w:t>
      </w:r>
      <w:r>
        <w:rPr>
          <w:lang w:val="it"/>
        </w:rPr>
        <w:t xml:space="preserve"> azioni proseguiranno come attività ordinarie in corso</w:t>
      </w:r>
    </w:p>
    <w:p w14:paraId="15302872" w14:textId="03BC09ED" w:rsidR="00097377" w:rsidRDefault="00DB177E" w:rsidP="00101896">
      <w:pPr>
        <w:pStyle w:val="ListParagraph"/>
        <w:numPr>
          <w:ilvl w:val="0"/>
          <w:numId w:val="5"/>
        </w:numPr>
        <w:spacing w:before="120" w:after="0" w:line="240" w:lineRule="auto"/>
      </w:pPr>
      <w:r>
        <w:rPr>
          <w:b/>
          <w:lang w:val="it"/>
        </w:rPr>
        <w:t xml:space="preserve">8 (2%) </w:t>
      </w:r>
      <w:r>
        <w:rPr>
          <w:lang w:val="it"/>
        </w:rPr>
        <w:t>azioni sono state interrotte</w:t>
      </w:r>
    </w:p>
    <w:p w14:paraId="738C67F7" w14:textId="1AF69224" w:rsidR="00097377" w:rsidRPr="00721917" w:rsidRDefault="00DB177E" w:rsidP="00B61BD1">
      <w:pPr>
        <w:keepNext/>
        <w:spacing w:before="400"/>
        <w:rPr>
          <w:b/>
          <w:bCs/>
          <w:lang w:val="it-IT"/>
        </w:rPr>
      </w:pPr>
      <w:r w:rsidRPr="001F25EB">
        <w:rPr>
          <w:b/>
          <w:bCs/>
          <w:lang w:val="it"/>
        </w:rPr>
        <w:t xml:space="preserve">Tabella 13: </w:t>
      </w:r>
      <w:r w:rsidR="00370A78">
        <w:rPr>
          <w:b/>
          <w:bCs/>
          <w:lang w:val="it"/>
        </w:rPr>
        <w:t>S</w:t>
      </w:r>
      <w:r w:rsidRPr="001F25EB">
        <w:rPr>
          <w:b/>
          <w:bCs/>
          <w:lang w:val="it"/>
        </w:rPr>
        <w:t>tato finale di tutte le azioni per il periodo dal 3 dicembre 2021 al 30 giugno 2024 per governo</w:t>
      </w:r>
    </w:p>
    <w:tbl>
      <w:tblPr>
        <w:tblStyle w:val="GridTable6Colourful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701"/>
        <w:gridCol w:w="1417"/>
      </w:tblGrid>
      <w:tr w:rsidR="00D667A0" w14:paraId="52395D06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6C7D64AA" w14:textId="77777777" w:rsidR="00097377" w:rsidRPr="00E0018F" w:rsidRDefault="00DB177E" w:rsidP="00C31D76">
            <w:pPr>
              <w:spacing w:before="60" w:after="60"/>
            </w:pPr>
            <w:r w:rsidRPr="00E0018F">
              <w:rPr>
                <w:lang w:val="it"/>
              </w:rPr>
              <w:t>Governo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18BCA5E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Completate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ADF2E53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F00E624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Interrotto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089D190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Totale </w:t>
            </w:r>
          </w:p>
        </w:tc>
      </w:tr>
      <w:tr w:rsidR="00D667A0" w14:paraId="485F0352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7DB2959A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 xml:space="preserve">Governo australiano 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72240C3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23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81B5096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EF3282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571588D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59</w:t>
            </w:r>
          </w:p>
        </w:tc>
      </w:tr>
      <w:tr w:rsidR="00D667A0" w14:paraId="248BEE81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0F426D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New South Wales</w:t>
            </w:r>
          </w:p>
        </w:tc>
        <w:tc>
          <w:tcPr>
            <w:tcW w:w="1842" w:type="dxa"/>
          </w:tcPr>
          <w:p w14:paraId="6473F6B5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38</w:t>
            </w:r>
          </w:p>
        </w:tc>
        <w:tc>
          <w:tcPr>
            <w:tcW w:w="1560" w:type="dxa"/>
          </w:tcPr>
          <w:p w14:paraId="4FCC76EA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7</w:t>
            </w:r>
          </w:p>
        </w:tc>
        <w:tc>
          <w:tcPr>
            <w:tcW w:w="1701" w:type="dxa"/>
          </w:tcPr>
          <w:p w14:paraId="71FACB77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</w:t>
            </w:r>
          </w:p>
        </w:tc>
        <w:tc>
          <w:tcPr>
            <w:tcW w:w="1417" w:type="dxa"/>
          </w:tcPr>
          <w:p w14:paraId="3D5C99FA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46</w:t>
            </w:r>
          </w:p>
        </w:tc>
      </w:tr>
      <w:tr w:rsidR="00D667A0" w14:paraId="207357FA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4986CF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Victoria</w:t>
            </w:r>
          </w:p>
        </w:tc>
        <w:tc>
          <w:tcPr>
            <w:tcW w:w="1842" w:type="dxa"/>
          </w:tcPr>
          <w:p w14:paraId="4AC572AA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36</w:t>
            </w:r>
          </w:p>
        </w:tc>
        <w:tc>
          <w:tcPr>
            <w:tcW w:w="1560" w:type="dxa"/>
          </w:tcPr>
          <w:p w14:paraId="13CCB7D5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14</w:t>
            </w:r>
          </w:p>
        </w:tc>
        <w:tc>
          <w:tcPr>
            <w:tcW w:w="1701" w:type="dxa"/>
          </w:tcPr>
          <w:p w14:paraId="2FB51237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5088856C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50</w:t>
            </w:r>
          </w:p>
        </w:tc>
      </w:tr>
      <w:tr w:rsidR="00D667A0" w14:paraId="09E03FC8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2E033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Queensland</w:t>
            </w:r>
          </w:p>
        </w:tc>
        <w:tc>
          <w:tcPr>
            <w:tcW w:w="1842" w:type="dxa"/>
          </w:tcPr>
          <w:p w14:paraId="7D5FB7DA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44</w:t>
            </w:r>
          </w:p>
        </w:tc>
        <w:tc>
          <w:tcPr>
            <w:tcW w:w="1560" w:type="dxa"/>
          </w:tcPr>
          <w:p w14:paraId="5C1D104B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11</w:t>
            </w:r>
          </w:p>
        </w:tc>
        <w:tc>
          <w:tcPr>
            <w:tcW w:w="1701" w:type="dxa"/>
          </w:tcPr>
          <w:p w14:paraId="6206EEE0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3F06FB37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55</w:t>
            </w:r>
          </w:p>
        </w:tc>
      </w:tr>
      <w:tr w:rsidR="00D667A0" w14:paraId="510C5483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FB841D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Western Australia</w:t>
            </w:r>
          </w:p>
        </w:tc>
        <w:tc>
          <w:tcPr>
            <w:tcW w:w="1842" w:type="dxa"/>
          </w:tcPr>
          <w:p w14:paraId="1E085009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12</w:t>
            </w:r>
          </w:p>
        </w:tc>
        <w:tc>
          <w:tcPr>
            <w:tcW w:w="1560" w:type="dxa"/>
          </w:tcPr>
          <w:p w14:paraId="3FF33AB8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18</w:t>
            </w:r>
          </w:p>
        </w:tc>
        <w:tc>
          <w:tcPr>
            <w:tcW w:w="1701" w:type="dxa"/>
          </w:tcPr>
          <w:p w14:paraId="71206953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</w:t>
            </w:r>
          </w:p>
        </w:tc>
        <w:tc>
          <w:tcPr>
            <w:tcW w:w="1417" w:type="dxa"/>
          </w:tcPr>
          <w:p w14:paraId="0375961C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31</w:t>
            </w:r>
          </w:p>
        </w:tc>
      </w:tr>
      <w:tr w:rsidR="00D667A0" w14:paraId="15DE0442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130319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South Australia</w:t>
            </w:r>
          </w:p>
        </w:tc>
        <w:tc>
          <w:tcPr>
            <w:tcW w:w="1842" w:type="dxa"/>
          </w:tcPr>
          <w:p w14:paraId="316ACA4C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46</w:t>
            </w:r>
          </w:p>
        </w:tc>
        <w:tc>
          <w:tcPr>
            <w:tcW w:w="1560" w:type="dxa"/>
          </w:tcPr>
          <w:p w14:paraId="68DF94E2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21</w:t>
            </w:r>
          </w:p>
        </w:tc>
        <w:tc>
          <w:tcPr>
            <w:tcW w:w="1701" w:type="dxa"/>
          </w:tcPr>
          <w:p w14:paraId="645F82AF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2</w:t>
            </w:r>
          </w:p>
        </w:tc>
        <w:tc>
          <w:tcPr>
            <w:tcW w:w="1417" w:type="dxa"/>
          </w:tcPr>
          <w:p w14:paraId="3F255295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69</w:t>
            </w:r>
          </w:p>
        </w:tc>
      </w:tr>
      <w:tr w:rsidR="00D667A0" w14:paraId="5D322211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56218F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Tasmania</w:t>
            </w:r>
          </w:p>
        </w:tc>
        <w:tc>
          <w:tcPr>
            <w:tcW w:w="1842" w:type="dxa"/>
          </w:tcPr>
          <w:p w14:paraId="60522CA9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13</w:t>
            </w:r>
          </w:p>
        </w:tc>
        <w:tc>
          <w:tcPr>
            <w:tcW w:w="1560" w:type="dxa"/>
          </w:tcPr>
          <w:p w14:paraId="4B8834B3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16</w:t>
            </w:r>
          </w:p>
        </w:tc>
        <w:tc>
          <w:tcPr>
            <w:tcW w:w="1701" w:type="dxa"/>
          </w:tcPr>
          <w:p w14:paraId="435A8C25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03BF4E79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29</w:t>
            </w:r>
          </w:p>
        </w:tc>
      </w:tr>
      <w:tr w:rsidR="00D667A0" w14:paraId="748CA2C6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51C329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Australian Capital Territory</w:t>
            </w:r>
          </w:p>
        </w:tc>
        <w:tc>
          <w:tcPr>
            <w:tcW w:w="1842" w:type="dxa"/>
          </w:tcPr>
          <w:p w14:paraId="46B8E5B1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36</w:t>
            </w:r>
          </w:p>
        </w:tc>
        <w:tc>
          <w:tcPr>
            <w:tcW w:w="1560" w:type="dxa"/>
          </w:tcPr>
          <w:p w14:paraId="3E50A36C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</w:t>
            </w:r>
          </w:p>
        </w:tc>
        <w:tc>
          <w:tcPr>
            <w:tcW w:w="1701" w:type="dxa"/>
          </w:tcPr>
          <w:p w14:paraId="369A4432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57370376" w14:textId="77777777" w:rsidR="003C21E9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40</w:t>
            </w:r>
          </w:p>
        </w:tc>
      </w:tr>
      <w:tr w:rsidR="00D667A0" w14:paraId="414E4EA0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4D8F1F" w14:textId="77777777" w:rsidR="003C21E9" w:rsidRDefault="00DB177E" w:rsidP="003C21E9">
            <w:pPr>
              <w:spacing w:before="60" w:after="60"/>
            </w:pPr>
            <w:r>
              <w:rPr>
                <w:lang w:val="it"/>
              </w:rPr>
              <w:t>Northern Territory</w:t>
            </w:r>
          </w:p>
        </w:tc>
        <w:tc>
          <w:tcPr>
            <w:tcW w:w="1842" w:type="dxa"/>
          </w:tcPr>
          <w:p w14:paraId="04788895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34</w:t>
            </w:r>
          </w:p>
        </w:tc>
        <w:tc>
          <w:tcPr>
            <w:tcW w:w="1560" w:type="dxa"/>
          </w:tcPr>
          <w:p w14:paraId="1F1C7A52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4</w:t>
            </w:r>
          </w:p>
        </w:tc>
        <w:tc>
          <w:tcPr>
            <w:tcW w:w="1701" w:type="dxa"/>
          </w:tcPr>
          <w:p w14:paraId="228D6C7D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2687C2F1" w14:textId="77777777" w:rsidR="003C21E9" w:rsidRDefault="00DB177E" w:rsidP="003C21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E6A">
              <w:rPr>
                <w:lang w:val="it"/>
              </w:rPr>
              <w:t>38</w:t>
            </w:r>
          </w:p>
        </w:tc>
      </w:tr>
      <w:tr w:rsidR="00D667A0" w14:paraId="4F41638C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742B1701" w14:textId="77777777" w:rsidR="003C21E9" w:rsidRPr="00E0018F" w:rsidRDefault="00DB177E" w:rsidP="003C21E9">
            <w:pPr>
              <w:spacing w:before="60" w:after="60"/>
            </w:pPr>
            <w:r w:rsidRPr="00E0018F">
              <w:rPr>
                <w:lang w:val="it"/>
              </w:rPr>
              <w:t>Totale nazionale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41E7B1F" w14:textId="77777777" w:rsidR="003C21E9" w:rsidRPr="006C4A03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0EE1">
              <w:rPr>
                <w:b/>
                <w:bCs/>
                <w:lang w:val="it"/>
              </w:rPr>
              <w:t>282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066348C" w14:textId="77777777" w:rsidR="003C21E9" w:rsidRPr="006C4A03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0EE1">
              <w:rPr>
                <w:b/>
                <w:bCs/>
                <w:lang w:val="it"/>
              </w:rPr>
              <w:t>127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BFAA1FF" w14:textId="77777777" w:rsidR="003C21E9" w:rsidRPr="006C4A03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0EE1">
              <w:rPr>
                <w:b/>
                <w:bCs/>
                <w:lang w:val="it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92583E3" w14:textId="77777777" w:rsidR="003C21E9" w:rsidRPr="006C4A03" w:rsidRDefault="00DB177E" w:rsidP="003C21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0EE1">
              <w:rPr>
                <w:b/>
                <w:bCs/>
                <w:lang w:val="it"/>
              </w:rPr>
              <w:t>417</w:t>
            </w:r>
          </w:p>
        </w:tc>
      </w:tr>
      <w:tr w:rsidR="00D667A0" w14:paraId="3FD6F842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1A94C1A9" w14:textId="77777777" w:rsidR="00097377" w:rsidRPr="00E0018F" w:rsidRDefault="00DB177E" w:rsidP="00C31D76">
            <w:pPr>
              <w:spacing w:before="60" w:after="60"/>
            </w:pPr>
            <w:r w:rsidRPr="00E0018F">
              <w:rPr>
                <w:lang w:val="it"/>
              </w:rPr>
              <w:t>Percentuale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</w:tcPr>
          <w:p w14:paraId="57D63507" w14:textId="77777777" w:rsidR="00097377" w:rsidRPr="00E0018F" w:rsidRDefault="00DB177E" w:rsidP="00C31D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67%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4FBD3611" w14:textId="77777777" w:rsidR="00097377" w:rsidRPr="00E0018F" w:rsidRDefault="00DB177E" w:rsidP="00C31D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31%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28D012ED" w14:textId="77777777" w:rsidR="00097377" w:rsidRPr="00E0018F" w:rsidRDefault="00DB177E" w:rsidP="00C31D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2%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5172E563" w14:textId="77777777" w:rsidR="00097377" w:rsidRPr="00E0018F" w:rsidRDefault="00097377" w:rsidP="00C31D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4FEC808" w14:textId="77777777" w:rsidR="00097377" w:rsidRPr="002517F9" w:rsidRDefault="00DB177E" w:rsidP="00097377">
      <w:pPr>
        <w:rPr>
          <w:spacing w:val="-4"/>
          <w:lang w:val="it-IT"/>
        </w:rPr>
      </w:pPr>
      <w:r w:rsidRPr="002517F9">
        <w:rPr>
          <w:spacing w:val="-4"/>
          <w:lang w:val="it"/>
        </w:rPr>
        <w:t>Nota: la somma delle percentuali potrebbe non equivalere a 100 a causa degli arrotondamenti</w:t>
      </w:r>
    </w:p>
    <w:p w14:paraId="2D4C9C65" w14:textId="42B8DDFE" w:rsidR="00097377" w:rsidRPr="00721917" w:rsidRDefault="00DB177E" w:rsidP="00B61BD1">
      <w:pPr>
        <w:keepNext/>
        <w:spacing w:before="600"/>
        <w:rPr>
          <w:b/>
          <w:bCs/>
          <w:lang w:val="it-IT"/>
        </w:rPr>
      </w:pPr>
      <w:r w:rsidRPr="003C21E9">
        <w:rPr>
          <w:b/>
          <w:bCs/>
          <w:lang w:val="it"/>
        </w:rPr>
        <w:t xml:space="preserve">Tabella 14: </w:t>
      </w:r>
      <w:r w:rsidR="00370A78">
        <w:rPr>
          <w:b/>
          <w:bCs/>
          <w:lang w:val="it"/>
        </w:rPr>
        <w:t>S</w:t>
      </w:r>
      <w:r w:rsidRPr="003C21E9">
        <w:rPr>
          <w:b/>
          <w:bCs/>
          <w:lang w:val="it"/>
        </w:rPr>
        <w:t xml:space="preserve">tato finale delle azioni per il periodo dal 3 dicembre 2021 al 30 giugno 2024 per TAP </w:t>
      </w:r>
    </w:p>
    <w:tbl>
      <w:tblPr>
        <w:tblStyle w:val="GridTable6Colourful"/>
        <w:tblW w:w="9209" w:type="dxa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701"/>
        <w:gridCol w:w="1417"/>
      </w:tblGrid>
      <w:tr w:rsidR="00D667A0" w14:paraId="450EECC6" w14:textId="77777777" w:rsidTr="00D6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12" w:space="0" w:color="auto"/>
            </w:tcBorders>
          </w:tcPr>
          <w:p w14:paraId="6F189F16" w14:textId="77777777" w:rsidR="00097377" w:rsidRPr="00E0018F" w:rsidRDefault="00DB177E" w:rsidP="00C31D76">
            <w:pPr>
              <w:spacing w:before="60" w:after="60"/>
            </w:pPr>
            <w:r w:rsidRPr="00E0018F">
              <w:rPr>
                <w:lang w:val="it"/>
              </w:rPr>
              <w:t>Piano d'azione mirato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E9C0B60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Completate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36D296E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>In corso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DDB4CB5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Interrotto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11A9D3D" w14:textId="77777777" w:rsidR="00097377" w:rsidRPr="00E0018F" w:rsidRDefault="00DB177E" w:rsidP="00C31D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18F">
              <w:rPr>
                <w:lang w:val="it"/>
              </w:rPr>
              <w:t xml:space="preserve">Totale </w:t>
            </w:r>
          </w:p>
        </w:tc>
      </w:tr>
      <w:tr w:rsidR="00D667A0" w14:paraId="7C9C012F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auto"/>
            </w:tcBorders>
          </w:tcPr>
          <w:p w14:paraId="689E49EF" w14:textId="77777777" w:rsidR="00C82759" w:rsidRDefault="00DB177E" w:rsidP="00C82759">
            <w:pPr>
              <w:spacing w:before="60" w:after="60"/>
            </w:pPr>
            <w:r>
              <w:rPr>
                <w:lang w:val="it"/>
              </w:rPr>
              <w:t xml:space="preserve">Occupazione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B874625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54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F9AB7A2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83928C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B99F6C1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83</w:t>
            </w:r>
          </w:p>
        </w:tc>
      </w:tr>
      <w:tr w:rsidR="00D667A0" w14:paraId="49B23225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E65553" w14:textId="77777777" w:rsidR="00C82759" w:rsidRDefault="00DB177E" w:rsidP="00C82759">
            <w:pPr>
              <w:spacing w:before="60" w:after="60"/>
            </w:pPr>
            <w:r>
              <w:rPr>
                <w:lang w:val="it"/>
              </w:rPr>
              <w:t xml:space="preserve">Atteggiamento della comunità </w:t>
            </w:r>
          </w:p>
        </w:tc>
        <w:tc>
          <w:tcPr>
            <w:tcW w:w="1701" w:type="dxa"/>
          </w:tcPr>
          <w:p w14:paraId="2A63FE56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51</w:t>
            </w:r>
          </w:p>
        </w:tc>
        <w:tc>
          <w:tcPr>
            <w:tcW w:w="1560" w:type="dxa"/>
          </w:tcPr>
          <w:p w14:paraId="5920F106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17</w:t>
            </w:r>
          </w:p>
        </w:tc>
        <w:tc>
          <w:tcPr>
            <w:tcW w:w="1701" w:type="dxa"/>
          </w:tcPr>
          <w:p w14:paraId="5FCB4D77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1567C9B7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68</w:t>
            </w:r>
          </w:p>
        </w:tc>
      </w:tr>
      <w:tr w:rsidR="00D667A0" w14:paraId="29CCCF5C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3A85EA" w14:textId="77777777" w:rsidR="00C82759" w:rsidRDefault="00DB177E" w:rsidP="00C82759">
            <w:pPr>
              <w:spacing w:before="60" w:after="60"/>
            </w:pPr>
            <w:r>
              <w:rPr>
                <w:lang w:val="it"/>
              </w:rPr>
              <w:t xml:space="preserve">Prima infanzia </w:t>
            </w:r>
          </w:p>
        </w:tc>
        <w:tc>
          <w:tcPr>
            <w:tcW w:w="1701" w:type="dxa"/>
          </w:tcPr>
          <w:p w14:paraId="64303EFE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52</w:t>
            </w:r>
          </w:p>
        </w:tc>
        <w:tc>
          <w:tcPr>
            <w:tcW w:w="1560" w:type="dxa"/>
          </w:tcPr>
          <w:p w14:paraId="29ED8013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19</w:t>
            </w:r>
          </w:p>
        </w:tc>
        <w:tc>
          <w:tcPr>
            <w:tcW w:w="1701" w:type="dxa"/>
          </w:tcPr>
          <w:p w14:paraId="17571EAA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5</w:t>
            </w:r>
          </w:p>
        </w:tc>
        <w:tc>
          <w:tcPr>
            <w:tcW w:w="1417" w:type="dxa"/>
          </w:tcPr>
          <w:p w14:paraId="0440175C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76</w:t>
            </w:r>
          </w:p>
        </w:tc>
      </w:tr>
      <w:tr w:rsidR="00D667A0" w14:paraId="53824BF8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3BB2F9" w14:textId="77777777" w:rsidR="00C82759" w:rsidRDefault="00DB177E" w:rsidP="00C82759">
            <w:pPr>
              <w:spacing w:before="60" w:after="60"/>
            </w:pPr>
            <w:r>
              <w:rPr>
                <w:lang w:val="it"/>
              </w:rPr>
              <w:t xml:space="preserve">Sicurezza </w:t>
            </w:r>
          </w:p>
        </w:tc>
        <w:tc>
          <w:tcPr>
            <w:tcW w:w="1701" w:type="dxa"/>
          </w:tcPr>
          <w:p w14:paraId="5A4DB6EC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86</w:t>
            </w:r>
          </w:p>
        </w:tc>
        <w:tc>
          <w:tcPr>
            <w:tcW w:w="1560" w:type="dxa"/>
          </w:tcPr>
          <w:p w14:paraId="726F6BF9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44</w:t>
            </w:r>
          </w:p>
        </w:tc>
        <w:tc>
          <w:tcPr>
            <w:tcW w:w="1701" w:type="dxa"/>
          </w:tcPr>
          <w:p w14:paraId="378E3368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2</w:t>
            </w:r>
          </w:p>
        </w:tc>
        <w:tc>
          <w:tcPr>
            <w:tcW w:w="1417" w:type="dxa"/>
          </w:tcPr>
          <w:p w14:paraId="6556F1AC" w14:textId="77777777" w:rsid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132</w:t>
            </w:r>
          </w:p>
        </w:tc>
      </w:tr>
      <w:tr w:rsidR="00D667A0" w14:paraId="6CA2E486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A945EE" w14:textId="77777777" w:rsidR="00C82759" w:rsidRDefault="00DB177E" w:rsidP="00C82759">
            <w:pPr>
              <w:spacing w:before="60" w:after="60"/>
            </w:pPr>
            <w:r>
              <w:rPr>
                <w:lang w:val="it"/>
              </w:rPr>
              <w:t xml:space="preserve">Gestione delle emergenze </w:t>
            </w:r>
          </w:p>
        </w:tc>
        <w:tc>
          <w:tcPr>
            <w:tcW w:w="1701" w:type="dxa"/>
          </w:tcPr>
          <w:p w14:paraId="20EC9753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39</w:t>
            </w:r>
          </w:p>
        </w:tc>
        <w:tc>
          <w:tcPr>
            <w:tcW w:w="1560" w:type="dxa"/>
          </w:tcPr>
          <w:p w14:paraId="2F761927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it"/>
              </w:rPr>
              <w:t>19</w:t>
            </w:r>
          </w:p>
        </w:tc>
        <w:tc>
          <w:tcPr>
            <w:tcW w:w="1701" w:type="dxa"/>
          </w:tcPr>
          <w:p w14:paraId="60AFCA61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0</w:t>
            </w:r>
          </w:p>
        </w:tc>
        <w:tc>
          <w:tcPr>
            <w:tcW w:w="1417" w:type="dxa"/>
          </w:tcPr>
          <w:p w14:paraId="52F3C394" w14:textId="77777777" w:rsidR="00C82759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3F3">
              <w:rPr>
                <w:lang w:val="it"/>
              </w:rPr>
              <w:t>58</w:t>
            </w:r>
          </w:p>
        </w:tc>
      </w:tr>
      <w:tr w:rsidR="00D667A0" w14:paraId="492AB8E6" w14:textId="77777777" w:rsidTr="00D6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12" w:space="0" w:color="auto"/>
            </w:tcBorders>
          </w:tcPr>
          <w:p w14:paraId="4025C7C4" w14:textId="77777777" w:rsidR="00C82759" w:rsidRPr="00E0018F" w:rsidRDefault="00DB177E" w:rsidP="00C82759">
            <w:pPr>
              <w:spacing w:before="60" w:after="60"/>
            </w:pPr>
            <w:r w:rsidRPr="00E0018F">
              <w:rPr>
                <w:lang w:val="it"/>
              </w:rPr>
              <w:t>Totale nazionale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46D7104" w14:textId="77777777" w:rsidR="00C82759" w:rsidRP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282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5954C84" w14:textId="77777777" w:rsidR="00C82759" w:rsidRP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127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BA54847" w14:textId="77777777" w:rsidR="00C82759" w:rsidRP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ED2D464" w14:textId="77777777" w:rsidR="00C82759" w:rsidRPr="00C82759" w:rsidRDefault="00DB177E" w:rsidP="004A30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82759">
              <w:rPr>
                <w:b/>
                <w:bCs/>
                <w:lang w:val="it"/>
              </w:rPr>
              <w:t>417</w:t>
            </w:r>
          </w:p>
        </w:tc>
      </w:tr>
      <w:tr w:rsidR="00D667A0" w14:paraId="469F0204" w14:textId="77777777" w:rsidTr="00D6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auto"/>
              <w:bottom w:val="double" w:sz="4" w:space="0" w:color="auto"/>
            </w:tcBorders>
          </w:tcPr>
          <w:p w14:paraId="07042EB8" w14:textId="77777777" w:rsidR="00097377" w:rsidRPr="00E0018F" w:rsidRDefault="00DB177E" w:rsidP="00C31D76">
            <w:pPr>
              <w:spacing w:before="60" w:after="60"/>
            </w:pPr>
            <w:r w:rsidRPr="00E0018F">
              <w:rPr>
                <w:lang w:val="it"/>
              </w:rPr>
              <w:t>Percentuale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4680F02E" w14:textId="77777777" w:rsidR="00097377" w:rsidRPr="00E0018F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67%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5B8AFC69" w14:textId="77777777" w:rsidR="00097377" w:rsidRPr="00E0018F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31%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7E0230F7" w14:textId="77777777" w:rsidR="00097377" w:rsidRPr="00E0018F" w:rsidRDefault="00DB177E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lang w:val="it"/>
              </w:rPr>
              <w:t>2%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351D785B" w14:textId="77777777" w:rsidR="00097377" w:rsidRPr="00E0018F" w:rsidRDefault="00097377" w:rsidP="004A30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D1D2DD1" w14:textId="77777777" w:rsidR="00097377" w:rsidRPr="002517F9" w:rsidRDefault="00DB177E" w:rsidP="00B61BD1">
      <w:pPr>
        <w:keepLines/>
        <w:rPr>
          <w:spacing w:val="-2"/>
          <w:lang w:val="it-IT"/>
        </w:rPr>
      </w:pPr>
      <w:r w:rsidRPr="002517F9">
        <w:rPr>
          <w:spacing w:val="-2"/>
          <w:lang w:val="it"/>
        </w:rPr>
        <w:t>Nota: la somma delle percentuali potrebbe non equivalere a 100 a causa degli arrotondamenti</w:t>
      </w:r>
    </w:p>
    <w:p w14:paraId="43738703" w14:textId="77777777" w:rsidR="008F77DC" w:rsidRPr="00721917" w:rsidRDefault="00DB177E" w:rsidP="006815A0">
      <w:pPr>
        <w:pStyle w:val="Heading2"/>
        <w:keepNext/>
        <w:rPr>
          <w:sz w:val="28"/>
          <w:szCs w:val="28"/>
          <w:lang w:val="it-IT"/>
        </w:rPr>
      </w:pPr>
      <w:bookmarkStart w:id="22" w:name="_Toc256000017"/>
      <w:r w:rsidRPr="0029611C">
        <w:rPr>
          <w:sz w:val="28"/>
          <w:szCs w:val="28"/>
          <w:lang w:val="it"/>
        </w:rPr>
        <w:lastRenderedPageBreak/>
        <w:t>Revisione dei TAP</w:t>
      </w:r>
      <w:bookmarkEnd w:id="22"/>
    </w:p>
    <w:p w14:paraId="420F60FF" w14:textId="77777777" w:rsidR="008F77DC" w:rsidRPr="00721917" w:rsidRDefault="00DB177E" w:rsidP="002517F9">
      <w:pPr>
        <w:spacing w:before="60" w:after="240" w:line="240" w:lineRule="auto"/>
        <w:rPr>
          <w:kern w:val="2"/>
          <w:lang w:val="it-IT"/>
          <w14:ligatures w14:val="standardContextual"/>
        </w:rPr>
      </w:pPr>
      <w:r w:rsidRPr="00B86ED6">
        <w:rPr>
          <w:kern w:val="2"/>
          <w:lang w:val="it"/>
          <w14:ligatures w14:val="standardContextual"/>
        </w:rPr>
        <w:t>È stata effettuata una valutazione generale delle azioni dei TAP per verificare se fossero collegate agli obiettivi dei TAP e in che tipo di temi o categorie rientrassero.</w:t>
      </w:r>
    </w:p>
    <w:p w14:paraId="6308E77C" w14:textId="77777777" w:rsidR="008F77DC" w:rsidRPr="00721917" w:rsidRDefault="00DB177E" w:rsidP="002517F9">
      <w:pPr>
        <w:spacing w:before="60" w:after="24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La maggior parte delle azioni sembra essere direttamente correlata agli obiettivi dei TAP: 406 azioni (97%) hanno una correlazione diretta con un obiettivo dei TAP. Le azioni che non si riferivano direttamente a un obiettivo dei TAP riguardavano i TAP per l’atteggiamento della comunità (7) e la sicurezza (4).</w:t>
      </w:r>
    </w:p>
    <w:p w14:paraId="67A55982" w14:textId="77777777" w:rsidR="008F77DC" w:rsidRPr="00721917" w:rsidRDefault="00DB177E" w:rsidP="00B61BD1">
      <w:pPr>
        <w:keepNext/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Le 417 azioni rientravano nei seguenti temi:</w:t>
      </w:r>
    </w:p>
    <w:p w14:paraId="4D67CBC8" w14:textId="77777777" w:rsidR="00334C93" w:rsidRPr="00721917" w:rsidRDefault="00DB177E" w:rsidP="00101896">
      <w:pPr>
        <w:pStyle w:val="ListParagraph"/>
        <w:numPr>
          <w:ilvl w:val="0"/>
          <w:numId w:val="10"/>
        </w:numPr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Programma e progetto (195 azioni ossia 47%)</w:t>
      </w:r>
    </w:p>
    <w:p w14:paraId="2201A5A7" w14:textId="77777777" w:rsidR="008F77DC" w:rsidRPr="00721917" w:rsidRDefault="00DB177E" w:rsidP="00101896">
      <w:pPr>
        <w:pStyle w:val="ListParagraph"/>
        <w:numPr>
          <w:ilvl w:val="0"/>
          <w:numId w:val="10"/>
        </w:numPr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Strategia e piano (61 azioni ossia 15%)</w:t>
      </w:r>
    </w:p>
    <w:p w14:paraId="343CC405" w14:textId="77777777" w:rsidR="008F77DC" w:rsidRPr="00721917" w:rsidRDefault="00DB177E" w:rsidP="00101896">
      <w:pPr>
        <w:pStyle w:val="ListParagraph"/>
        <w:numPr>
          <w:ilvl w:val="0"/>
          <w:numId w:val="10"/>
        </w:numPr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Istruzione, materiali e risorse (47 azioni ossia 11%)</w:t>
      </w:r>
    </w:p>
    <w:p w14:paraId="1A38D12E" w14:textId="77777777" w:rsidR="008F77DC" w:rsidRPr="00721917" w:rsidRDefault="00DB177E" w:rsidP="00101896">
      <w:pPr>
        <w:pStyle w:val="ListParagraph"/>
        <w:numPr>
          <w:ilvl w:val="0"/>
          <w:numId w:val="10"/>
        </w:numPr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Revisione della strategia e del quadro di riferimento (34 azioni ossia 8%)</w:t>
      </w:r>
    </w:p>
    <w:p w14:paraId="10BD91A1" w14:textId="77777777" w:rsidR="008F77DC" w:rsidRPr="00721917" w:rsidRDefault="00DB177E" w:rsidP="00101896">
      <w:pPr>
        <w:pStyle w:val="ListParagraph"/>
        <w:numPr>
          <w:ilvl w:val="0"/>
          <w:numId w:val="10"/>
        </w:numPr>
        <w:spacing w:before="60" w:after="6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Politica e legislazione (33 azioni ossia 8%)</w:t>
      </w:r>
    </w:p>
    <w:p w14:paraId="53887EA4" w14:textId="77777777" w:rsidR="008F77DC" w:rsidRPr="00721917" w:rsidRDefault="00DB177E" w:rsidP="00B61BD1">
      <w:pPr>
        <w:pStyle w:val="ListParagraph"/>
        <w:keepNext/>
        <w:numPr>
          <w:ilvl w:val="0"/>
          <w:numId w:val="10"/>
        </w:numPr>
        <w:spacing w:before="60" w:after="60" w:line="240" w:lineRule="auto"/>
        <w:ind w:left="771" w:hanging="357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Raccolta, rendicontazione e ricerca di dati (23 azioni ossia 5%)</w:t>
      </w:r>
    </w:p>
    <w:p w14:paraId="366F396A" w14:textId="77777777" w:rsidR="008F77DC" w:rsidRPr="00721917" w:rsidRDefault="00DB177E" w:rsidP="002517F9">
      <w:pPr>
        <w:pStyle w:val="ListParagraph"/>
        <w:numPr>
          <w:ilvl w:val="0"/>
          <w:numId w:val="10"/>
        </w:numPr>
        <w:spacing w:before="60" w:after="240" w:line="240" w:lineRule="auto"/>
        <w:ind w:left="778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 xml:space="preserve">Comunicazione e coinvolgimento delle parti interessate (24 azioni ossia 6%) </w:t>
      </w:r>
    </w:p>
    <w:p w14:paraId="63FA5732" w14:textId="77777777" w:rsidR="008F77DC" w:rsidRPr="00721917" w:rsidRDefault="00DB177E" w:rsidP="008F77DC">
      <w:pPr>
        <w:spacing w:before="120" w:after="12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 xml:space="preserve">Per diverse azioni dei cinque TAP l’obiettivo principale dell’azione era direttamente correlato a un tema, mentre alcune attività nell’ambito dell’azione erano correlate a un tema secondario. 48 azioni (12%) includevano attività di un tema secondario. </w:t>
      </w:r>
    </w:p>
    <w:p w14:paraId="15F00224" w14:textId="77777777" w:rsidR="008F77DC" w:rsidRPr="00721917" w:rsidRDefault="00DB177E" w:rsidP="004534F5">
      <w:pPr>
        <w:pStyle w:val="Heading2"/>
        <w:rPr>
          <w:lang w:val="it-IT"/>
        </w:rPr>
      </w:pPr>
      <w:bookmarkStart w:id="23" w:name="_Toc256000018"/>
      <w:bookmarkStart w:id="24" w:name="_Hlk177040608"/>
      <w:r w:rsidRPr="003137E7">
        <w:rPr>
          <w:lang w:val="it"/>
        </w:rPr>
        <w:t>Riscontro delle parti interessate</w:t>
      </w:r>
      <w:bookmarkEnd w:id="23"/>
    </w:p>
    <w:p w14:paraId="338EE4EA" w14:textId="03B58FB0" w:rsidR="008F77DC" w:rsidRPr="00721917" w:rsidRDefault="00DB177E" w:rsidP="006815A0">
      <w:pPr>
        <w:spacing w:before="120" w:line="240" w:lineRule="auto"/>
        <w:rPr>
          <w:rFonts w:cs="Arial"/>
          <w:kern w:val="2"/>
          <w:lang w:val="it-IT"/>
          <w14:ligatures w14:val="standardContextual"/>
        </w:rPr>
      </w:pPr>
      <w:r>
        <w:rPr>
          <w:lang w:val="it"/>
        </w:rPr>
        <w:t xml:space="preserve">Il riscontro delle parti interessate sulla prima serie di TAP è stato raccolto </w:t>
      </w:r>
      <w:r w:rsidR="00992435">
        <w:rPr>
          <w:lang w:val="it"/>
        </w:rPr>
        <w:t>grazie alla</w:t>
      </w:r>
      <w:r>
        <w:rPr>
          <w:lang w:val="it"/>
        </w:rPr>
        <w:t xml:space="preserve"> </w:t>
      </w:r>
      <w:r w:rsidR="00992435" w:rsidRPr="00992435">
        <w:rPr>
          <w:lang w:val="it-IT"/>
        </w:rPr>
        <w:t xml:space="preserve">Disability Royal Commission </w:t>
      </w:r>
      <w:r w:rsidR="00992435">
        <w:rPr>
          <w:lang w:val="it-IT"/>
        </w:rPr>
        <w:t>(</w:t>
      </w:r>
      <w:r>
        <w:rPr>
          <w:lang w:val="it"/>
        </w:rPr>
        <w:t>Commissione reale sulla</w:t>
      </w:r>
      <w:r w:rsidR="00992435">
        <w:rPr>
          <w:lang w:val="it"/>
        </w:rPr>
        <w:t xml:space="preserve"> </w:t>
      </w:r>
      <w:r>
        <w:rPr>
          <w:lang w:val="it"/>
        </w:rPr>
        <w:t>disabilità</w:t>
      </w:r>
      <w:r w:rsidR="00992435">
        <w:rPr>
          <w:lang w:val="it"/>
        </w:rPr>
        <w:t>)</w:t>
      </w:r>
      <w:r>
        <w:rPr>
          <w:lang w:val="it"/>
        </w:rPr>
        <w:t xml:space="preserve"> e </w:t>
      </w:r>
      <w:r w:rsidR="00992435">
        <w:rPr>
          <w:lang w:val="it"/>
        </w:rPr>
        <w:t>a</w:t>
      </w:r>
      <w:r>
        <w:rPr>
          <w:lang w:val="it"/>
        </w:rPr>
        <w:t xml:space="preserve">l riesame dell’NDIS, le </w:t>
      </w:r>
      <w:r w:rsidR="00992435">
        <w:rPr>
          <w:lang w:val="it"/>
        </w:rPr>
        <w:t>DRO</w:t>
      </w:r>
      <w:r>
        <w:rPr>
          <w:lang w:val="it"/>
        </w:rPr>
        <w:t xml:space="preserve"> e il Consiglio consultivo dell’ADS</w:t>
      </w:r>
      <w:r w:rsidR="00992435">
        <w:rPr>
          <w:lang w:val="it"/>
        </w:rPr>
        <w:t>,</w:t>
      </w:r>
      <w:r>
        <w:rPr>
          <w:lang w:val="it"/>
        </w:rPr>
        <w:t xml:space="preserve"> insieme al riscontro ricevuto nell’ambito della </w:t>
      </w:r>
      <w:r w:rsidR="00992435">
        <w:rPr>
          <w:lang w:val="it"/>
        </w:rPr>
        <w:t>R</w:t>
      </w:r>
      <w:r>
        <w:rPr>
          <w:lang w:val="it"/>
        </w:rPr>
        <w:t xml:space="preserve">evisione dell’ADS nel 2024. Queste osservazioni e raccomandazioni hanno contribuito allo sviluppo dei nuovi TAP. </w:t>
      </w:r>
    </w:p>
    <w:p w14:paraId="0BF0A394" w14:textId="77777777" w:rsidR="006C4375" w:rsidRPr="00721917" w:rsidRDefault="00DB177E" w:rsidP="00B61BD1">
      <w:pPr>
        <w:keepNext/>
        <w:spacing w:before="120" w:after="12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>Nel complesso, il riscontro delle parti interessate ha indicato che:</w:t>
      </w:r>
    </w:p>
    <w:p w14:paraId="29C00B95" w14:textId="77777777" w:rsidR="006C4375" w:rsidRPr="00721917" w:rsidRDefault="00DB177E" w:rsidP="006C4375">
      <w:pPr>
        <w:pStyle w:val="ListParagraph"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735DBB">
        <w:rPr>
          <w:kern w:val="2"/>
          <w:lang w:val="it"/>
          <w14:ligatures w14:val="standardContextual"/>
        </w:rPr>
        <w:t xml:space="preserve">i TAP includevano troppe azioni; </w:t>
      </w:r>
    </w:p>
    <w:p w14:paraId="47890A0D" w14:textId="77777777" w:rsidR="008F77DC" w:rsidRPr="00721917" w:rsidRDefault="00DB177E" w:rsidP="00735DBB">
      <w:pPr>
        <w:pStyle w:val="ListParagraph"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735DBB">
        <w:rPr>
          <w:kern w:val="2"/>
          <w:lang w:val="it"/>
          <w14:ligatures w14:val="standardContextual"/>
        </w:rPr>
        <w:t xml:space="preserve">il coordinamento nazionale non era sufficiente e le azioni non erano, in alcuni casi, direttamente correlate a esiti migliori per le persone con disabilità; </w:t>
      </w:r>
    </w:p>
    <w:p w14:paraId="6F537407" w14:textId="77777777" w:rsidR="00B951BD" w:rsidRPr="00721917" w:rsidRDefault="00DB177E" w:rsidP="006C4375">
      <w:pPr>
        <w:pStyle w:val="ListParagraph"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735DBB">
        <w:rPr>
          <w:kern w:val="2"/>
          <w:lang w:val="it"/>
          <w14:ligatures w14:val="standardContextual"/>
        </w:rPr>
        <w:t>i TAP non riflettevano le priorità, le esigenze e le esperienze delle persone con disabilità delle Prime Nazioni;</w:t>
      </w:r>
    </w:p>
    <w:p w14:paraId="6F97328A" w14:textId="77777777" w:rsidR="005C3798" w:rsidRPr="00721917" w:rsidRDefault="00DB177E" w:rsidP="008E7D04">
      <w:pPr>
        <w:pStyle w:val="ListParagraph"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5C3798">
        <w:rPr>
          <w:kern w:val="2"/>
          <w:lang w:val="it"/>
          <w14:ligatures w14:val="standardContextual"/>
        </w:rPr>
        <w:t>mancano i dati per misurare i progressi dei TAP;</w:t>
      </w:r>
    </w:p>
    <w:p w14:paraId="167ADE08" w14:textId="77777777" w:rsidR="005C3798" w:rsidRPr="00721917" w:rsidRDefault="00DB177E" w:rsidP="00B61BD1">
      <w:pPr>
        <w:pStyle w:val="ListParagraph"/>
        <w:keepNext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5C3798">
        <w:rPr>
          <w:kern w:val="2"/>
          <w:lang w:val="it"/>
          <w14:ligatures w14:val="standardContextual"/>
        </w:rPr>
        <w:t>occorre migliorare la rendicontazione sullo stato di avanzamento delle azioni;</w:t>
      </w:r>
    </w:p>
    <w:p w14:paraId="02A4A32A" w14:textId="77777777" w:rsidR="008F77DC" w:rsidRPr="00721917" w:rsidRDefault="00DB177E" w:rsidP="00735DBB">
      <w:pPr>
        <w:pStyle w:val="ListParagraph"/>
        <w:numPr>
          <w:ilvl w:val="0"/>
          <w:numId w:val="35"/>
        </w:numPr>
        <w:spacing w:before="120" w:after="120" w:line="240" w:lineRule="auto"/>
        <w:rPr>
          <w:kern w:val="2"/>
          <w:lang w:val="it-IT"/>
          <w14:ligatures w14:val="standardContextual"/>
        </w:rPr>
      </w:pPr>
      <w:r w:rsidRPr="005C3798">
        <w:rPr>
          <w:kern w:val="2"/>
          <w:lang w:val="it"/>
          <w14:ligatures w14:val="standardContextual"/>
        </w:rPr>
        <w:t xml:space="preserve">i governi devono fare di più per evitare ritardi e la mancata realizzazione delle azioni. </w:t>
      </w:r>
    </w:p>
    <w:p w14:paraId="011435F6" w14:textId="77777777" w:rsidR="00A93F73" w:rsidRPr="00721917" w:rsidRDefault="00DB177E" w:rsidP="006815A0">
      <w:pPr>
        <w:spacing w:before="120" w:after="120" w:line="240" w:lineRule="auto"/>
        <w:rPr>
          <w:rFonts w:cs="Arial"/>
          <w:lang w:val="it-IT"/>
        </w:rPr>
      </w:pPr>
      <w:r>
        <w:rPr>
          <w:rFonts w:cs="Arial"/>
          <w:kern w:val="2"/>
          <w:lang w:val="it"/>
          <w14:ligatures w14:val="standardContextual"/>
        </w:rPr>
        <w:t xml:space="preserve">Le parti interessate hanno affermato che i TAP futuri dovrebbero essere più ambiziosi e le azioni uniformi per tutti i governi. Alcune organizzazioni che rappresentano le persone con disabilità raccomandano che i TAP futuri offrano attività più dettagliate e impegni chiari da parte del governo. I TAP futuri potrebbero essere rafforzati armonizzando gli sforzi tra Stati, Territori e governo federale, includendo azioni dei TAP significative e piani d’inclusione per la disabilità, nonché meccanismi solidi che garantiscano un maggiore coinvolgimento delle persone con disabilità nella progettazione e nell’attuazione delle attività dei TAP. </w:t>
      </w:r>
      <w:bookmarkEnd w:id="24"/>
    </w:p>
    <w:p w14:paraId="7F66DE94" w14:textId="77777777" w:rsidR="00626695" w:rsidRPr="00721917" w:rsidRDefault="00DB177E" w:rsidP="006815A0">
      <w:pPr>
        <w:pStyle w:val="Heading2"/>
        <w:keepNext/>
        <w:spacing w:after="320"/>
        <w:rPr>
          <w:sz w:val="28"/>
          <w:szCs w:val="28"/>
          <w:lang w:val="it-IT"/>
        </w:rPr>
      </w:pPr>
      <w:bookmarkStart w:id="25" w:name="_Toc256000019"/>
      <w:r w:rsidRPr="0029611C">
        <w:rPr>
          <w:sz w:val="28"/>
          <w:szCs w:val="28"/>
          <w:lang w:val="it"/>
        </w:rPr>
        <w:lastRenderedPageBreak/>
        <w:t>Panoramica dei TAP federali, statali e territoriali</w:t>
      </w:r>
      <w:bookmarkEnd w:id="25"/>
    </w:p>
    <w:p w14:paraId="2875DE27" w14:textId="77777777" w:rsidR="00F50BDC" w:rsidRPr="00721917" w:rsidRDefault="00DB177E" w:rsidP="006815A0">
      <w:pPr>
        <w:keepNext/>
        <w:spacing w:after="120" w:line="240" w:lineRule="auto"/>
        <w:rPr>
          <w:rFonts w:cs="Arial"/>
          <w:kern w:val="2"/>
          <w:lang w:val="it-IT"/>
          <w14:ligatures w14:val="standardContextual"/>
        </w:rPr>
      </w:pPr>
      <w:r>
        <w:rPr>
          <w:rFonts w:cs="Arial"/>
          <w:kern w:val="2"/>
          <w:lang w:val="it"/>
          <w14:ligatures w14:val="standardContextual"/>
        </w:rPr>
        <w:t>Questa sezione offre una visione d’insieme dei successi e, in alcuni casi, degli ostacoli riscontrati nell’attuazione delle azioni da parte del governo federale e di ciascun governo statale e territoriale nell’ambito dei vari TAP.</w:t>
      </w:r>
    </w:p>
    <w:p w14:paraId="4CD857B5" w14:textId="77777777" w:rsidR="000A0CAD" w:rsidRPr="00721917" w:rsidRDefault="00DB177E" w:rsidP="00D60484">
      <w:pPr>
        <w:spacing w:after="120" w:line="240" w:lineRule="auto"/>
        <w:rPr>
          <w:rFonts w:cs="Arial"/>
          <w:kern w:val="2"/>
          <w:lang w:val="it-IT"/>
          <w14:ligatures w14:val="standardContextual"/>
        </w:rPr>
      </w:pPr>
      <w:r w:rsidRPr="00735DBB">
        <w:rPr>
          <w:rFonts w:cs="Arial"/>
          <w:kern w:val="2"/>
          <w:lang w:val="it"/>
          <w14:ligatures w14:val="standardContextual"/>
        </w:rPr>
        <w:t>Tutti i governi hanno dimostrato il loro impegno a far avanzare e attuare azioni nell’ambito dell’ADS nel periodo di tre anni per i cinque TAP.</w:t>
      </w:r>
    </w:p>
    <w:p w14:paraId="22A996EB" w14:textId="77777777" w:rsidR="000A0CAD" w:rsidRPr="00D60484" w:rsidRDefault="00DB177E" w:rsidP="006815A0">
      <w:pPr>
        <w:keepNext/>
        <w:spacing w:after="120" w:line="240" w:lineRule="auto"/>
        <w:rPr>
          <w:rFonts w:cs="Arial"/>
          <w:color w:val="1F497D" w:themeColor="text2"/>
          <w:kern w:val="2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Nel corso dei tre anni sono stati compiuti progressi sia nell’erogazione dei programmi che per le nuove iniziative riguardanti i cinque TAP. Sono state condotte numerose revisioni da parte di tutti i governi e sono state implementate nuove strategie, disposizioni legislative e procedure. Alcuni esempi includono:</w:t>
      </w:r>
    </w:p>
    <w:p w14:paraId="5F0F78E1" w14:textId="72D43419" w:rsidR="00644DAB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Governo australiano: valutazione della risposta australiana al COVID-19</w:t>
      </w:r>
      <w:r w:rsidR="00737B5C" w:rsidRPr="00737B5C">
        <w:rPr>
          <w:rFonts w:cs="Arial"/>
          <w:kern w:val="2"/>
          <w:lang w:val="it-IT"/>
          <w14:ligatures w14:val="standardContextual"/>
        </w:rPr>
        <w:t xml:space="preserve"> </w:t>
      </w:r>
      <w:r w:rsidR="00737B5C" w:rsidRPr="00992435">
        <w:rPr>
          <w:rFonts w:cs="Arial"/>
          <w:kern w:val="2"/>
          <w:lang w:val="it-IT"/>
          <w14:ligatures w14:val="standardContextual"/>
        </w:rPr>
        <w:t>Australian  (Government - Review of Australia’s COVID-19 response);</w:t>
      </w:r>
    </w:p>
    <w:p w14:paraId="6F9D42D3" w14:textId="3E6C6628" w:rsidR="00EA514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992435">
        <w:rPr>
          <w:rFonts w:cs="Arial"/>
          <w:kern w:val="2"/>
          <w:lang w:val="it-IT"/>
          <w14:ligatures w14:val="standardContextual"/>
        </w:rPr>
        <w:t xml:space="preserve"> </w:t>
      </w:r>
      <w:r w:rsidRPr="00D60484">
        <w:rPr>
          <w:rFonts w:cs="Arial"/>
          <w:kern w:val="2"/>
          <w:lang w:val="it"/>
          <w14:ligatures w14:val="standardContextual"/>
        </w:rPr>
        <w:t>Relazione del Commissario del NSW per l’invecchiamento e la disabilità</w:t>
      </w:r>
      <w:r w:rsidR="00737B5C" w:rsidRPr="00737B5C">
        <w:rPr>
          <w:rFonts w:cs="Arial"/>
          <w:kern w:val="2"/>
          <w:lang w:val="it-IT"/>
          <w14:ligatures w14:val="standardContextual"/>
        </w:rPr>
        <w:t xml:space="preserve"> </w:t>
      </w:r>
      <w:r w:rsidR="00737B5C" w:rsidRPr="00992435">
        <w:rPr>
          <w:rFonts w:cs="Arial"/>
          <w:kern w:val="2"/>
          <w:lang w:val="it-IT"/>
          <w14:ligatures w14:val="standardContextual"/>
        </w:rPr>
        <w:t>[New South Wales (NSW) Ageing and Disability Commissioner (ADC) report];</w:t>
      </w:r>
    </w:p>
    <w:p w14:paraId="7F1998DA" w14:textId="7E30A066" w:rsidR="00EA514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992435">
        <w:rPr>
          <w:rFonts w:cs="Arial"/>
          <w:kern w:val="2"/>
          <w:lang w:val="it-IT"/>
          <w14:ligatures w14:val="standardContextual"/>
        </w:rPr>
        <w:t xml:space="preserve"> </w:t>
      </w:r>
      <w:r w:rsidRPr="00D60484">
        <w:rPr>
          <w:rFonts w:cs="Arial"/>
          <w:kern w:val="2"/>
          <w:lang w:val="it"/>
          <w14:ligatures w14:val="standardContextual"/>
        </w:rPr>
        <w:t>Sviluppo degli impegni per un Victoria inclusivo: Piano statale per la disabilità</w:t>
      </w:r>
      <w:r w:rsidR="00737B5C" w:rsidRPr="00737B5C">
        <w:rPr>
          <w:rFonts w:cs="Arial"/>
          <w:kern w:val="2"/>
          <w:lang w:val="it-IT"/>
          <w14:ligatures w14:val="standardContextual"/>
        </w:rPr>
        <w:t xml:space="preserve"> </w:t>
      </w:r>
      <w:r w:rsidR="00737B5C" w:rsidRPr="00992435">
        <w:rPr>
          <w:rFonts w:cs="Arial"/>
          <w:kern w:val="2"/>
          <w:lang w:val="it-IT"/>
          <w14:ligatures w14:val="standardContextual"/>
        </w:rPr>
        <w:t>(Building on the commitments in Inclusive Victoria: State Disability Plan 2022-2026);</w:t>
      </w:r>
    </w:p>
    <w:p w14:paraId="1409DB4F" w14:textId="29B95EBB" w:rsidR="00EA514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 xml:space="preserve"> </w:t>
      </w:r>
      <w:r w:rsidRPr="00D60484">
        <w:rPr>
          <w:rFonts w:cs="Arial"/>
          <w:kern w:val="2"/>
          <w:lang w:val="it"/>
          <w14:ligatures w14:val="standardContextual"/>
        </w:rPr>
        <w:t>Piano per la disabilità del Queensland: “Insieme per un Queensland migliore</w:t>
      </w:r>
      <w:r>
        <w:rPr>
          <w:rFonts w:cs="Arial"/>
          <w:kern w:val="2"/>
          <w:lang w:val="it"/>
          <w14:ligatures w14:val="standardContextual"/>
        </w:rPr>
        <w:t>”</w:t>
      </w:r>
      <w:r w:rsidR="00737B5C" w:rsidRPr="00737B5C">
        <w:rPr>
          <w:rFonts w:cs="Arial"/>
          <w:kern w:val="2"/>
          <w14:ligatures w14:val="standardContextual"/>
        </w:rPr>
        <w:t xml:space="preserve"> </w:t>
      </w:r>
      <w:r w:rsidR="00737B5C">
        <w:rPr>
          <w:rFonts w:cs="Arial"/>
          <w:kern w:val="2"/>
          <w14:ligatures w14:val="standardContextual"/>
        </w:rPr>
        <w:t>(</w:t>
      </w:r>
      <w:r w:rsidR="00737B5C" w:rsidRPr="00992435">
        <w:rPr>
          <w:rFonts w:cs="Arial"/>
          <w:kern w:val="2"/>
          <w14:ligatures w14:val="standardContextual"/>
        </w:rPr>
        <w:t>Queensland’s Disability Plan 2022-2027: Together, a better Queensland);</w:t>
      </w:r>
    </w:p>
    <w:p w14:paraId="592F1FC4" w14:textId="5A54C3C0" w:rsidR="00EA514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992435">
        <w:rPr>
          <w:rFonts w:cs="Arial"/>
          <w:kern w:val="2"/>
          <w:lang w:val="it-IT"/>
          <w14:ligatures w14:val="standardContextual"/>
        </w:rPr>
        <w:t xml:space="preserve"> </w:t>
      </w:r>
      <w:r w:rsidRPr="00D60484">
        <w:rPr>
          <w:rFonts w:cs="Arial"/>
          <w:kern w:val="2"/>
          <w:lang w:val="it"/>
          <w14:ligatures w14:val="standardContextual"/>
        </w:rPr>
        <w:t>Western Australia per tutti: Strategia statale per la disabilit</w:t>
      </w:r>
      <w:r>
        <w:rPr>
          <w:rFonts w:cs="Arial"/>
          <w:kern w:val="2"/>
          <w:lang w:val="it"/>
          <w14:ligatures w14:val="standardContextual"/>
        </w:rPr>
        <w:t>à</w:t>
      </w:r>
      <w:r w:rsidR="00737B5C" w:rsidRPr="00737B5C">
        <w:rPr>
          <w:rFonts w:cs="Arial"/>
          <w:kern w:val="2"/>
          <w:lang w:val="it-IT"/>
          <w14:ligatures w14:val="standardContextual"/>
        </w:rPr>
        <w:t xml:space="preserve"> </w:t>
      </w:r>
      <w:r w:rsidR="00737B5C">
        <w:rPr>
          <w:rFonts w:cs="Arial"/>
          <w:kern w:val="2"/>
          <w:lang w:val="it-IT"/>
          <w14:ligatures w14:val="standardContextual"/>
        </w:rPr>
        <w:t>[</w:t>
      </w:r>
      <w:r w:rsidR="00737B5C" w:rsidRPr="00992435">
        <w:rPr>
          <w:rFonts w:cs="Arial"/>
          <w:kern w:val="2"/>
          <w:lang w:val="it-IT"/>
          <w14:ligatures w14:val="standardContextual"/>
        </w:rPr>
        <w:t>Western Australia (WA) for Everyone State Disability Strategy 2020-2030];</w:t>
      </w:r>
    </w:p>
    <w:p w14:paraId="7FE299A3" w14:textId="515923C2" w:rsidR="00EA514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Piano per l’accesso e l’inclusione delle persone con disabilità della Polizia del South Australia</w:t>
      </w:r>
      <w:r w:rsidR="00DB177E" w:rsidRPr="00992435">
        <w:rPr>
          <w:rFonts w:cs="Arial"/>
          <w:kern w:val="2"/>
          <w:lang w:val="it-IT"/>
          <w14:ligatures w14:val="standardContextual"/>
        </w:rPr>
        <w:t xml:space="preserve"> </w:t>
      </w:r>
      <w:r w:rsidR="00737B5C" w:rsidRPr="00992435">
        <w:rPr>
          <w:rFonts w:cs="Arial"/>
          <w:kern w:val="2"/>
          <w:lang w:val="it-IT"/>
          <w14:ligatures w14:val="standardContextual"/>
        </w:rPr>
        <w:t xml:space="preserve"> [South Australian Police (SAPOL) Disability Access and Inclusion Plan 2020-2024];</w:t>
      </w:r>
    </w:p>
    <w:p w14:paraId="332CF096" w14:textId="71D8F718" w:rsidR="00EA5140" w:rsidRPr="00992435" w:rsidRDefault="00C36C5F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Commissione reale della Tasmania sulle disposizioni nazionali in materia di disastri naturali</w:t>
      </w:r>
      <w:r>
        <w:rPr>
          <w:rFonts w:cs="Arial"/>
          <w:kern w:val="2"/>
          <w:lang w:val="it-IT"/>
          <w14:ligatures w14:val="standardContextual"/>
        </w:rPr>
        <w:t xml:space="preserve"> </w:t>
      </w:r>
      <w:r w:rsidRPr="00992435">
        <w:rPr>
          <w:rFonts w:cs="Arial"/>
          <w:kern w:val="2"/>
          <w:lang w:val="it-IT"/>
          <w14:ligatures w14:val="standardContextual"/>
        </w:rPr>
        <w:t>(</w:t>
      </w:r>
      <w:r w:rsidR="004A3037" w:rsidRPr="00992435">
        <w:rPr>
          <w:rFonts w:cs="Arial"/>
          <w:kern w:val="2"/>
          <w:lang w:val="it-IT"/>
          <w14:ligatures w14:val="standardContextual"/>
        </w:rPr>
        <w:t>Tasmanian Royal Commission into National Natural Disaster Arrangements – RCNNDA</w:t>
      </w:r>
      <w:r>
        <w:rPr>
          <w:rFonts w:cs="Arial"/>
          <w:kern w:val="2"/>
          <w:lang w:val="it"/>
          <w14:ligatures w14:val="standardContextual"/>
        </w:rPr>
        <w:t>);</w:t>
      </w:r>
      <w:r w:rsidR="00992435" w:rsidRPr="00992435">
        <w:rPr>
          <w:rFonts w:cs="Arial"/>
          <w:kern w:val="2"/>
          <w:lang w:val="it-IT"/>
          <w14:ligatures w14:val="standardContextual"/>
        </w:rPr>
        <w:t xml:space="preserve"> </w:t>
      </w:r>
    </w:p>
    <w:p w14:paraId="5E167365" w14:textId="5FE382F7" w:rsidR="00EA5140" w:rsidRPr="00992435" w:rsidRDefault="00992435" w:rsidP="006815A0">
      <w:pPr>
        <w:pStyle w:val="ListParagraph"/>
        <w:keepNext/>
        <w:numPr>
          <w:ilvl w:val="0"/>
          <w:numId w:val="25"/>
        </w:numPr>
        <w:spacing w:after="120" w:line="240" w:lineRule="auto"/>
        <w:ind w:left="425" w:hanging="425"/>
        <w:contextualSpacing w:val="0"/>
        <w:rPr>
          <w:rFonts w:cs="Arial"/>
          <w:kern w:val="2"/>
          <w:lang w:val="it-IT"/>
          <w14:ligatures w14:val="standardContextual"/>
        </w:rPr>
      </w:pPr>
      <w:r w:rsidRPr="00992435">
        <w:rPr>
          <w:rFonts w:cs="Arial"/>
          <w:kern w:val="2"/>
          <w:lang w:val="it-IT"/>
          <w14:ligatures w14:val="standardContextual"/>
        </w:rPr>
        <w:t xml:space="preserve"> </w:t>
      </w:r>
      <w:r w:rsidRPr="00D60484">
        <w:rPr>
          <w:rFonts w:cs="Arial"/>
          <w:kern w:val="2"/>
          <w:lang w:val="it"/>
          <w14:ligatures w14:val="standardContextual"/>
        </w:rPr>
        <w:t>Strategia sanitaria per la disabilità dell’ACT</w:t>
      </w:r>
      <w:r w:rsidR="00DB177E" w:rsidRPr="00992435">
        <w:rPr>
          <w:rFonts w:cs="Arial"/>
          <w:kern w:val="2"/>
          <w:lang w:val="it-IT"/>
          <w14:ligatures w14:val="standardContextual"/>
        </w:rPr>
        <w:t>;</w:t>
      </w:r>
      <w:r w:rsidR="00C36C5F" w:rsidRPr="00C36C5F">
        <w:rPr>
          <w:rFonts w:cs="Arial"/>
          <w:kern w:val="2"/>
          <w:lang w:val="it-IT"/>
          <w14:ligatures w14:val="standardContextual"/>
        </w:rPr>
        <w:t xml:space="preserve"> </w:t>
      </w:r>
      <w:r w:rsidR="00C36C5F" w:rsidRPr="00992435">
        <w:rPr>
          <w:rFonts w:cs="Arial"/>
          <w:kern w:val="2"/>
          <w:lang w:val="it-IT"/>
          <w14:ligatures w14:val="standardContextual"/>
        </w:rPr>
        <w:t>[Australian Capital Territory (ACT) Disability Health Strategy 2024-2033]</w:t>
      </w:r>
    </w:p>
    <w:p w14:paraId="1E55DFC8" w14:textId="12B703A6" w:rsidR="00E63510" w:rsidRPr="00992435" w:rsidRDefault="00992435" w:rsidP="0010189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992435">
        <w:rPr>
          <w:rFonts w:cs="Arial"/>
          <w:kern w:val="2"/>
          <w:lang w:val="it-IT"/>
          <w14:ligatures w14:val="standardContextual"/>
        </w:rPr>
        <w:t xml:space="preserve"> [</w:t>
      </w:r>
      <w:r>
        <w:rPr>
          <w:rFonts w:cs="Arial"/>
          <w:kern w:val="2"/>
          <w:lang w:val="it"/>
          <w14:ligatures w14:val="standardContextual"/>
        </w:rPr>
        <w:t>La</w:t>
      </w:r>
      <w:r w:rsidRPr="00D60484">
        <w:rPr>
          <w:rFonts w:cs="Arial"/>
          <w:kern w:val="2"/>
          <w:lang w:val="it"/>
          <w14:ligatures w14:val="standardContextual"/>
        </w:rPr>
        <w:t xml:space="preserve"> prossima attuzione della Northern Territory (NT)</w:t>
      </w:r>
      <w:r>
        <w:rPr>
          <w:rFonts w:cs="Arial"/>
          <w:kern w:val="2"/>
          <w:lang w:val="it"/>
          <w14:ligatures w14:val="standardContextual"/>
        </w:rPr>
        <w:t xml:space="preserve"> S</w:t>
      </w:r>
      <w:r w:rsidRPr="00D60484">
        <w:rPr>
          <w:rFonts w:cs="Arial"/>
          <w:kern w:val="2"/>
          <w:lang w:val="it"/>
          <w14:ligatures w14:val="standardContextual"/>
        </w:rPr>
        <w:t>trategia per l’occupabilità nel servizio pubblico del Northern Territory</w:t>
      </w:r>
      <w:r w:rsidR="00370A78" w:rsidRPr="00992435">
        <w:rPr>
          <w:rFonts w:cs="Arial"/>
          <w:kern w:val="2"/>
          <w:lang w:val="it-IT"/>
          <w14:ligatures w14:val="standardContextual"/>
        </w:rPr>
        <w:t>]</w:t>
      </w:r>
      <w:r w:rsidR="00C36C5F" w:rsidRPr="00C36C5F">
        <w:rPr>
          <w:rFonts w:cs="Arial"/>
          <w:kern w:val="2"/>
          <w:lang w:val="it-IT"/>
          <w14:ligatures w14:val="standardContextual"/>
        </w:rPr>
        <w:t xml:space="preserve"> </w:t>
      </w:r>
      <w:r w:rsidR="00C36C5F">
        <w:rPr>
          <w:rFonts w:cs="Arial"/>
          <w:kern w:val="2"/>
          <w:lang w:val="it-IT"/>
          <w14:ligatures w14:val="standardContextual"/>
        </w:rPr>
        <w:t>(</w:t>
      </w:r>
      <w:r w:rsidR="00C36C5F" w:rsidRPr="00992435">
        <w:rPr>
          <w:rFonts w:cs="Arial"/>
          <w:kern w:val="2"/>
          <w:lang w:val="it-IT"/>
          <w14:ligatures w14:val="standardContextual"/>
        </w:rPr>
        <w:t>The next iteration of the Northern Territory (NT) Public Service (NTPS) Employability Strategy 2024-2027</w:t>
      </w:r>
      <w:r w:rsidR="00C36C5F">
        <w:rPr>
          <w:rFonts w:cs="Arial"/>
          <w:kern w:val="2"/>
          <w:lang w:val="it-IT"/>
          <w14:ligatures w14:val="standardContextual"/>
        </w:rPr>
        <w:t>)</w:t>
      </w:r>
      <w:r w:rsidR="00370A78" w:rsidRPr="00992435">
        <w:rPr>
          <w:rFonts w:cs="Arial"/>
          <w:kern w:val="2"/>
          <w:lang w:val="it-IT"/>
          <w14:ligatures w14:val="standardContextual"/>
        </w:rPr>
        <w:t>.</w:t>
      </w:r>
    </w:p>
    <w:p w14:paraId="5F76B952" w14:textId="77777777" w:rsidR="000A0CAD" w:rsidRPr="00721917" w:rsidRDefault="00DB177E" w:rsidP="006815A0">
      <w:pPr>
        <w:keepNext/>
        <w:spacing w:after="120" w:line="240" w:lineRule="auto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Alcune delle sfide e degli insegnamenti tratti dai governi nell’attuazione delle azioni includono:</w:t>
      </w:r>
    </w:p>
    <w:p w14:paraId="68B06B6F" w14:textId="77777777" w:rsidR="000A0CAD" w:rsidRPr="00721917" w:rsidRDefault="00DB177E" w:rsidP="00101896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735DBB">
        <w:rPr>
          <w:rFonts w:cs="Arial"/>
          <w:kern w:val="2"/>
          <w:lang w:val="it"/>
          <w14:ligatures w14:val="standardContextual"/>
        </w:rPr>
        <w:t>Collaborazione con le parti interessate: i datori di lavoro hanno dimostrato capacità ed esperienza limitate nel lavorare con persone con disabilità.</w:t>
      </w:r>
    </w:p>
    <w:p w14:paraId="531669B3" w14:textId="77777777" w:rsidR="00D2348D" w:rsidRPr="00721917" w:rsidRDefault="00DB177E" w:rsidP="005500D0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5500D0">
        <w:rPr>
          <w:rFonts w:cs="Arial"/>
          <w:kern w:val="2"/>
          <w:lang w:val="it"/>
          <w14:ligatures w14:val="standardContextual"/>
        </w:rPr>
        <w:t>Carenza di forza lavoro: la mancanza di professionisti qualificati, tra cui professionisti parasanitari, educatori e personale di supporto, influisce in modo significativo sull’erogazione di servizi di qualità.</w:t>
      </w:r>
    </w:p>
    <w:p w14:paraId="1DE1D2D8" w14:textId="77777777" w:rsidR="00D2348D" w:rsidRPr="00721917" w:rsidRDefault="00DB177E" w:rsidP="005500D0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5500D0">
        <w:rPr>
          <w:rFonts w:cs="Arial"/>
          <w:kern w:val="2"/>
          <w:lang w:val="it"/>
          <w14:ligatures w14:val="standardContextual"/>
        </w:rPr>
        <w:t xml:space="preserve">Carico di lavoro per gli insegnanti: la costante carenza di insegnanti unitamente alle responsabilità amministrative, aumenta i carichi di lavoro, influendo negativamente sull’insegnamento e l’apprendimento nelle scuole.  </w:t>
      </w:r>
    </w:p>
    <w:p w14:paraId="7B6261A3" w14:textId="77777777" w:rsidR="00D2348D" w:rsidRPr="00721917" w:rsidRDefault="00DB177E" w:rsidP="005500D0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5500D0">
        <w:rPr>
          <w:rFonts w:cs="Arial"/>
          <w:kern w:val="2"/>
          <w:lang w:val="it"/>
          <w14:ligatures w14:val="standardContextual"/>
        </w:rPr>
        <w:t>Sovvenzioni e risorse: la scarsità di fondi e risorse limita la capacità di fornire servizi e assistenza adeguati.</w:t>
      </w:r>
    </w:p>
    <w:p w14:paraId="08489AC3" w14:textId="77777777" w:rsidR="000A0CAD" w:rsidRPr="00721917" w:rsidRDefault="00DB177E" w:rsidP="006815A0">
      <w:pPr>
        <w:pStyle w:val="ListParagraph"/>
        <w:keepNext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lastRenderedPageBreak/>
        <w:t xml:space="preserve">Questioni logistiche comuni: coinvolgere le parti interessate, affrontare le sfide della popolazione rurale e regionale e garantire una rappresentanza diversificata delle persone con disabilità nelle procedure. </w:t>
      </w:r>
    </w:p>
    <w:p w14:paraId="6465D7B8" w14:textId="6530B7BF" w:rsidR="006815A0" w:rsidRPr="00721917" w:rsidRDefault="00DB177E" w:rsidP="006815A0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 xml:space="preserve">I progressi di alcune azioni sono stati influenzati dall’attesa dei risultati della Commissione reale </w:t>
      </w:r>
      <w:r w:rsidR="00992435">
        <w:rPr>
          <w:rFonts w:cs="Arial"/>
          <w:kern w:val="2"/>
          <w:lang w:val="it"/>
          <w14:ligatures w14:val="standardContextual"/>
        </w:rPr>
        <w:t xml:space="preserve">sulla </w:t>
      </w:r>
      <w:r w:rsidRPr="00D60484">
        <w:rPr>
          <w:rFonts w:cs="Arial"/>
          <w:kern w:val="2"/>
          <w:lang w:val="it"/>
          <w14:ligatures w14:val="standardContextual"/>
        </w:rPr>
        <w:t>disabilità e dal riesame dell’NDIS.</w:t>
      </w:r>
    </w:p>
    <w:p w14:paraId="3211A67B" w14:textId="77777777" w:rsidR="00936910" w:rsidRPr="006815A0" w:rsidRDefault="00DB177E" w:rsidP="006815A0">
      <w:pPr>
        <w:keepNext/>
        <w:spacing w:after="120" w:line="240" w:lineRule="auto"/>
        <w:rPr>
          <w:rFonts w:cs="Arial"/>
          <w:b/>
          <w:bCs/>
          <w:kern w:val="2"/>
          <w:u w:val="single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Tutti i governi hanno conseguito diversi successi nell’attuazione e realizzazione delle azioni. Alcuni dei risultati principali includono:</w:t>
      </w:r>
    </w:p>
    <w:p w14:paraId="6A2C8117" w14:textId="77777777" w:rsidR="00807D89" w:rsidRPr="00D60484" w:rsidRDefault="00DB177E" w:rsidP="00B61BD1">
      <w:pPr>
        <w:keepNext/>
        <w:spacing w:after="120" w:line="240" w:lineRule="auto"/>
        <w:rPr>
          <w:rFonts w:cs="Arial"/>
          <w:b/>
          <w:bCs/>
          <w:kern w:val="2"/>
          <w14:ligatures w14:val="standardContextual"/>
        </w:rPr>
      </w:pPr>
      <w:r w:rsidRPr="00D60484">
        <w:rPr>
          <w:rFonts w:cs="Arial"/>
          <w:b/>
          <w:bCs/>
          <w:kern w:val="2"/>
          <w:lang w:val="it"/>
          <w14:ligatures w14:val="standardContextual"/>
        </w:rPr>
        <w:t xml:space="preserve">Occupazione </w:t>
      </w:r>
    </w:p>
    <w:p w14:paraId="48614957" w14:textId="77777777" w:rsidR="006E17AB" w:rsidRPr="00721917" w:rsidRDefault="00DB177E" w:rsidP="00B61BD1">
      <w:pPr>
        <w:keepNext/>
        <w:numPr>
          <w:ilvl w:val="0"/>
          <w:numId w:val="23"/>
        </w:numPr>
        <w:spacing w:after="120" w:line="240" w:lineRule="auto"/>
        <w:ind w:left="426" w:hanging="426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lang w:val="it"/>
        </w:rPr>
        <w:t xml:space="preserve">Nel 2022 il governo australiano ha implementato il nuovo modello di servizi per l’impiego (New Employment Services Model, NESM) a livello nazionale con il nome di “Workforce Australia”. </w:t>
      </w:r>
    </w:p>
    <w:p w14:paraId="57475D5B" w14:textId="77777777" w:rsidR="00F44259" w:rsidRPr="00721917" w:rsidRDefault="00DB177E" w:rsidP="00101896">
      <w:pPr>
        <w:pStyle w:val="ListParagraph"/>
        <w:numPr>
          <w:ilvl w:val="0"/>
          <w:numId w:val="23"/>
        </w:numPr>
        <w:spacing w:after="120" w:line="240" w:lineRule="auto"/>
        <w:ind w:left="426" w:hanging="426"/>
        <w:contextualSpacing w:val="0"/>
        <w:rPr>
          <w:rFonts w:cs="Arial"/>
          <w:lang w:val="it-IT"/>
        </w:rPr>
      </w:pPr>
      <w:r w:rsidRPr="00D60484">
        <w:rPr>
          <w:rFonts w:cs="Arial"/>
          <w:kern w:val="2"/>
          <w:lang w:val="it"/>
          <w14:ligatures w14:val="standardContextual"/>
        </w:rPr>
        <w:t>Il Northern Territory ha implementato servizi di supporto per gli studenti con disabilità per il completamento dell’NT Certificate of Education and Training (NTCET), la transizione tra le fasi della formazione scolastica e al termine del percorso formativo.</w:t>
      </w:r>
    </w:p>
    <w:p w14:paraId="67D54239" w14:textId="77777777" w:rsidR="00F44259" w:rsidRPr="00D60484" w:rsidRDefault="00DB177E" w:rsidP="00B61BD1">
      <w:pPr>
        <w:keepNext/>
        <w:spacing w:after="120" w:line="240" w:lineRule="auto"/>
        <w:rPr>
          <w:rFonts w:cs="Arial"/>
          <w:kern w:val="2"/>
          <w14:ligatures w14:val="standardContextual"/>
        </w:rPr>
      </w:pPr>
      <w:r w:rsidRPr="00D60484">
        <w:rPr>
          <w:rFonts w:cs="Arial"/>
          <w:b/>
          <w:bCs/>
          <w:kern w:val="2"/>
          <w:lang w:val="it"/>
          <w14:ligatures w14:val="standardContextual"/>
        </w:rPr>
        <w:t xml:space="preserve">Atteggiamento della comunità </w:t>
      </w:r>
    </w:p>
    <w:p w14:paraId="7B5A808F" w14:textId="77777777" w:rsidR="00F44259" w:rsidRPr="00721917" w:rsidRDefault="00DB177E" w:rsidP="00B61BD1">
      <w:pPr>
        <w:pStyle w:val="ListParagraph"/>
        <w:keepNext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 xml:space="preserve">L’ACT ha presentato la </w:t>
      </w:r>
      <w:r w:rsidRPr="00D60484">
        <w:rPr>
          <w:rFonts w:cs="Arial"/>
          <w:i/>
          <w:iCs/>
          <w:kern w:val="2"/>
          <w:lang w:val="it"/>
          <w14:ligatures w14:val="standardContextual"/>
        </w:rPr>
        <w:t>Strategia di giustizia per la disabilità 2019-2029 (Disability Justice Strategy 2019-2029)</w:t>
      </w:r>
      <w:r w:rsidRPr="00D60484">
        <w:rPr>
          <w:rFonts w:cs="Arial"/>
          <w:kern w:val="2"/>
          <w:lang w:val="it"/>
          <w14:ligatures w14:val="standardContextual"/>
        </w:rPr>
        <w:t xml:space="preserve"> e il Primo piano d’azione 2019-2023 (First Action Plan 2019-2023) per migliorare gli atteggiamenti e la capacità del settore della giustizia di rispondere e migliorare gli esiti per le persone con disabilità nel sistema giudiziario.</w:t>
      </w:r>
    </w:p>
    <w:p w14:paraId="5A02F7D1" w14:textId="77777777" w:rsidR="00F44259" w:rsidRPr="00721917" w:rsidRDefault="00DB177E" w:rsidP="0010189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rFonts w:cs="Arial"/>
          <w:lang w:val="it-IT"/>
        </w:rPr>
      </w:pPr>
      <w:r w:rsidRPr="00D60484">
        <w:rPr>
          <w:rFonts w:cs="Arial"/>
          <w:lang w:val="it"/>
        </w:rPr>
        <w:t xml:space="preserve">L’attuazione del Consiglio consultivo per il trasporto accessibile del Queensland (Queensland Accessible Transport Advisory Council, QATAC) ha fornito un meccanismo per una consultazione significativa tra i rappresentanti del settore della disabilità e il governo. </w:t>
      </w:r>
    </w:p>
    <w:p w14:paraId="3EE9EF28" w14:textId="77777777" w:rsidR="00807D89" w:rsidRPr="00D60484" w:rsidRDefault="00DB177E" w:rsidP="00B61BD1">
      <w:pPr>
        <w:keepNext/>
        <w:spacing w:after="120" w:line="240" w:lineRule="auto"/>
        <w:rPr>
          <w:rFonts w:cs="Arial"/>
          <w:b/>
          <w:bCs/>
          <w:kern w:val="2"/>
          <w14:ligatures w14:val="standardContextual"/>
        </w:rPr>
      </w:pPr>
      <w:r w:rsidRPr="00D60484">
        <w:rPr>
          <w:rFonts w:cs="Arial"/>
          <w:b/>
          <w:bCs/>
          <w:kern w:val="2"/>
          <w:lang w:val="it"/>
          <w14:ligatures w14:val="standardContextual"/>
        </w:rPr>
        <w:t xml:space="preserve">Prima infanzia </w:t>
      </w:r>
    </w:p>
    <w:p w14:paraId="2F88B064" w14:textId="77777777" w:rsidR="006D3BE1" w:rsidRPr="00721917" w:rsidRDefault="00DB177E" w:rsidP="00B61BD1">
      <w:pPr>
        <w:pStyle w:val="ListParagraph"/>
        <w:keepNext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Il Western Australia ha erogato un programma per l’autismo a 12 scuole nelle regioni di Pilbara e Wheatbelt.</w:t>
      </w:r>
    </w:p>
    <w:p w14:paraId="29E3C485" w14:textId="77777777" w:rsidR="0084193E" w:rsidRPr="00721917" w:rsidRDefault="00DB177E" w:rsidP="0010189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Il programma KidSport del Western Australia ha offerto voucher sportivi a bambini con disabilità provenienti da contesti socio-economici bassi. Oltre 4.000 bambini con disabilità hanno avuto accesso a 5.000 voucher, aumentando la partecipazione dei bambini con disabilità e delle loro famiglie nelle comunità locali.</w:t>
      </w:r>
    </w:p>
    <w:p w14:paraId="21F6F424" w14:textId="77777777" w:rsidR="00D8788C" w:rsidRPr="00D60484" w:rsidRDefault="00DB177E" w:rsidP="00B61BD1">
      <w:pPr>
        <w:keepNext/>
        <w:spacing w:after="120" w:line="240" w:lineRule="auto"/>
        <w:rPr>
          <w:rFonts w:cs="Arial"/>
          <w:b/>
          <w:bCs/>
          <w:kern w:val="2"/>
          <w14:ligatures w14:val="standardContextual"/>
        </w:rPr>
      </w:pPr>
      <w:r w:rsidRPr="00D60484">
        <w:rPr>
          <w:rFonts w:cs="Arial"/>
          <w:b/>
          <w:bCs/>
          <w:kern w:val="2"/>
          <w:lang w:val="it"/>
          <w14:ligatures w14:val="standardContextual"/>
        </w:rPr>
        <w:t xml:space="preserve">Sicurezza </w:t>
      </w:r>
    </w:p>
    <w:p w14:paraId="1A00CA0B" w14:textId="77777777" w:rsidR="00D8788C" w:rsidRPr="00721917" w:rsidRDefault="00DB177E" w:rsidP="00B61BD1">
      <w:pPr>
        <w:keepNext/>
        <w:numPr>
          <w:ilvl w:val="0"/>
          <w:numId w:val="27"/>
        </w:numPr>
        <w:spacing w:after="120" w:line="240" w:lineRule="auto"/>
        <w:ind w:left="426" w:hanging="426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Il South Australia ha istituito un regime di autorizzazione delle pratiche restrittive (Restrictive Practices Authorisation Scheme) che prevede la formazione dei fornitori di servizi NDIS; il monitoraggio, la segnalazione e l’integrazione di un sistema informatico e di un sito web, e la promozione della riduzione delle pratiche restrittive.</w:t>
      </w:r>
    </w:p>
    <w:p w14:paraId="2B53CDFB" w14:textId="77777777" w:rsidR="0084193E" w:rsidRPr="00721917" w:rsidRDefault="00DB177E" w:rsidP="00101896">
      <w:pPr>
        <w:pStyle w:val="ListParagraph"/>
        <w:numPr>
          <w:ilvl w:val="0"/>
          <w:numId w:val="26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Il governo del New South Wales ha lanciato campagne su stampa, radio e social media per aumentare la consapevolezza della linea di assistenza contro l’abuso di persone anziane e con disabilità (NSW Ageing and Disability Abuse Helpline) e riconoscere i segnali di abuso, negletto e sfruttamento degli adulti con disabilità.</w:t>
      </w:r>
    </w:p>
    <w:p w14:paraId="4911E2AF" w14:textId="77777777" w:rsidR="00972778" w:rsidRPr="00D60484" w:rsidRDefault="00DB177E" w:rsidP="00B61BD1">
      <w:pPr>
        <w:keepNext/>
        <w:spacing w:after="120" w:line="240" w:lineRule="auto"/>
        <w:rPr>
          <w:rFonts w:cs="Arial"/>
          <w:b/>
          <w:bCs/>
          <w:kern w:val="2"/>
          <w14:ligatures w14:val="standardContextual"/>
        </w:rPr>
      </w:pPr>
      <w:r w:rsidRPr="00D60484">
        <w:rPr>
          <w:rFonts w:cs="Arial"/>
          <w:b/>
          <w:bCs/>
          <w:kern w:val="2"/>
          <w:lang w:val="it"/>
          <w14:ligatures w14:val="standardContextual"/>
        </w:rPr>
        <w:t xml:space="preserve">Gestione delle emergenze </w:t>
      </w:r>
    </w:p>
    <w:p w14:paraId="4E323EDF" w14:textId="77777777" w:rsidR="008203C6" w:rsidRPr="00721917" w:rsidRDefault="00DB177E" w:rsidP="00B61BD1">
      <w:pPr>
        <w:pStyle w:val="ListParagraph"/>
        <w:keepNext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La Tasmania ha coinvolto ampiamente le persone con disabilità nello sviluppo di strategie e linee guida per la gestione inclusiva delle emergenze.</w:t>
      </w:r>
    </w:p>
    <w:p w14:paraId="78A2CF0B" w14:textId="77777777" w:rsidR="00A605D9" w:rsidRPr="00721917" w:rsidRDefault="00DB177E" w:rsidP="006815A0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cs="Arial"/>
          <w:kern w:val="2"/>
          <w:lang w:val="it-IT"/>
          <w14:ligatures w14:val="standardContextual"/>
        </w:rPr>
      </w:pPr>
      <w:r w:rsidRPr="00D60484">
        <w:rPr>
          <w:rFonts w:cs="Arial"/>
          <w:kern w:val="2"/>
          <w:lang w:val="it"/>
          <w14:ligatures w14:val="standardContextual"/>
        </w:rPr>
        <w:t>Emergency Recovery Victoria (ERV) sta lavorando per incorporare un approccio di co-progettazione per la pianificazione della risposta alle emergenze, del soccorso e del recupero per le persone con disabilità.</w:t>
      </w:r>
    </w:p>
    <w:p w14:paraId="18EDD7A1" w14:textId="77777777" w:rsidR="00CA15A4" w:rsidRPr="00721917" w:rsidRDefault="00DB177E" w:rsidP="006815A0">
      <w:pPr>
        <w:pStyle w:val="Heading1"/>
        <w:keepNext/>
        <w:rPr>
          <w:lang w:val="it-IT"/>
        </w:rPr>
      </w:pPr>
      <w:bookmarkStart w:id="26" w:name="_Toc256000020"/>
      <w:bookmarkStart w:id="27" w:name="_Hlk166574914"/>
      <w:bookmarkStart w:id="28" w:name="_Hlk177040548"/>
      <w:r w:rsidRPr="0029611C">
        <w:rPr>
          <w:lang w:val="it"/>
        </w:rPr>
        <w:lastRenderedPageBreak/>
        <w:t>I prossimi piani d’azione mirati</w:t>
      </w:r>
      <w:bookmarkEnd w:id="26"/>
    </w:p>
    <w:p w14:paraId="7775EE10" w14:textId="77777777" w:rsidR="00CA15A4" w:rsidRPr="00721917" w:rsidRDefault="00DB177E" w:rsidP="00CA15A4">
      <w:pPr>
        <w:spacing w:before="120" w:after="12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 xml:space="preserve">Il governo federale ha lavorato con i governi statali e territoriali all’inizio del 2024 per sviluppare una nuova serie di TAP per il periodo dal 2024 al 2027. </w:t>
      </w:r>
    </w:p>
    <w:p w14:paraId="023ACCF5" w14:textId="77777777" w:rsidR="00CA15A4" w:rsidRPr="00721917" w:rsidRDefault="00DB177E" w:rsidP="00CA15A4">
      <w:pPr>
        <w:spacing w:before="120" w:after="120" w:line="240" w:lineRule="auto"/>
        <w:rPr>
          <w:kern w:val="2"/>
          <w:lang w:val="it-IT"/>
          <w14:ligatures w14:val="standardContextual"/>
        </w:rPr>
      </w:pPr>
      <w:r>
        <w:rPr>
          <w:kern w:val="2"/>
          <w:lang w:val="it"/>
          <w14:ligatures w14:val="standardContextual"/>
        </w:rPr>
        <w:t xml:space="preserve">I nuovi TAP hanno tenuto conto del riscontro fornito dalle parti interessate e dalla comunità di persone con disabilità a partire dal lancio dell’ADS e in seguito alla revisione dell’ADS nel corso del 2024. Si sono tenuti workshop in collaborazione con il Consiglio consultivo dell’ADS per testare le aree di interesse dei nuovi TAP. </w:t>
      </w:r>
    </w:p>
    <w:p w14:paraId="24D59145" w14:textId="77777777" w:rsidR="00CA15A4" w:rsidRDefault="00DB177E" w:rsidP="006815A0">
      <w:pPr>
        <w:keepNext/>
        <w:spacing w:before="120" w:after="120" w:line="240" w:lineRule="auto"/>
        <w:rPr>
          <w:kern w:val="2"/>
          <w14:ligatures w14:val="standardContextual"/>
        </w:rPr>
      </w:pPr>
      <w:r>
        <w:rPr>
          <w:kern w:val="2"/>
          <w:lang w:val="it"/>
          <w14:ligatures w14:val="standardContextual"/>
        </w:rPr>
        <w:t>Il numero di TAP è stato ridotto da 5 a 3, con meno azioni. Sono incluse azioni con un approccio coerente a livello nazionale, progettate affinché le azioni abbiano un impatto elevato e producano esiti positivi entro il periodo di 1-3 anni</w:t>
      </w:r>
      <w:bookmarkEnd w:id="27"/>
      <w:r>
        <w:rPr>
          <w:kern w:val="2"/>
          <w:lang w:val="it"/>
          <w14:ligatures w14:val="standardContextual"/>
        </w:rPr>
        <w:t>. La segnalazione dei progressi riguardanti le azioni resterà a cadenza annuale. La prossima serie di TAP e obiettivi sono:</w:t>
      </w:r>
    </w:p>
    <w:p w14:paraId="3032DBBC" w14:textId="77777777" w:rsidR="002D7038" w:rsidRPr="002D7038" w:rsidRDefault="00DB177E" w:rsidP="00B61BD1">
      <w:pPr>
        <w:keepNext/>
        <w:numPr>
          <w:ilvl w:val="0"/>
          <w:numId w:val="8"/>
        </w:numPr>
        <w:spacing w:after="120" w:line="240" w:lineRule="auto"/>
        <w:ind w:left="425" w:hanging="425"/>
        <w:rPr>
          <w:b/>
          <w:bCs/>
          <w:kern w:val="2"/>
          <w14:ligatures w14:val="standardContextual"/>
        </w:rPr>
      </w:pPr>
      <w:bookmarkStart w:id="29" w:name="_Hlk178325162"/>
      <w:r w:rsidRPr="002D7038">
        <w:rPr>
          <w:b/>
          <w:bCs/>
          <w:kern w:val="2"/>
          <w:lang w:val="it"/>
          <w14:ligatures w14:val="standardContextual"/>
        </w:rPr>
        <w:t xml:space="preserve">Atteggiamento della comunità </w:t>
      </w:r>
    </w:p>
    <w:p w14:paraId="2A2499B5" w14:textId="77777777" w:rsidR="00AD4D29" w:rsidRPr="00721917" w:rsidRDefault="00DB177E" w:rsidP="00101896">
      <w:pPr>
        <w:pStyle w:val="ListParagraph"/>
        <w:numPr>
          <w:ilvl w:val="1"/>
          <w:numId w:val="8"/>
        </w:numPr>
        <w:spacing w:after="120" w:line="240" w:lineRule="auto"/>
        <w:ind w:left="851" w:hanging="425"/>
        <w:contextualSpacing w:val="0"/>
        <w:rPr>
          <w:rFonts w:eastAsia="Arial" w:cstheme="minorHAnsi"/>
          <w:lang w:val="it-IT"/>
        </w:rPr>
      </w:pPr>
      <w:r>
        <w:rPr>
          <w:rFonts w:eastAsia="Arial" w:cstheme="minorHAnsi"/>
          <w:lang w:val="it"/>
        </w:rPr>
        <w:t xml:space="preserve">Aumentare la rappresentanza delle persone con disabilità nei ruoli di leadership. </w:t>
      </w:r>
    </w:p>
    <w:p w14:paraId="5929897F" w14:textId="77777777" w:rsidR="00AD4D29" w:rsidRPr="00721917" w:rsidRDefault="00DB177E" w:rsidP="00101896">
      <w:pPr>
        <w:pStyle w:val="ListParagraph"/>
        <w:numPr>
          <w:ilvl w:val="1"/>
          <w:numId w:val="8"/>
        </w:numPr>
        <w:spacing w:after="120" w:line="240" w:lineRule="auto"/>
        <w:ind w:left="851" w:hanging="425"/>
        <w:contextualSpacing w:val="0"/>
        <w:rPr>
          <w:kern w:val="2"/>
          <w:lang w:val="it-IT"/>
          <w14:ligatures w14:val="standardContextual"/>
        </w:rPr>
      </w:pPr>
      <w:r w:rsidRPr="00AD4D29">
        <w:rPr>
          <w:kern w:val="2"/>
          <w:lang w:val="it"/>
          <w14:ligatures w14:val="standardContextual"/>
        </w:rPr>
        <w:t>I datori di lavoro apprezzano il contributo che le persone con disabilità apportano alla forza lavoro e riconoscono i vantaggi legati all’assunzione di persone con disabilità.</w:t>
      </w:r>
    </w:p>
    <w:p w14:paraId="298CB7B0" w14:textId="77777777" w:rsidR="00AD4D29" w:rsidRPr="00721917" w:rsidRDefault="00DB177E" w:rsidP="006815A0">
      <w:pPr>
        <w:pStyle w:val="ListParagraph"/>
        <w:keepNext/>
        <w:numPr>
          <w:ilvl w:val="1"/>
          <w:numId w:val="8"/>
        </w:numPr>
        <w:spacing w:after="120" w:line="240" w:lineRule="auto"/>
        <w:ind w:left="851" w:hanging="425"/>
        <w:contextualSpacing w:val="0"/>
        <w:rPr>
          <w:rFonts w:asciiTheme="minorHAnsi" w:eastAsia="Arial" w:hAnsiTheme="minorHAnsi" w:cstheme="minorHAnsi"/>
          <w:lang w:val="it-IT"/>
        </w:rPr>
      </w:pPr>
      <w:r w:rsidRPr="00AD4D29">
        <w:rPr>
          <w:rFonts w:cstheme="minorHAnsi"/>
          <w:lang w:val="it"/>
        </w:rPr>
        <w:t>I professionisti chiave hanno un atteggiamento favorevole verso la disabilità e reagiscono positivamente alle persone con disabilità.</w:t>
      </w:r>
    </w:p>
    <w:p w14:paraId="166F99A8" w14:textId="77777777" w:rsidR="00AD4D29" w:rsidRPr="00721917" w:rsidRDefault="00DB177E" w:rsidP="00101896">
      <w:pPr>
        <w:numPr>
          <w:ilvl w:val="1"/>
          <w:numId w:val="8"/>
        </w:numPr>
        <w:spacing w:before="120" w:after="120"/>
        <w:ind w:left="851" w:hanging="425"/>
        <w:contextualSpacing/>
        <w:rPr>
          <w:rFonts w:cstheme="minorHAnsi"/>
          <w:lang w:val="it-IT"/>
        </w:rPr>
      </w:pPr>
      <w:r w:rsidRPr="00AD4D29">
        <w:rPr>
          <w:rFonts w:cstheme="minorHAnsi"/>
          <w:lang w:val="it"/>
        </w:rPr>
        <w:t xml:space="preserve">Miglioramento dell’atteggiamento della comunità per un impatto positivo sulle priorità delle policy nell’ambito dell’ADS. </w:t>
      </w:r>
    </w:p>
    <w:p w14:paraId="526676C8" w14:textId="40587A70" w:rsidR="00CA15A4" w:rsidRPr="002D7038" w:rsidRDefault="00DB177E" w:rsidP="006815A0">
      <w:pPr>
        <w:keepNext/>
        <w:numPr>
          <w:ilvl w:val="0"/>
          <w:numId w:val="8"/>
        </w:numPr>
        <w:spacing w:after="120" w:line="240" w:lineRule="auto"/>
        <w:ind w:left="426" w:hanging="426"/>
        <w:rPr>
          <w:b/>
          <w:bCs/>
          <w:kern w:val="2"/>
          <w14:ligatures w14:val="standardContextual"/>
        </w:rPr>
      </w:pPr>
      <w:r w:rsidRPr="002D7038">
        <w:rPr>
          <w:b/>
          <w:bCs/>
          <w:kern w:val="2"/>
          <w:lang w:val="it"/>
          <w14:ligatures w14:val="standardContextual"/>
        </w:rPr>
        <w:t xml:space="preserve">Comunità e </w:t>
      </w:r>
      <w:r w:rsidR="00370A78">
        <w:rPr>
          <w:b/>
          <w:bCs/>
          <w:kern w:val="2"/>
          <w:lang w:val="it"/>
          <w14:ligatures w14:val="standardContextual"/>
        </w:rPr>
        <w:t>abitazioni</w:t>
      </w:r>
      <w:r w:rsidRPr="002D7038">
        <w:rPr>
          <w:b/>
          <w:bCs/>
          <w:kern w:val="2"/>
          <w:lang w:val="it"/>
          <w14:ligatures w14:val="standardContextual"/>
        </w:rPr>
        <w:t xml:space="preserve"> inclusive</w:t>
      </w:r>
    </w:p>
    <w:p w14:paraId="3FE7ABB3" w14:textId="77777777" w:rsidR="00AD4D29" w:rsidRPr="00721917" w:rsidRDefault="00DB177E" w:rsidP="00101896">
      <w:pPr>
        <w:pStyle w:val="BodyText"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AD4D29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Le persone con disabilità sono in grado di partecipare a pieno titolo alla vita sociale, ricreativa, sportiva, religiosa e culturale della comunità.</w:t>
      </w:r>
    </w:p>
    <w:p w14:paraId="35B2D216" w14:textId="77777777" w:rsidR="002D7038" w:rsidRPr="00721917" w:rsidRDefault="00DB177E" w:rsidP="00101896">
      <w:pPr>
        <w:pStyle w:val="BodyText"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L'ambiente edificato e naturale è accessibile.</w:t>
      </w:r>
    </w:p>
    <w:p w14:paraId="28326A97" w14:textId="77777777" w:rsidR="002D7038" w:rsidRPr="00721917" w:rsidRDefault="00DB177E" w:rsidP="006815A0">
      <w:pPr>
        <w:pStyle w:val="BodyText"/>
        <w:keepNext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Gli alloggi sono accessibili e le persone con disabilità possono scegliere dove e con chi vivere, nonché di decidere chi può accedere alla loro abitazione.</w:t>
      </w:r>
    </w:p>
    <w:p w14:paraId="312FD91B" w14:textId="77777777" w:rsidR="002D7038" w:rsidRPr="00721917" w:rsidRDefault="00DB177E" w:rsidP="00101896">
      <w:pPr>
        <w:pStyle w:val="BodyText"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I sistemi di trasporto sono accessibili per l'intera comunità.</w:t>
      </w:r>
    </w:p>
    <w:p w14:paraId="13A8A7C5" w14:textId="77777777" w:rsidR="00CA15A4" w:rsidRPr="002D7038" w:rsidRDefault="00DB177E" w:rsidP="006815A0">
      <w:pPr>
        <w:keepNext/>
        <w:numPr>
          <w:ilvl w:val="0"/>
          <w:numId w:val="8"/>
        </w:numPr>
        <w:spacing w:after="120" w:line="240" w:lineRule="auto"/>
        <w:ind w:left="426" w:hanging="426"/>
        <w:rPr>
          <w:b/>
          <w:bCs/>
          <w:kern w:val="2"/>
          <w14:ligatures w14:val="standardContextual"/>
        </w:rPr>
      </w:pPr>
      <w:r w:rsidRPr="002D7038">
        <w:rPr>
          <w:b/>
          <w:bCs/>
          <w:kern w:val="2"/>
          <w:lang w:val="it"/>
          <w14:ligatures w14:val="standardContextual"/>
        </w:rPr>
        <w:t>Sicurezza, diritti e giustizia</w:t>
      </w:r>
    </w:p>
    <w:p w14:paraId="4838E491" w14:textId="77777777" w:rsidR="002D7038" w:rsidRPr="00721917" w:rsidRDefault="00DB177E" w:rsidP="00101896">
      <w:pPr>
        <w:pStyle w:val="BodyText"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Il sistema di giustizia penale risponde efficacemente alle complesse esigenze e vulnerabilità delle persone con disabilità.</w:t>
      </w:r>
    </w:p>
    <w:p w14:paraId="49A56AC3" w14:textId="77777777" w:rsidR="002D7038" w:rsidRPr="00721917" w:rsidRDefault="00DB177E" w:rsidP="006815A0">
      <w:pPr>
        <w:pStyle w:val="BodyText"/>
        <w:keepNext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Le politiche, le procedure e i programmi per le persone con disabilità promuovono l’uguaglianza di genere e prevengono la violenza contro i gruppi ad alto rischio, tra cui le donne e i minori.</w:t>
      </w:r>
    </w:p>
    <w:p w14:paraId="131F03CE" w14:textId="501B7D4F" w:rsidR="005D7C3B" w:rsidRPr="00C36C5F" w:rsidRDefault="00DB177E" w:rsidP="00C36C5F">
      <w:pPr>
        <w:pStyle w:val="BodyText"/>
        <w:numPr>
          <w:ilvl w:val="1"/>
          <w:numId w:val="8"/>
        </w:numPr>
        <w:suppressAutoHyphens/>
        <w:spacing w:after="120"/>
        <w:ind w:left="851" w:hanging="425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2D7038">
        <w:rPr>
          <w:rFonts w:ascii="Arial" w:hAnsi="Arial" w:cstheme="minorBidi"/>
          <w:kern w:val="2"/>
          <w:sz w:val="22"/>
          <w:szCs w:val="22"/>
          <w:lang w:val="it"/>
          <w14:ligatures w14:val="standardContextual"/>
        </w:rPr>
        <w:t>Le politiche, le procedure e i programmi affrontano in modo migliore i casi di trauma delle persone con disabilità.</w:t>
      </w:r>
      <w:bookmarkEnd w:id="28"/>
      <w:bookmarkEnd w:id="29"/>
    </w:p>
    <w:p w14:paraId="23270C3D" w14:textId="48058DB6" w:rsidR="005D7C3B" w:rsidRPr="00721917" w:rsidRDefault="005D7C3B" w:rsidP="00C36C5F">
      <w:pPr>
        <w:pStyle w:val="BodyText"/>
        <w:suppressAutoHyphens/>
        <w:spacing w:before="2200"/>
        <w:ind w:left="3515"/>
        <w:jc w:val="right"/>
        <w:rPr>
          <w:rFonts w:ascii="Arial" w:hAnsi="Arial" w:cstheme="minorBidi"/>
          <w:kern w:val="2"/>
          <w:sz w:val="22"/>
          <w:szCs w:val="22"/>
          <w:lang w:val="it-IT"/>
          <w14:ligatures w14:val="standardContextual"/>
        </w:rPr>
      </w:pPr>
      <w:r w:rsidRPr="005D7C3B">
        <w:rPr>
          <w:rFonts w:ascii="Arial" w:hAnsi="Arial" w:cstheme="minorBidi"/>
          <w:kern w:val="2"/>
          <w:sz w:val="22"/>
          <w:szCs w:val="22"/>
          <w14:ligatures w14:val="standardContextual"/>
        </w:rPr>
        <w:t>DSS3494</w:t>
      </w:r>
    </w:p>
    <w:sectPr w:rsidR="005D7C3B" w:rsidRPr="00721917" w:rsidSect="00A47C26">
      <w:footerReference w:type="defaul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193D" w14:textId="77777777" w:rsidR="009964A6" w:rsidRDefault="009964A6">
      <w:pPr>
        <w:spacing w:after="0" w:line="240" w:lineRule="auto"/>
      </w:pPr>
      <w:r>
        <w:separator/>
      </w:r>
    </w:p>
  </w:endnote>
  <w:endnote w:type="continuationSeparator" w:id="0">
    <w:p w14:paraId="68EBBFDB" w14:textId="77777777" w:rsidR="009964A6" w:rsidRDefault="0099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21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73253" w14:textId="77777777" w:rsidR="009E24CF" w:rsidRDefault="00DB1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9629DCD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2D86" w14:textId="77777777" w:rsidR="009964A6" w:rsidRDefault="009964A6">
      <w:pPr>
        <w:spacing w:after="0" w:line="240" w:lineRule="auto"/>
      </w:pPr>
      <w:r>
        <w:separator/>
      </w:r>
    </w:p>
  </w:footnote>
  <w:footnote w:type="continuationSeparator" w:id="0">
    <w:p w14:paraId="02C8A6D0" w14:textId="77777777" w:rsidR="009964A6" w:rsidRDefault="0099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4A2"/>
    <w:multiLevelType w:val="hybridMultilevel"/>
    <w:tmpl w:val="9A26425C"/>
    <w:lvl w:ilvl="0" w:tplc="575263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668E7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A67EACF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BDE0A7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E3C24732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F187604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D61EDA5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6B9A8AAE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A7502ADA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306345A"/>
    <w:multiLevelType w:val="hybridMultilevel"/>
    <w:tmpl w:val="CC6E1758"/>
    <w:lvl w:ilvl="0" w:tplc="0B200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2B40A" w:tentative="1">
      <w:start w:val="1"/>
      <w:numFmt w:val="lowerLetter"/>
      <w:lvlText w:val="%2."/>
      <w:lvlJc w:val="left"/>
      <w:pPr>
        <w:ind w:left="1440" w:hanging="360"/>
      </w:pPr>
    </w:lvl>
    <w:lvl w:ilvl="2" w:tplc="94368A42" w:tentative="1">
      <w:start w:val="1"/>
      <w:numFmt w:val="lowerRoman"/>
      <w:lvlText w:val="%3."/>
      <w:lvlJc w:val="right"/>
      <w:pPr>
        <w:ind w:left="2160" w:hanging="180"/>
      </w:pPr>
    </w:lvl>
    <w:lvl w:ilvl="3" w:tplc="A376616E" w:tentative="1">
      <w:start w:val="1"/>
      <w:numFmt w:val="decimal"/>
      <w:lvlText w:val="%4."/>
      <w:lvlJc w:val="left"/>
      <w:pPr>
        <w:ind w:left="2880" w:hanging="360"/>
      </w:pPr>
    </w:lvl>
    <w:lvl w:ilvl="4" w:tplc="1B805CF0" w:tentative="1">
      <w:start w:val="1"/>
      <w:numFmt w:val="lowerLetter"/>
      <w:lvlText w:val="%5."/>
      <w:lvlJc w:val="left"/>
      <w:pPr>
        <w:ind w:left="3600" w:hanging="360"/>
      </w:pPr>
    </w:lvl>
    <w:lvl w:ilvl="5" w:tplc="C70EDAC8" w:tentative="1">
      <w:start w:val="1"/>
      <w:numFmt w:val="lowerRoman"/>
      <w:lvlText w:val="%6."/>
      <w:lvlJc w:val="right"/>
      <w:pPr>
        <w:ind w:left="4320" w:hanging="180"/>
      </w:pPr>
    </w:lvl>
    <w:lvl w:ilvl="6" w:tplc="CC7AE042" w:tentative="1">
      <w:start w:val="1"/>
      <w:numFmt w:val="decimal"/>
      <w:lvlText w:val="%7."/>
      <w:lvlJc w:val="left"/>
      <w:pPr>
        <w:ind w:left="5040" w:hanging="360"/>
      </w:pPr>
    </w:lvl>
    <w:lvl w:ilvl="7" w:tplc="BE9C081A" w:tentative="1">
      <w:start w:val="1"/>
      <w:numFmt w:val="lowerLetter"/>
      <w:lvlText w:val="%8."/>
      <w:lvlJc w:val="left"/>
      <w:pPr>
        <w:ind w:left="5760" w:hanging="360"/>
      </w:pPr>
    </w:lvl>
    <w:lvl w:ilvl="8" w:tplc="21B46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E4C"/>
    <w:multiLevelType w:val="hybridMultilevel"/>
    <w:tmpl w:val="8084D18C"/>
    <w:lvl w:ilvl="0" w:tplc="7F0C736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7CFA2082" w:tentative="1">
      <w:start w:val="1"/>
      <w:numFmt w:val="lowerLetter"/>
      <w:lvlText w:val="%2."/>
      <w:lvlJc w:val="left"/>
      <w:pPr>
        <w:ind w:left="1789" w:hanging="360"/>
      </w:pPr>
    </w:lvl>
    <w:lvl w:ilvl="2" w:tplc="A5983AAC" w:tentative="1">
      <w:start w:val="1"/>
      <w:numFmt w:val="lowerRoman"/>
      <w:lvlText w:val="%3."/>
      <w:lvlJc w:val="right"/>
      <w:pPr>
        <w:ind w:left="2509" w:hanging="180"/>
      </w:pPr>
    </w:lvl>
    <w:lvl w:ilvl="3" w:tplc="697AC354" w:tentative="1">
      <w:start w:val="1"/>
      <w:numFmt w:val="decimal"/>
      <w:lvlText w:val="%4."/>
      <w:lvlJc w:val="left"/>
      <w:pPr>
        <w:ind w:left="3229" w:hanging="360"/>
      </w:pPr>
    </w:lvl>
    <w:lvl w:ilvl="4" w:tplc="06A06B52" w:tentative="1">
      <w:start w:val="1"/>
      <w:numFmt w:val="lowerLetter"/>
      <w:lvlText w:val="%5."/>
      <w:lvlJc w:val="left"/>
      <w:pPr>
        <w:ind w:left="3949" w:hanging="360"/>
      </w:pPr>
    </w:lvl>
    <w:lvl w:ilvl="5" w:tplc="B776C7B4" w:tentative="1">
      <w:start w:val="1"/>
      <w:numFmt w:val="lowerRoman"/>
      <w:lvlText w:val="%6."/>
      <w:lvlJc w:val="right"/>
      <w:pPr>
        <w:ind w:left="4669" w:hanging="180"/>
      </w:pPr>
    </w:lvl>
    <w:lvl w:ilvl="6" w:tplc="BE66E0C8" w:tentative="1">
      <w:start w:val="1"/>
      <w:numFmt w:val="decimal"/>
      <w:lvlText w:val="%7."/>
      <w:lvlJc w:val="left"/>
      <w:pPr>
        <w:ind w:left="5389" w:hanging="360"/>
      </w:pPr>
    </w:lvl>
    <w:lvl w:ilvl="7" w:tplc="EAD6CBC0" w:tentative="1">
      <w:start w:val="1"/>
      <w:numFmt w:val="lowerLetter"/>
      <w:lvlText w:val="%8."/>
      <w:lvlJc w:val="left"/>
      <w:pPr>
        <w:ind w:left="6109" w:hanging="360"/>
      </w:pPr>
    </w:lvl>
    <w:lvl w:ilvl="8" w:tplc="FCD2AF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26070"/>
    <w:multiLevelType w:val="multilevel"/>
    <w:tmpl w:val="B31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97CCC"/>
    <w:multiLevelType w:val="hybridMultilevel"/>
    <w:tmpl w:val="D5E2D50E"/>
    <w:lvl w:ilvl="0" w:tplc="D5EC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47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2B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A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C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6D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4C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6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60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13E"/>
    <w:multiLevelType w:val="hybridMultilevel"/>
    <w:tmpl w:val="B10E1982"/>
    <w:lvl w:ilvl="0" w:tplc="1F7E72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48A903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5126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E898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5A51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92FF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CA17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D2EF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CCD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768C7"/>
    <w:multiLevelType w:val="hybridMultilevel"/>
    <w:tmpl w:val="CBDAE8C8"/>
    <w:lvl w:ilvl="0" w:tplc="CB565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65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6E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8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B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67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C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EC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413D"/>
    <w:multiLevelType w:val="hybridMultilevel"/>
    <w:tmpl w:val="99F49E78"/>
    <w:lvl w:ilvl="0" w:tplc="7F3C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06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E3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6A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2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8F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7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EF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CB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166B"/>
    <w:multiLevelType w:val="hybridMultilevel"/>
    <w:tmpl w:val="7E305C50"/>
    <w:lvl w:ilvl="0" w:tplc="2E445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1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6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84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4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6E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0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D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2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2F4E"/>
    <w:multiLevelType w:val="hybridMultilevel"/>
    <w:tmpl w:val="C48E24C4"/>
    <w:lvl w:ilvl="0" w:tplc="90905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E46E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08C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70E5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EE9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2EB8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1A5C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6A2C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AA93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87BBF"/>
    <w:multiLevelType w:val="hybridMultilevel"/>
    <w:tmpl w:val="45322144"/>
    <w:lvl w:ilvl="0" w:tplc="E5EAC0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B0E48A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5841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4A4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7EAB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4A83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445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E45A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C613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C7779"/>
    <w:multiLevelType w:val="hybridMultilevel"/>
    <w:tmpl w:val="551C7482"/>
    <w:lvl w:ilvl="0" w:tplc="167A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23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02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C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43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6E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3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A3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778F"/>
    <w:multiLevelType w:val="hybridMultilevel"/>
    <w:tmpl w:val="FC4A68F2"/>
    <w:lvl w:ilvl="0" w:tplc="636E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AE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E5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CB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C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84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9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2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8B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3E69"/>
    <w:multiLevelType w:val="hybridMultilevel"/>
    <w:tmpl w:val="A90EEEF4"/>
    <w:lvl w:ilvl="0" w:tplc="4E301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AC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4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85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E5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6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44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EF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4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BF"/>
    <w:multiLevelType w:val="hybridMultilevel"/>
    <w:tmpl w:val="7590B21E"/>
    <w:lvl w:ilvl="0" w:tplc="BCF6CEE8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1D4C7594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10F625B8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685AB49A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CA638CE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92E833B2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8D26728C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D3FE5166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6C6342A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3A6F76D0"/>
    <w:multiLevelType w:val="hybridMultilevel"/>
    <w:tmpl w:val="D890C064"/>
    <w:lvl w:ilvl="0" w:tplc="244CD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A8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A8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4A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40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63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5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9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B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06C6"/>
    <w:multiLevelType w:val="hybridMultilevel"/>
    <w:tmpl w:val="BEC03C82"/>
    <w:lvl w:ilvl="0" w:tplc="FD3E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4F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63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46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A0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0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A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6EDE"/>
    <w:multiLevelType w:val="hybridMultilevel"/>
    <w:tmpl w:val="F03A8D9E"/>
    <w:lvl w:ilvl="0" w:tplc="20BC5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3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67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B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88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E4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4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6B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42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585F"/>
    <w:multiLevelType w:val="hybridMultilevel"/>
    <w:tmpl w:val="A636E824"/>
    <w:lvl w:ilvl="0" w:tplc="94DEA6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22E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41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1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E3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86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CC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E4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62243"/>
    <w:multiLevelType w:val="hybridMultilevel"/>
    <w:tmpl w:val="E6F01094"/>
    <w:lvl w:ilvl="0" w:tplc="62AE1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E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9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4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AF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8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4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4A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7545A"/>
    <w:multiLevelType w:val="hybridMultilevel"/>
    <w:tmpl w:val="339A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780"/>
    <w:multiLevelType w:val="hybridMultilevel"/>
    <w:tmpl w:val="CA9A0DF6"/>
    <w:lvl w:ilvl="0" w:tplc="102A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A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8D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B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9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09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0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8B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8A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1FAA"/>
    <w:multiLevelType w:val="hybridMultilevel"/>
    <w:tmpl w:val="FA0C5D58"/>
    <w:lvl w:ilvl="0" w:tplc="C92A0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A642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5A5C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0EE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8AB1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5CC9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9409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82F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3CEC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86F8A"/>
    <w:multiLevelType w:val="hybridMultilevel"/>
    <w:tmpl w:val="87F07588"/>
    <w:lvl w:ilvl="0" w:tplc="FF06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F818FA" w:tentative="1">
      <w:start w:val="1"/>
      <w:numFmt w:val="lowerLetter"/>
      <w:lvlText w:val="%2."/>
      <w:lvlJc w:val="left"/>
      <w:pPr>
        <w:ind w:left="1440" w:hanging="360"/>
      </w:pPr>
    </w:lvl>
    <w:lvl w:ilvl="2" w:tplc="819CA572" w:tentative="1">
      <w:start w:val="1"/>
      <w:numFmt w:val="lowerRoman"/>
      <w:lvlText w:val="%3."/>
      <w:lvlJc w:val="right"/>
      <w:pPr>
        <w:ind w:left="2160" w:hanging="180"/>
      </w:pPr>
    </w:lvl>
    <w:lvl w:ilvl="3" w:tplc="80D61A22" w:tentative="1">
      <w:start w:val="1"/>
      <w:numFmt w:val="decimal"/>
      <w:lvlText w:val="%4."/>
      <w:lvlJc w:val="left"/>
      <w:pPr>
        <w:ind w:left="2880" w:hanging="360"/>
      </w:pPr>
    </w:lvl>
    <w:lvl w:ilvl="4" w:tplc="08005550" w:tentative="1">
      <w:start w:val="1"/>
      <w:numFmt w:val="lowerLetter"/>
      <w:lvlText w:val="%5."/>
      <w:lvlJc w:val="left"/>
      <w:pPr>
        <w:ind w:left="3600" w:hanging="360"/>
      </w:pPr>
    </w:lvl>
    <w:lvl w:ilvl="5" w:tplc="37202A2E" w:tentative="1">
      <w:start w:val="1"/>
      <w:numFmt w:val="lowerRoman"/>
      <w:lvlText w:val="%6."/>
      <w:lvlJc w:val="right"/>
      <w:pPr>
        <w:ind w:left="4320" w:hanging="180"/>
      </w:pPr>
    </w:lvl>
    <w:lvl w:ilvl="6" w:tplc="70DC0040" w:tentative="1">
      <w:start w:val="1"/>
      <w:numFmt w:val="decimal"/>
      <w:lvlText w:val="%7."/>
      <w:lvlJc w:val="left"/>
      <w:pPr>
        <w:ind w:left="5040" w:hanging="360"/>
      </w:pPr>
    </w:lvl>
    <w:lvl w:ilvl="7" w:tplc="DBD64FC8" w:tentative="1">
      <w:start w:val="1"/>
      <w:numFmt w:val="lowerLetter"/>
      <w:lvlText w:val="%8."/>
      <w:lvlJc w:val="left"/>
      <w:pPr>
        <w:ind w:left="5760" w:hanging="360"/>
      </w:pPr>
    </w:lvl>
    <w:lvl w:ilvl="8" w:tplc="2692F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80D"/>
    <w:multiLevelType w:val="hybridMultilevel"/>
    <w:tmpl w:val="06DA40C4"/>
    <w:lvl w:ilvl="0" w:tplc="9E54A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A4E26" w:tentative="1">
      <w:start w:val="1"/>
      <w:numFmt w:val="lowerLetter"/>
      <w:lvlText w:val="%2."/>
      <w:lvlJc w:val="left"/>
      <w:pPr>
        <w:ind w:left="1440" w:hanging="360"/>
      </w:pPr>
    </w:lvl>
    <w:lvl w:ilvl="2" w:tplc="55C4B060" w:tentative="1">
      <w:start w:val="1"/>
      <w:numFmt w:val="lowerRoman"/>
      <w:lvlText w:val="%3."/>
      <w:lvlJc w:val="right"/>
      <w:pPr>
        <w:ind w:left="2160" w:hanging="180"/>
      </w:pPr>
    </w:lvl>
    <w:lvl w:ilvl="3" w:tplc="D50E2942" w:tentative="1">
      <w:start w:val="1"/>
      <w:numFmt w:val="decimal"/>
      <w:lvlText w:val="%4."/>
      <w:lvlJc w:val="left"/>
      <w:pPr>
        <w:ind w:left="2880" w:hanging="360"/>
      </w:pPr>
    </w:lvl>
    <w:lvl w:ilvl="4" w:tplc="3A4CC148" w:tentative="1">
      <w:start w:val="1"/>
      <w:numFmt w:val="lowerLetter"/>
      <w:lvlText w:val="%5."/>
      <w:lvlJc w:val="left"/>
      <w:pPr>
        <w:ind w:left="3600" w:hanging="360"/>
      </w:pPr>
    </w:lvl>
    <w:lvl w:ilvl="5" w:tplc="8D1CF776" w:tentative="1">
      <w:start w:val="1"/>
      <w:numFmt w:val="lowerRoman"/>
      <w:lvlText w:val="%6."/>
      <w:lvlJc w:val="right"/>
      <w:pPr>
        <w:ind w:left="4320" w:hanging="180"/>
      </w:pPr>
    </w:lvl>
    <w:lvl w:ilvl="6" w:tplc="243A316E" w:tentative="1">
      <w:start w:val="1"/>
      <w:numFmt w:val="decimal"/>
      <w:lvlText w:val="%7."/>
      <w:lvlJc w:val="left"/>
      <w:pPr>
        <w:ind w:left="5040" w:hanging="360"/>
      </w:pPr>
    </w:lvl>
    <w:lvl w:ilvl="7" w:tplc="C388BDEA" w:tentative="1">
      <w:start w:val="1"/>
      <w:numFmt w:val="lowerLetter"/>
      <w:lvlText w:val="%8."/>
      <w:lvlJc w:val="left"/>
      <w:pPr>
        <w:ind w:left="5760" w:hanging="360"/>
      </w:pPr>
    </w:lvl>
    <w:lvl w:ilvl="8" w:tplc="2FAC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5475"/>
    <w:multiLevelType w:val="hybridMultilevel"/>
    <w:tmpl w:val="962A6982"/>
    <w:lvl w:ilvl="0" w:tplc="11E4B2F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216FDB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BA1E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68BE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38A5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8851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784D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66B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AE41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D3C10"/>
    <w:multiLevelType w:val="hybridMultilevel"/>
    <w:tmpl w:val="189ECAE6"/>
    <w:lvl w:ilvl="0" w:tplc="08F85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CDD76" w:tentative="1">
      <w:start w:val="1"/>
      <w:numFmt w:val="lowerLetter"/>
      <w:lvlText w:val="%2."/>
      <w:lvlJc w:val="left"/>
      <w:pPr>
        <w:ind w:left="1440" w:hanging="360"/>
      </w:pPr>
    </w:lvl>
    <w:lvl w:ilvl="2" w:tplc="A1E0B0DE" w:tentative="1">
      <w:start w:val="1"/>
      <w:numFmt w:val="lowerRoman"/>
      <w:lvlText w:val="%3."/>
      <w:lvlJc w:val="right"/>
      <w:pPr>
        <w:ind w:left="2160" w:hanging="180"/>
      </w:pPr>
    </w:lvl>
    <w:lvl w:ilvl="3" w:tplc="B25E463E" w:tentative="1">
      <w:start w:val="1"/>
      <w:numFmt w:val="decimal"/>
      <w:lvlText w:val="%4."/>
      <w:lvlJc w:val="left"/>
      <w:pPr>
        <w:ind w:left="2880" w:hanging="360"/>
      </w:pPr>
    </w:lvl>
    <w:lvl w:ilvl="4" w:tplc="27569A56" w:tentative="1">
      <w:start w:val="1"/>
      <w:numFmt w:val="lowerLetter"/>
      <w:lvlText w:val="%5."/>
      <w:lvlJc w:val="left"/>
      <w:pPr>
        <w:ind w:left="3600" w:hanging="360"/>
      </w:pPr>
    </w:lvl>
    <w:lvl w:ilvl="5" w:tplc="82823080" w:tentative="1">
      <w:start w:val="1"/>
      <w:numFmt w:val="lowerRoman"/>
      <w:lvlText w:val="%6."/>
      <w:lvlJc w:val="right"/>
      <w:pPr>
        <w:ind w:left="4320" w:hanging="180"/>
      </w:pPr>
    </w:lvl>
    <w:lvl w:ilvl="6" w:tplc="2716D6E2" w:tentative="1">
      <w:start w:val="1"/>
      <w:numFmt w:val="decimal"/>
      <w:lvlText w:val="%7."/>
      <w:lvlJc w:val="left"/>
      <w:pPr>
        <w:ind w:left="5040" w:hanging="360"/>
      </w:pPr>
    </w:lvl>
    <w:lvl w:ilvl="7" w:tplc="1E16B92A" w:tentative="1">
      <w:start w:val="1"/>
      <w:numFmt w:val="lowerLetter"/>
      <w:lvlText w:val="%8."/>
      <w:lvlJc w:val="left"/>
      <w:pPr>
        <w:ind w:left="5760" w:hanging="360"/>
      </w:pPr>
    </w:lvl>
    <w:lvl w:ilvl="8" w:tplc="1BCA7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2628D"/>
    <w:multiLevelType w:val="hybridMultilevel"/>
    <w:tmpl w:val="EE78F054"/>
    <w:lvl w:ilvl="0" w:tplc="79A2C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47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EE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4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A5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0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9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F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35BB"/>
    <w:multiLevelType w:val="hybridMultilevel"/>
    <w:tmpl w:val="FF1447DE"/>
    <w:lvl w:ilvl="0" w:tplc="BC70C2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A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41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06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3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64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4F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EE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C0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D2547"/>
    <w:multiLevelType w:val="hybridMultilevel"/>
    <w:tmpl w:val="A8CE904C"/>
    <w:lvl w:ilvl="0" w:tplc="CAE07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06126" w:tentative="1">
      <w:start w:val="1"/>
      <w:numFmt w:val="lowerLetter"/>
      <w:lvlText w:val="%2."/>
      <w:lvlJc w:val="left"/>
      <w:pPr>
        <w:ind w:left="1440" w:hanging="360"/>
      </w:pPr>
    </w:lvl>
    <w:lvl w:ilvl="2" w:tplc="84EA936C" w:tentative="1">
      <w:start w:val="1"/>
      <w:numFmt w:val="lowerRoman"/>
      <w:lvlText w:val="%3."/>
      <w:lvlJc w:val="right"/>
      <w:pPr>
        <w:ind w:left="2160" w:hanging="180"/>
      </w:pPr>
    </w:lvl>
    <w:lvl w:ilvl="3" w:tplc="356A9112" w:tentative="1">
      <w:start w:val="1"/>
      <w:numFmt w:val="decimal"/>
      <w:lvlText w:val="%4."/>
      <w:lvlJc w:val="left"/>
      <w:pPr>
        <w:ind w:left="2880" w:hanging="360"/>
      </w:pPr>
    </w:lvl>
    <w:lvl w:ilvl="4" w:tplc="E0AEF2E0" w:tentative="1">
      <w:start w:val="1"/>
      <w:numFmt w:val="lowerLetter"/>
      <w:lvlText w:val="%5."/>
      <w:lvlJc w:val="left"/>
      <w:pPr>
        <w:ind w:left="3600" w:hanging="360"/>
      </w:pPr>
    </w:lvl>
    <w:lvl w:ilvl="5" w:tplc="397CDCBC" w:tentative="1">
      <w:start w:val="1"/>
      <w:numFmt w:val="lowerRoman"/>
      <w:lvlText w:val="%6."/>
      <w:lvlJc w:val="right"/>
      <w:pPr>
        <w:ind w:left="4320" w:hanging="180"/>
      </w:pPr>
    </w:lvl>
    <w:lvl w:ilvl="6" w:tplc="A8C28EB0" w:tentative="1">
      <w:start w:val="1"/>
      <w:numFmt w:val="decimal"/>
      <w:lvlText w:val="%7."/>
      <w:lvlJc w:val="left"/>
      <w:pPr>
        <w:ind w:left="5040" w:hanging="360"/>
      </w:pPr>
    </w:lvl>
    <w:lvl w:ilvl="7" w:tplc="772C4362" w:tentative="1">
      <w:start w:val="1"/>
      <w:numFmt w:val="lowerLetter"/>
      <w:lvlText w:val="%8."/>
      <w:lvlJc w:val="left"/>
      <w:pPr>
        <w:ind w:left="5760" w:hanging="360"/>
      </w:pPr>
    </w:lvl>
    <w:lvl w:ilvl="8" w:tplc="65525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612F4"/>
    <w:multiLevelType w:val="hybridMultilevel"/>
    <w:tmpl w:val="7D76B8CC"/>
    <w:lvl w:ilvl="0" w:tplc="9F2E4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F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67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E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2D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04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6E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CD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05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4F9"/>
    <w:multiLevelType w:val="hybridMultilevel"/>
    <w:tmpl w:val="0290B5EC"/>
    <w:lvl w:ilvl="0" w:tplc="B5506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86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C8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A1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6E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81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C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A5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64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22FED"/>
    <w:multiLevelType w:val="hybridMultilevel"/>
    <w:tmpl w:val="C4406DD2"/>
    <w:lvl w:ilvl="0" w:tplc="1750B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8EDA6" w:tentative="1">
      <w:start w:val="1"/>
      <w:numFmt w:val="lowerLetter"/>
      <w:lvlText w:val="%2."/>
      <w:lvlJc w:val="left"/>
      <w:pPr>
        <w:ind w:left="1440" w:hanging="360"/>
      </w:pPr>
    </w:lvl>
    <w:lvl w:ilvl="2" w:tplc="89A4BDC6" w:tentative="1">
      <w:start w:val="1"/>
      <w:numFmt w:val="lowerRoman"/>
      <w:lvlText w:val="%3."/>
      <w:lvlJc w:val="right"/>
      <w:pPr>
        <w:ind w:left="2160" w:hanging="180"/>
      </w:pPr>
    </w:lvl>
    <w:lvl w:ilvl="3" w:tplc="0C1ABD52" w:tentative="1">
      <w:start w:val="1"/>
      <w:numFmt w:val="decimal"/>
      <w:lvlText w:val="%4."/>
      <w:lvlJc w:val="left"/>
      <w:pPr>
        <w:ind w:left="2880" w:hanging="360"/>
      </w:pPr>
    </w:lvl>
    <w:lvl w:ilvl="4" w:tplc="7592F9D8" w:tentative="1">
      <w:start w:val="1"/>
      <w:numFmt w:val="lowerLetter"/>
      <w:lvlText w:val="%5."/>
      <w:lvlJc w:val="left"/>
      <w:pPr>
        <w:ind w:left="3600" w:hanging="360"/>
      </w:pPr>
    </w:lvl>
    <w:lvl w:ilvl="5" w:tplc="87D47748" w:tentative="1">
      <w:start w:val="1"/>
      <w:numFmt w:val="lowerRoman"/>
      <w:lvlText w:val="%6."/>
      <w:lvlJc w:val="right"/>
      <w:pPr>
        <w:ind w:left="4320" w:hanging="180"/>
      </w:pPr>
    </w:lvl>
    <w:lvl w:ilvl="6" w:tplc="7EF4B6C4" w:tentative="1">
      <w:start w:val="1"/>
      <w:numFmt w:val="decimal"/>
      <w:lvlText w:val="%7."/>
      <w:lvlJc w:val="left"/>
      <w:pPr>
        <w:ind w:left="5040" w:hanging="360"/>
      </w:pPr>
    </w:lvl>
    <w:lvl w:ilvl="7" w:tplc="0352DE8A" w:tentative="1">
      <w:start w:val="1"/>
      <w:numFmt w:val="lowerLetter"/>
      <w:lvlText w:val="%8."/>
      <w:lvlJc w:val="left"/>
      <w:pPr>
        <w:ind w:left="5760" w:hanging="360"/>
      </w:pPr>
    </w:lvl>
    <w:lvl w:ilvl="8" w:tplc="E8BE6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D3E"/>
    <w:multiLevelType w:val="hybridMultilevel"/>
    <w:tmpl w:val="35288ECA"/>
    <w:lvl w:ilvl="0" w:tplc="18FE0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2C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4E3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05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2E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E5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B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1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AC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733A"/>
    <w:multiLevelType w:val="hybridMultilevel"/>
    <w:tmpl w:val="913405FC"/>
    <w:lvl w:ilvl="0" w:tplc="14EAD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BA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69E4D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20C0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2D9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642F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023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9A3E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22B3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8935FA"/>
    <w:multiLevelType w:val="hybridMultilevel"/>
    <w:tmpl w:val="EA1CDB4A"/>
    <w:lvl w:ilvl="0" w:tplc="49440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23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C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04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44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1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24940">
    <w:abstractNumId w:val="18"/>
  </w:num>
  <w:num w:numId="2" w16cid:durableId="807476118">
    <w:abstractNumId w:val="19"/>
  </w:num>
  <w:num w:numId="3" w16cid:durableId="2014063669">
    <w:abstractNumId w:val="28"/>
  </w:num>
  <w:num w:numId="4" w16cid:durableId="87629419">
    <w:abstractNumId w:val="5"/>
  </w:num>
  <w:num w:numId="5" w16cid:durableId="199561281">
    <w:abstractNumId w:val="10"/>
  </w:num>
  <w:num w:numId="6" w16cid:durableId="233666290">
    <w:abstractNumId w:val="25"/>
  </w:num>
  <w:num w:numId="7" w16cid:durableId="1161965941">
    <w:abstractNumId w:val="34"/>
  </w:num>
  <w:num w:numId="8" w16cid:durableId="1963221163">
    <w:abstractNumId w:val="8"/>
  </w:num>
  <w:num w:numId="9" w16cid:durableId="1016418598">
    <w:abstractNumId w:val="4"/>
  </w:num>
  <w:num w:numId="10" w16cid:durableId="1254432997">
    <w:abstractNumId w:val="0"/>
  </w:num>
  <w:num w:numId="11" w16cid:durableId="88697878">
    <w:abstractNumId w:val="24"/>
  </w:num>
  <w:num w:numId="12" w16cid:durableId="744184098">
    <w:abstractNumId w:val="17"/>
  </w:num>
  <w:num w:numId="13" w16cid:durableId="1785613391">
    <w:abstractNumId w:val="2"/>
  </w:num>
  <w:num w:numId="14" w16cid:durableId="1036271782">
    <w:abstractNumId w:val="23"/>
  </w:num>
  <w:num w:numId="15" w16cid:durableId="1678461388">
    <w:abstractNumId w:val="30"/>
  </w:num>
  <w:num w:numId="16" w16cid:durableId="960109532">
    <w:abstractNumId w:val="1"/>
  </w:num>
  <w:num w:numId="17" w16cid:durableId="1468161524">
    <w:abstractNumId w:val="26"/>
  </w:num>
  <w:num w:numId="18" w16cid:durableId="2040543395">
    <w:abstractNumId w:val="22"/>
  </w:num>
  <w:num w:numId="19" w16cid:durableId="1017151445">
    <w:abstractNumId w:val="32"/>
  </w:num>
  <w:num w:numId="20" w16cid:durableId="1063404294">
    <w:abstractNumId w:val="3"/>
  </w:num>
  <w:num w:numId="21" w16cid:durableId="509805829">
    <w:abstractNumId w:val="6"/>
  </w:num>
  <w:num w:numId="22" w16cid:durableId="82459045">
    <w:abstractNumId w:val="12"/>
  </w:num>
  <w:num w:numId="23" w16cid:durableId="128017564">
    <w:abstractNumId w:val="11"/>
  </w:num>
  <w:num w:numId="24" w16cid:durableId="1457481492">
    <w:abstractNumId w:val="13"/>
  </w:num>
  <w:num w:numId="25" w16cid:durableId="773129451">
    <w:abstractNumId w:val="15"/>
  </w:num>
  <w:num w:numId="26" w16cid:durableId="914123645">
    <w:abstractNumId w:val="9"/>
  </w:num>
  <w:num w:numId="27" w16cid:durableId="934099289">
    <w:abstractNumId w:val="7"/>
  </w:num>
  <w:num w:numId="28" w16cid:durableId="1742436631">
    <w:abstractNumId w:val="21"/>
  </w:num>
  <w:num w:numId="29" w16cid:durableId="1195729195">
    <w:abstractNumId w:val="33"/>
  </w:num>
  <w:num w:numId="30" w16cid:durableId="1976058314">
    <w:abstractNumId w:val="35"/>
  </w:num>
  <w:num w:numId="31" w16cid:durableId="13349878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1223">
    <w:abstractNumId w:val="14"/>
  </w:num>
  <w:num w:numId="33" w16cid:durableId="2109811811">
    <w:abstractNumId w:val="17"/>
  </w:num>
  <w:num w:numId="34" w16cid:durableId="1421412832">
    <w:abstractNumId w:val="31"/>
  </w:num>
  <w:num w:numId="35" w16cid:durableId="1659532654">
    <w:abstractNumId w:val="16"/>
  </w:num>
  <w:num w:numId="36" w16cid:durableId="184711308">
    <w:abstractNumId w:val="27"/>
  </w:num>
  <w:num w:numId="37" w16cid:durableId="430055601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B0"/>
    <w:rsid w:val="00003154"/>
    <w:rsid w:val="000035CD"/>
    <w:rsid w:val="00005196"/>
    <w:rsid w:val="00005633"/>
    <w:rsid w:val="000077FA"/>
    <w:rsid w:val="00007D77"/>
    <w:rsid w:val="00010A4F"/>
    <w:rsid w:val="00010A92"/>
    <w:rsid w:val="000121F4"/>
    <w:rsid w:val="000124E7"/>
    <w:rsid w:val="000207EC"/>
    <w:rsid w:val="00023C50"/>
    <w:rsid w:val="000307E8"/>
    <w:rsid w:val="000327A9"/>
    <w:rsid w:val="00033661"/>
    <w:rsid w:val="00033C3F"/>
    <w:rsid w:val="00041726"/>
    <w:rsid w:val="00041F3E"/>
    <w:rsid w:val="0004220D"/>
    <w:rsid w:val="00044CED"/>
    <w:rsid w:val="00047D33"/>
    <w:rsid w:val="00055901"/>
    <w:rsid w:val="00061830"/>
    <w:rsid w:val="00067A40"/>
    <w:rsid w:val="0007452F"/>
    <w:rsid w:val="00080F97"/>
    <w:rsid w:val="00083A25"/>
    <w:rsid w:val="000851C0"/>
    <w:rsid w:val="00085CCA"/>
    <w:rsid w:val="000937DA"/>
    <w:rsid w:val="000954A7"/>
    <w:rsid w:val="00097377"/>
    <w:rsid w:val="000A0CAD"/>
    <w:rsid w:val="000A6E4D"/>
    <w:rsid w:val="000B1ADF"/>
    <w:rsid w:val="000B2C40"/>
    <w:rsid w:val="000B6E6D"/>
    <w:rsid w:val="000C1F54"/>
    <w:rsid w:val="000C5071"/>
    <w:rsid w:val="000D0D66"/>
    <w:rsid w:val="000D435D"/>
    <w:rsid w:val="000D5ECC"/>
    <w:rsid w:val="000D780B"/>
    <w:rsid w:val="000E0F0C"/>
    <w:rsid w:val="000E513F"/>
    <w:rsid w:val="000E53FE"/>
    <w:rsid w:val="000E621B"/>
    <w:rsid w:val="000E766C"/>
    <w:rsid w:val="000E78EE"/>
    <w:rsid w:val="000F1024"/>
    <w:rsid w:val="000F564C"/>
    <w:rsid w:val="000F5DA5"/>
    <w:rsid w:val="000F64AA"/>
    <w:rsid w:val="000F6B68"/>
    <w:rsid w:val="00100FD4"/>
    <w:rsid w:val="00101896"/>
    <w:rsid w:val="00102417"/>
    <w:rsid w:val="0011084E"/>
    <w:rsid w:val="00115470"/>
    <w:rsid w:val="00120088"/>
    <w:rsid w:val="00124463"/>
    <w:rsid w:val="00133A65"/>
    <w:rsid w:val="00141C9A"/>
    <w:rsid w:val="001423F3"/>
    <w:rsid w:val="001449B4"/>
    <w:rsid w:val="0014570D"/>
    <w:rsid w:val="00150E93"/>
    <w:rsid w:val="001555BC"/>
    <w:rsid w:val="00165D07"/>
    <w:rsid w:val="001718A3"/>
    <w:rsid w:val="00175218"/>
    <w:rsid w:val="001752E6"/>
    <w:rsid w:val="0017573A"/>
    <w:rsid w:val="00175EAA"/>
    <w:rsid w:val="00176546"/>
    <w:rsid w:val="00182522"/>
    <w:rsid w:val="00190251"/>
    <w:rsid w:val="00190373"/>
    <w:rsid w:val="00191B23"/>
    <w:rsid w:val="0019651B"/>
    <w:rsid w:val="001A27A4"/>
    <w:rsid w:val="001A33D0"/>
    <w:rsid w:val="001B07BC"/>
    <w:rsid w:val="001B1D2D"/>
    <w:rsid w:val="001B1FAC"/>
    <w:rsid w:val="001B7333"/>
    <w:rsid w:val="001C2C9D"/>
    <w:rsid w:val="001D121A"/>
    <w:rsid w:val="001D3776"/>
    <w:rsid w:val="001D4C0F"/>
    <w:rsid w:val="001D76BB"/>
    <w:rsid w:val="001D7865"/>
    <w:rsid w:val="001E0150"/>
    <w:rsid w:val="001E3E8E"/>
    <w:rsid w:val="001E4819"/>
    <w:rsid w:val="001E488D"/>
    <w:rsid w:val="001E630D"/>
    <w:rsid w:val="001F25EB"/>
    <w:rsid w:val="001F5AE0"/>
    <w:rsid w:val="00200806"/>
    <w:rsid w:val="00200EEF"/>
    <w:rsid w:val="00201B88"/>
    <w:rsid w:val="00204D2E"/>
    <w:rsid w:val="00220F4B"/>
    <w:rsid w:val="00223042"/>
    <w:rsid w:val="00223976"/>
    <w:rsid w:val="00223ED8"/>
    <w:rsid w:val="0022436D"/>
    <w:rsid w:val="00227927"/>
    <w:rsid w:val="00231926"/>
    <w:rsid w:val="002378C1"/>
    <w:rsid w:val="002411CA"/>
    <w:rsid w:val="0024338D"/>
    <w:rsid w:val="00250276"/>
    <w:rsid w:val="002517F9"/>
    <w:rsid w:val="00251B82"/>
    <w:rsid w:val="0025355D"/>
    <w:rsid w:val="00254EC8"/>
    <w:rsid w:val="00261873"/>
    <w:rsid w:val="00270E76"/>
    <w:rsid w:val="002743AB"/>
    <w:rsid w:val="00274F2D"/>
    <w:rsid w:val="002759FF"/>
    <w:rsid w:val="00280EDE"/>
    <w:rsid w:val="00281326"/>
    <w:rsid w:val="00284DC9"/>
    <w:rsid w:val="002850E0"/>
    <w:rsid w:val="00285C10"/>
    <w:rsid w:val="00294EDD"/>
    <w:rsid w:val="0029611C"/>
    <w:rsid w:val="00296461"/>
    <w:rsid w:val="002A00C3"/>
    <w:rsid w:val="002A1EFE"/>
    <w:rsid w:val="002A4C7C"/>
    <w:rsid w:val="002A7667"/>
    <w:rsid w:val="002B1A45"/>
    <w:rsid w:val="002B340F"/>
    <w:rsid w:val="002C7618"/>
    <w:rsid w:val="002D10EF"/>
    <w:rsid w:val="002D571E"/>
    <w:rsid w:val="002D6924"/>
    <w:rsid w:val="002D7038"/>
    <w:rsid w:val="002E3033"/>
    <w:rsid w:val="002F298B"/>
    <w:rsid w:val="002F39DC"/>
    <w:rsid w:val="002F54EB"/>
    <w:rsid w:val="002F593D"/>
    <w:rsid w:val="002F59CF"/>
    <w:rsid w:val="002F60A3"/>
    <w:rsid w:val="0030040D"/>
    <w:rsid w:val="00302063"/>
    <w:rsid w:val="00312872"/>
    <w:rsid w:val="0031338C"/>
    <w:rsid w:val="003137E7"/>
    <w:rsid w:val="003151CB"/>
    <w:rsid w:val="00317A84"/>
    <w:rsid w:val="00320020"/>
    <w:rsid w:val="00322816"/>
    <w:rsid w:val="00323133"/>
    <w:rsid w:val="00324107"/>
    <w:rsid w:val="0032698D"/>
    <w:rsid w:val="00330754"/>
    <w:rsid w:val="00330BD1"/>
    <w:rsid w:val="00332CFA"/>
    <w:rsid w:val="00334C93"/>
    <w:rsid w:val="003351AE"/>
    <w:rsid w:val="00335AE0"/>
    <w:rsid w:val="0033610B"/>
    <w:rsid w:val="00336AAD"/>
    <w:rsid w:val="00337034"/>
    <w:rsid w:val="00350256"/>
    <w:rsid w:val="00350E8C"/>
    <w:rsid w:val="003515A3"/>
    <w:rsid w:val="00356F06"/>
    <w:rsid w:val="00357C12"/>
    <w:rsid w:val="003604B3"/>
    <w:rsid w:val="00360707"/>
    <w:rsid w:val="00361320"/>
    <w:rsid w:val="0036311A"/>
    <w:rsid w:val="00367D80"/>
    <w:rsid w:val="003708D4"/>
    <w:rsid w:val="00370A78"/>
    <w:rsid w:val="00372497"/>
    <w:rsid w:val="00374465"/>
    <w:rsid w:val="003751B8"/>
    <w:rsid w:val="003767A8"/>
    <w:rsid w:val="00376915"/>
    <w:rsid w:val="00377B55"/>
    <w:rsid w:val="00382E48"/>
    <w:rsid w:val="00384A67"/>
    <w:rsid w:val="00393723"/>
    <w:rsid w:val="00393DBA"/>
    <w:rsid w:val="00394770"/>
    <w:rsid w:val="00395495"/>
    <w:rsid w:val="003A4BBA"/>
    <w:rsid w:val="003A60BC"/>
    <w:rsid w:val="003B0096"/>
    <w:rsid w:val="003B2BB8"/>
    <w:rsid w:val="003B31DE"/>
    <w:rsid w:val="003C21E9"/>
    <w:rsid w:val="003C46E3"/>
    <w:rsid w:val="003C5862"/>
    <w:rsid w:val="003C7459"/>
    <w:rsid w:val="003D2B4B"/>
    <w:rsid w:val="003D34FF"/>
    <w:rsid w:val="003D40BA"/>
    <w:rsid w:val="003E2E6B"/>
    <w:rsid w:val="003E6EE6"/>
    <w:rsid w:val="003F14A2"/>
    <w:rsid w:val="003F2479"/>
    <w:rsid w:val="003F326A"/>
    <w:rsid w:val="003F5183"/>
    <w:rsid w:val="003F55E4"/>
    <w:rsid w:val="003F5F4D"/>
    <w:rsid w:val="003F6C74"/>
    <w:rsid w:val="00400275"/>
    <w:rsid w:val="004006C7"/>
    <w:rsid w:val="00400A1E"/>
    <w:rsid w:val="00403658"/>
    <w:rsid w:val="004052B9"/>
    <w:rsid w:val="0040616E"/>
    <w:rsid w:val="00413995"/>
    <w:rsid w:val="00415685"/>
    <w:rsid w:val="004215E1"/>
    <w:rsid w:val="00424841"/>
    <w:rsid w:val="004256CE"/>
    <w:rsid w:val="00431EC5"/>
    <w:rsid w:val="004346A2"/>
    <w:rsid w:val="00443104"/>
    <w:rsid w:val="00443517"/>
    <w:rsid w:val="0044465E"/>
    <w:rsid w:val="004449E1"/>
    <w:rsid w:val="0044561D"/>
    <w:rsid w:val="004516C1"/>
    <w:rsid w:val="00451AAC"/>
    <w:rsid w:val="0045288B"/>
    <w:rsid w:val="004534F5"/>
    <w:rsid w:val="0045631A"/>
    <w:rsid w:val="00464074"/>
    <w:rsid w:val="00464AB5"/>
    <w:rsid w:val="00466FA6"/>
    <w:rsid w:val="004672B1"/>
    <w:rsid w:val="00474254"/>
    <w:rsid w:val="0047672E"/>
    <w:rsid w:val="004772B3"/>
    <w:rsid w:val="00482667"/>
    <w:rsid w:val="004833FE"/>
    <w:rsid w:val="00485CC5"/>
    <w:rsid w:val="00486FED"/>
    <w:rsid w:val="004915D4"/>
    <w:rsid w:val="00493107"/>
    <w:rsid w:val="004A0D46"/>
    <w:rsid w:val="004A102F"/>
    <w:rsid w:val="004A155C"/>
    <w:rsid w:val="004A2244"/>
    <w:rsid w:val="004A2796"/>
    <w:rsid w:val="004A3037"/>
    <w:rsid w:val="004B0B44"/>
    <w:rsid w:val="004B430F"/>
    <w:rsid w:val="004B54CA"/>
    <w:rsid w:val="004B6F5C"/>
    <w:rsid w:val="004B7BA1"/>
    <w:rsid w:val="004C004F"/>
    <w:rsid w:val="004C0D73"/>
    <w:rsid w:val="004C5DFA"/>
    <w:rsid w:val="004C7241"/>
    <w:rsid w:val="004C73E5"/>
    <w:rsid w:val="004C76A7"/>
    <w:rsid w:val="004C7E7E"/>
    <w:rsid w:val="004D2F0C"/>
    <w:rsid w:val="004D35D3"/>
    <w:rsid w:val="004E373E"/>
    <w:rsid w:val="004E5CBF"/>
    <w:rsid w:val="004E6092"/>
    <w:rsid w:val="004E6244"/>
    <w:rsid w:val="004F0514"/>
    <w:rsid w:val="004F414A"/>
    <w:rsid w:val="004F7454"/>
    <w:rsid w:val="00500DD6"/>
    <w:rsid w:val="00501CB1"/>
    <w:rsid w:val="00504A63"/>
    <w:rsid w:val="005063E9"/>
    <w:rsid w:val="00506FC1"/>
    <w:rsid w:val="005078AB"/>
    <w:rsid w:val="005107B5"/>
    <w:rsid w:val="00516628"/>
    <w:rsid w:val="00523501"/>
    <w:rsid w:val="005244C0"/>
    <w:rsid w:val="00530094"/>
    <w:rsid w:val="005318EF"/>
    <w:rsid w:val="00536E03"/>
    <w:rsid w:val="00537CDE"/>
    <w:rsid w:val="005430D2"/>
    <w:rsid w:val="00546C9B"/>
    <w:rsid w:val="005500D0"/>
    <w:rsid w:val="00550571"/>
    <w:rsid w:val="00554ACE"/>
    <w:rsid w:val="00557742"/>
    <w:rsid w:val="005577D8"/>
    <w:rsid w:val="00562AA4"/>
    <w:rsid w:val="005636A6"/>
    <w:rsid w:val="00570EE1"/>
    <w:rsid w:val="0057256F"/>
    <w:rsid w:val="005779C0"/>
    <w:rsid w:val="00582958"/>
    <w:rsid w:val="0058541C"/>
    <w:rsid w:val="0058778E"/>
    <w:rsid w:val="005914A9"/>
    <w:rsid w:val="00593755"/>
    <w:rsid w:val="005A0303"/>
    <w:rsid w:val="005A0C1C"/>
    <w:rsid w:val="005A1C6F"/>
    <w:rsid w:val="005A433A"/>
    <w:rsid w:val="005A7A96"/>
    <w:rsid w:val="005B19DD"/>
    <w:rsid w:val="005B3541"/>
    <w:rsid w:val="005C02AA"/>
    <w:rsid w:val="005C3798"/>
    <w:rsid w:val="005C3AA9"/>
    <w:rsid w:val="005C6A58"/>
    <w:rsid w:val="005C6EEB"/>
    <w:rsid w:val="005D0E48"/>
    <w:rsid w:val="005D4EFE"/>
    <w:rsid w:val="005D658D"/>
    <w:rsid w:val="005D7C3B"/>
    <w:rsid w:val="005E344C"/>
    <w:rsid w:val="005E5D04"/>
    <w:rsid w:val="005F05BA"/>
    <w:rsid w:val="005F45E3"/>
    <w:rsid w:val="005F4AD5"/>
    <w:rsid w:val="005F7355"/>
    <w:rsid w:val="006028B3"/>
    <w:rsid w:val="00602DD3"/>
    <w:rsid w:val="00606E39"/>
    <w:rsid w:val="00611BE7"/>
    <w:rsid w:val="00611C4E"/>
    <w:rsid w:val="00613CA7"/>
    <w:rsid w:val="0061406C"/>
    <w:rsid w:val="006146CF"/>
    <w:rsid w:val="00617889"/>
    <w:rsid w:val="00621FC5"/>
    <w:rsid w:val="006237B7"/>
    <w:rsid w:val="00626695"/>
    <w:rsid w:val="00627023"/>
    <w:rsid w:val="00632B0B"/>
    <w:rsid w:val="00635D03"/>
    <w:rsid w:val="00635DB7"/>
    <w:rsid w:val="00637B02"/>
    <w:rsid w:val="00644DAB"/>
    <w:rsid w:val="006500D4"/>
    <w:rsid w:val="006547D2"/>
    <w:rsid w:val="00656257"/>
    <w:rsid w:val="00660EFE"/>
    <w:rsid w:val="0066115E"/>
    <w:rsid w:val="00661404"/>
    <w:rsid w:val="00661C7A"/>
    <w:rsid w:val="00661F2A"/>
    <w:rsid w:val="00663549"/>
    <w:rsid w:val="00663A29"/>
    <w:rsid w:val="00671535"/>
    <w:rsid w:val="006738D0"/>
    <w:rsid w:val="006801D0"/>
    <w:rsid w:val="006815A0"/>
    <w:rsid w:val="00682B92"/>
    <w:rsid w:val="0068381D"/>
    <w:rsid w:val="00683A84"/>
    <w:rsid w:val="00683C39"/>
    <w:rsid w:val="00686584"/>
    <w:rsid w:val="0069088E"/>
    <w:rsid w:val="006939AE"/>
    <w:rsid w:val="00694D67"/>
    <w:rsid w:val="00696357"/>
    <w:rsid w:val="006A4C2A"/>
    <w:rsid w:val="006A4CE7"/>
    <w:rsid w:val="006B2B1F"/>
    <w:rsid w:val="006B40FF"/>
    <w:rsid w:val="006B7B84"/>
    <w:rsid w:val="006B7D2A"/>
    <w:rsid w:val="006C0F10"/>
    <w:rsid w:val="006C1B66"/>
    <w:rsid w:val="006C3A1A"/>
    <w:rsid w:val="006C4375"/>
    <w:rsid w:val="006C498F"/>
    <w:rsid w:val="006C4A03"/>
    <w:rsid w:val="006C571C"/>
    <w:rsid w:val="006D2B92"/>
    <w:rsid w:val="006D2E2B"/>
    <w:rsid w:val="006D3BE1"/>
    <w:rsid w:val="006D4A49"/>
    <w:rsid w:val="006E17AB"/>
    <w:rsid w:val="006E3358"/>
    <w:rsid w:val="006E400E"/>
    <w:rsid w:val="006E414D"/>
    <w:rsid w:val="006E7CAA"/>
    <w:rsid w:val="006F5398"/>
    <w:rsid w:val="00707433"/>
    <w:rsid w:val="00710C46"/>
    <w:rsid w:val="0071264F"/>
    <w:rsid w:val="00713DF8"/>
    <w:rsid w:val="00720F67"/>
    <w:rsid w:val="00721917"/>
    <w:rsid w:val="007235BB"/>
    <w:rsid w:val="00727168"/>
    <w:rsid w:val="00735DBB"/>
    <w:rsid w:val="00735E9F"/>
    <w:rsid w:val="007370B7"/>
    <w:rsid w:val="00737B5C"/>
    <w:rsid w:val="007403CC"/>
    <w:rsid w:val="00741274"/>
    <w:rsid w:val="007417AF"/>
    <w:rsid w:val="007444A2"/>
    <w:rsid w:val="007444ED"/>
    <w:rsid w:val="00747AF6"/>
    <w:rsid w:val="007535A1"/>
    <w:rsid w:val="00757025"/>
    <w:rsid w:val="007572CF"/>
    <w:rsid w:val="00761543"/>
    <w:rsid w:val="00761764"/>
    <w:rsid w:val="00770A26"/>
    <w:rsid w:val="0078026C"/>
    <w:rsid w:val="007808BC"/>
    <w:rsid w:val="00781908"/>
    <w:rsid w:val="00781C8F"/>
    <w:rsid w:val="00784A61"/>
    <w:rsid w:val="00785261"/>
    <w:rsid w:val="007862C8"/>
    <w:rsid w:val="00787340"/>
    <w:rsid w:val="00792953"/>
    <w:rsid w:val="007944E5"/>
    <w:rsid w:val="007948D0"/>
    <w:rsid w:val="0079683C"/>
    <w:rsid w:val="007A4335"/>
    <w:rsid w:val="007A4B7A"/>
    <w:rsid w:val="007B0256"/>
    <w:rsid w:val="007B2D96"/>
    <w:rsid w:val="007B3484"/>
    <w:rsid w:val="007B3703"/>
    <w:rsid w:val="007C2BCE"/>
    <w:rsid w:val="007C3D9A"/>
    <w:rsid w:val="007C4840"/>
    <w:rsid w:val="007D5B88"/>
    <w:rsid w:val="007E2AD9"/>
    <w:rsid w:val="007E5C63"/>
    <w:rsid w:val="007E5DF8"/>
    <w:rsid w:val="007E6615"/>
    <w:rsid w:val="007E7801"/>
    <w:rsid w:val="007F0A84"/>
    <w:rsid w:val="008025EC"/>
    <w:rsid w:val="008055A6"/>
    <w:rsid w:val="00806AF0"/>
    <w:rsid w:val="00807D89"/>
    <w:rsid w:val="00811F1A"/>
    <w:rsid w:val="00814A61"/>
    <w:rsid w:val="00820269"/>
    <w:rsid w:val="008203C6"/>
    <w:rsid w:val="008212D8"/>
    <w:rsid w:val="00823528"/>
    <w:rsid w:val="008251B4"/>
    <w:rsid w:val="00825A0D"/>
    <w:rsid w:val="00826B0A"/>
    <w:rsid w:val="00827963"/>
    <w:rsid w:val="00831486"/>
    <w:rsid w:val="0083177B"/>
    <w:rsid w:val="00831E43"/>
    <w:rsid w:val="008407EF"/>
    <w:rsid w:val="0084143A"/>
    <w:rsid w:val="0084193E"/>
    <w:rsid w:val="00841C9D"/>
    <w:rsid w:val="00843476"/>
    <w:rsid w:val="00846782"/>
    <w:rsid w:val="008477C7"/>
    <w:rsid w:val="00847FB5"/>
    <w:rsid w:val="008555A0"/>
    <w:rsid w:val="00857C79"/>
    <w:rsid w:val="00862B8A"/>
    <w:rsid w:val="008633FE"/>
    <w:rsid w:val="008700DC"/>
    <w:rsid w:val="00871412"/>
    <w:rsid w:val="00875178"/>
    <w:rsid w:val="008868A5"/>
    <w:rsid w:val="00891521"/>
    <w:rsid w:val="008917B6"/>
    <w:rsid w:val="00892EFD"/>
    <w:rsid w:val="008972E1"/>
    <w:rsid w:val="0089781E"/>
    <w:rsid w:val="008A1FFC"/>
    <w:rsid w:val="008A2832"/>
    <w:rsid w:val="008A3063"/>
    <w:rsid w:val="008A3B8B"/>
    <w:rsid w:val="008A648A"/>
    <w:rsid w:val="008B0660"/>
    <w:rsid w:val="008B0A90"/>
    <w:rsid w:val="008B3D5B"/>
    <w:rsid w:val="008C21D9"/>
    <w:rsid w:val="008C265C"/>
    <w:rsid w:val="008C302E"/>
    <w:rsid w:val="008C47F4"/>
    <w:rsid w:val="008C6002"/>
    <w:rsid w:val="008C668D"/>
    <w:rsid w:val="008D4207"/>
    <w:rsid w:val="008D5072"/>
    <w:rsid w:val="008D7384"/>
    <w:rsid w:val="008E3B33"/>
    <w:rsid w:val="008E7D04"/>
    <w:rsid w:val="008F2AEC"/>
    <w:rsid w:val="008F5467"/>
    <w:rsid w:val="008F77DC"/>
    <w:rsid w:val="00901A16"/>
    <w:rsid w:val="00901B3E"/>
    <w:rsid w:val="009023A3"/>
    <w:rsid w:val="0090282C"/>
    <w:rsid w:val="00902C5B"/>
    <w:rsid w:val="00906346"/>
    <w:rsid w:val="0090665D"/>
    <w:rsid w:val="0091507C"/>
    <w:rsid w:val="00915E2D"/>
    <w:rsid w:val="00917A1D"/>
    <w:rsid w:val="009225F0"/>
    <w:rsid w:val="00922AF8"/>
    <w:rsid w:val="00925285"/>
    <w:rsid w:val="00925968"/>
    <w:rsid w:val="0092772C"/>
    <w:rsid w:val="0093426C"/>
    <w:rsid w:val="0093462C"/>
    <w:rsid w:val="009366D4"/>
    <w:rsid w:val="00936755"/>
    <w:rsid w:val="00936910"/>
    <w:rsid w:val="009450AA"/>
    <w:rsid w:val="00947F29"/>
    <w:rsid w:val="00951816"/>
    <w:rsid w:val="00953795"/>
    <w:rsid w:val="00957BE8"/>
    <w:rsid w:val="00961D52"/>
    <w:rsid w:val="009666AE"/>
    <w:rsid w:val="00972778"/>
    <w:rsid w:val="00974189"/>
    <w:rsid w:val="00975E2A"/>
    <w:rsid w:val="00976178"/>
    <w:rsid w:val="00982835"/>
    <w:rsid w:val="0098487F"/>
    <w:rsid w:val="00986769"/>
    <w:rsid w:val="00992435"/>
    <w:rsid w:val="009929DE"/>
    <w:rsid w:val="009964A6"/>
    <w:rsid w:val="00997732"/>
    <w:rsid w:val="00997AB4"/>
    <w:rsid w:val="009A0A45"/>
    <w:rsid w:val="009A0AAC"/>
    <w:rsid w:val="009A11B9"/>
    <w:rsid w:val="009A2189"/>
    <w:rsid w:val="009A70C2"/>
    <w:rsid w:val="009B16E8"/>
    <w:rsid w:val="009B22C9"/>
    <w:rsid w:val="009B3962"/>
    <w:rsid w:val="009B6524"/>
    <w:rsid w:val="009C2941"/>
    <w:rsid w:val="009C4D23"/>
    <w:rsid w:val="009C5C0B"/>
    <w:rsid w:val="009C74F0"/>
    <w:rsid w:val="009D333A"/>
    <w:rsid w:val="009D3FC4"/>
    <w:rsid w:val="009D59C1"/>
    <w:rsid w:val="009D6CF0"/>
    <w:rsid w:val="009D7C33"/>
    <w:rsid w:val="009E04C5"/>
    <w:rsid w:val="009E06BE"/>
    <w:rsid w:val="009E24CF"/>
    <w:rsid w:val="009E3273"/>
    <w:rsid w:val="009E642F"/>
    <w:rsid w:val="009E7311"/>
    <w:rsid w:val="009F04CB"/>
    <w:rsid w:val="009F0BEB"/>
    <w:rsid w:val="009F25A6"/>
    <w:rsid w:val="009F4CF5"/>
    <w:rsid w:val="009F549F"/>
    <w:rsid w:val="009F73BE"/>
    <w:rsid w:val="00A03DA3"/>
    <w:rsid w:val="00A04BCF"/>
    <w:rsid w:val="00A07ABD"/>
    <w:rsid w:val="00A103B7"/>
    <w:rsid w:val="00A130DB"/>
    <w:rsid w:val="00A1361D"/>
    <w:rsid w:val="00A138A7"/>
    <w:rsid w:val="00A22BA5"/>
    <w:rsid w:val="00A24CED"/>
    <w:rsid w:val="00A24E75"/>
    <w:rsid w:val="00A304DF"/>
    <w:rsid w:val="00A35D76"/>
    <w:rsid w:val="00A3618A"/>
    <w:rsid w:val="00A37E95"/>
    <w:rsid w:val="00A465FC"/>
    <w:rsid w:val="00A47C26"/>
    <w:rsid w:val="00A542C2"/>
    <w:rsid w:val="00A55057"/>
    <w:rsid w:val="00A56869"/>
    <w:rsid w:val="00A605D9"/>
    <w:rsid w:val="00A623D1"/>
    <w:rsid w:val="00A62B67"/>
    <w:rsid w:val="00A709EB"/>
    <w:rsid w:val="00A711F7"/>
    <w:rsid w:val="00A76096"/>
    <w:rsid w:val="00A7629D"/>
    <w:rsid w:val="00A7643E"/>
    <w:rsid w:val="00A83FD8"/>
    <w:rsid w:val="00A86833"/>
    <w:rsid w:val="00A91553"/>
    <w:rsid w:val="00A91B26"/>
    <w:rsid w:val="00A93B88"/>
    <w:rsid w:val="00A93E24"/>
    <w:rsid w:val="00A93F65"/>
    <w:rsid w:val="00A93F73"/>
    <w:rsid w:val="00A973A8"/>
    <w:rsid w:val="00AA1FA6"/>
    <w:rsid w:val="00AA2EF3"/>
    <w:rsid w:val="00AA7A86"/>
    <w:rsid w:val="00AA7CAC"/>
    <w:rsid w:val="00AB1861"/>
    <w:rsid w:val="00AB4DD8"/>
    <w:rsid w:val="00AC0AEC"/>
    <w:rsid w:val="00AC14BD"/>
    <w:rsid w:val="00AC15DB"/>
    <w:rsid w:val="00AC1CF9"/>
    <w:rsid w:val="00AC2E1C"/>
    <w:rsid w:val="00AC7242"/>
    <w:rsid w:val="00AC7743"/>
    <w:rsid w:val="00AD40DB"/>
    <w:rsid w:val="00AD4D29"/>
    <w:rsid w:val="00AD4E03"/>
    <w:rsid w:val="00AD6E33"/>
    <w:rsid w:val="00AE0290"/>
    <w:rsid w:val="00AE340A"/>
    <w:rsid w:val="00AE4218"/>
    <w:rsid w:val="00AE4984"/>
    <w:rsid w:val="00AF02CE"/>
    <w:rsid w:val="00AF30EA"/>
    <w:rsid w:val="00AF7A6D"/>
    <w:rsid w:val="00B00438"/>
    <w:rsid w:val="00B018E4"/>
    <w:rsid w:val="00B01C85"/>
    <w:rsid w:val="00B04ED8"/>
    <w:rsid w:val="00B056C4"/>
    <w:rsid w:val="00B066BB"/>
    <w:rsid w:val="00B07047"/>
    <w:rsid w:val="00B072F3"/>
    <w:rsid w:val="00B10507"/>
    <w:rsid w:val="00B11A5B"/>
    <w:rsid w:val="00B13D01"/>
    <w:rsid w:val="00B164AB"/>
    <w:rsid w:val="00B17C90"/>
    <w:rsid w:val="00B20F48"/>
    <w:rsid w:val="00B22E20"/>
    <w:rsid w:val="00B25B3D"/>
    <w:rsid w:val="00B263B6"/>
    <w:rsid w:val="00B30445"/>
    <w:rsid w:val="00B30D97"/>
    <w:rsid w:val="00B3325D"/>
    <w:rsid w:val="00B33E2D"/>
    <w:rsid w:val="00B36EE2"/>
    <w:rsid w:val="00B37097"/>
    <w:rsid w:val="00B41EE4"/>
    <w:rsid w:val="00B47D42"/>
    <w:rsid w:val="00B51538"/>
    <w:rsid w:val="00B55185"/>
    <w:rsid w:val="00B55D76"/>
    <w:rsid w:val="00B56D9E"/>
    <w:rsid w:val="00B61BD1"/>
    <w:rsid w:val="00B62C9E"/>
    <w:rsid w:val="00B66E60"/>
    <w:rsid w:val="00B70362"/>
    <w:rsid w:val="00B73423"/>
    <w:rsid w:val="00B770FF"/>
    <w:rsid w:val="00B7736C"/>
    <w:rsid w:val="00B775A1"/>
    <w:rsid w:val="00B777EB"/>
    <w:rsid w:val="00B80387"/>
    <w:rsid w:val="00B84881"/>
    <w:rsid w:val="00B86ED6"/>
    <w:rsid w:val="00B90039"/>
    <w:rsid w:val="00B91DD2"/>
    <w:rsid w:val="00B91E3E"/>
    <w:rsid w:val="00B93C4D"/>
    <w:rsid w:val="00B951BD"/>
    <w:rsid w:val="00B95A8B"/>
    <w:rsid w:val="00BA1E6C"/>
    <w:rsid w:val="00BA2DB9"/>
    <w:rsid w:val="00BB4D25"/>
    <w:rsid w:val="00BC0C00"/>
    <w:rsid w:val="00BD205E"/>
    <w:rsid w:val="00BD23C6"/>
    <w:rsid w:val="00BD391E"/>
    <w:rsid w:val="00BD50C4"/>
    <w:rsid w:val="00BD534D"/>
    <w:rsid w:val="00BE1C90"/>
    <w:rsid w:val="00BE2925"/>
    <w:rsid w:val="00BE299B"/>
    <w:rsid w:val="00BE48BD"/>
    <w:rsid w:val="00BE7148"/>
    <w:rsid w:val="00BF02CA"/>
    <w:rsid w:val="00BF2F66"/>
    <w:rsid w:val="00BF3141"/>
    <w:rsid w:val="00BF333E"/>
    <w:rsid w:val="00BF43AE"/>
    <w:rsid w:val="00BF459A"/>
    <w:rsid w:val="00BF705C"/>
    <w:rsid w:val="00C007B0"/>
    <w:rsid w:val="00C011D6"/>
    <w:rsid w:val="00C05800"/>
    <w:rsid w:val="00C05CCC"/>
    <w:rsid w:val="00C06AFC"/>
    <w:rsid w:val="00C125FB"/>
    <w:rsid w:val="00C128F6"/>
    <w:rsid w:val="00C14E83"/>
    <w:rsid w:val="00C15089"/>
    <w:rsid w:val="00C15CD1"/>
    <w:rsid w:val="00C162D5"/>
    <w:rsid w:val="00C20834"/>
    <w:rsid w:val="00C277B2"/>
    <w:rsid w:val="00C300F4"/>
    <w:rsid w:val="00C302A7"/>
    <w:rsid w:val="00C31D76"/>
    <w:rsid w:val="00C34728"/>
    <w:rsid w:val="00C355DE"/>
    <w:rsid w:val="00C36C5F"/>
    <w:rsid w:val="00C37D1E"/>
    <w:rsid w:val="00C41AA9"/>
    <w:rsid w:val="00C42E40"/>
    <w:rsid w:val="00C42F87"/>
    <w:rsid w:val="00C43D2E"/>
    <w:rsid w:val="00C45BD4"/>
    <w:rsid w:val="00C46E1C"/>
    <w:rsid w:val="00C46F97"/>
    <w:rsid w:val="00C4795F"/>
    <w:rsid w:val="00C51A15"/>
    <w:rsid w:val="00C65B70"/>
    <w:rsid w:val="00C731FC"/>
    <w:rsid w:val="00C74C10"/>
    <w:rsid w:val="00C81A61"/>
    <w:rsid w:val="00C82119"/>
    <w:rsid w:val="00C82759"/>
    <w:rsid w:val="00C82E7B"/>
    <w:rsid w:val="00C8421F"/>
    <w:rsid w:val="00C84DA0"/>
    <w:rsid w:val="00C84DD7"/>
    <w:rsid w:val="00C92035"/>
    <w:rsid w:val="00CA0C0F"/>
    <w:rsid w:val="00CA15A4"/>
    <w:rsid w:val="00CA2CC7"/>
    <w:rsid w:val="00CA2E58"/>
    <w:rsid w:val="00CA4D7D"/>
    <w:rsid w:val="00CA756E"/>
    <w:rsid w:val="00CB123E"/>
    <w:rsid w:val="00CB2A84"/>
    <w:rsid w:val="00CB5863"/>
    <w:rsid w:val="00CB5BC6"/>
    <w:rsid w:val="00CC19D4"/>
    <w:rsid w:val="00CC1A6B"/>
    <w:rsid w:val="00CC3FE1"/>
    <w:rsid w:val="00CC62EF"/>
    <w:rsid w:val="00CD0B79"/>
    <w:rsid w:val="00CD3518"/>
    <w:rsid w:val="00CD73FF"/>
    <w:rsid w:val="00CE3B80"/>
    <w:rsid w:val="00CE6A9C"/>
    <w:rsid w:val="00CF12F6"/>
    <w:rsid w:val="00CF2598"/>
    <w:rsid w:val="00CF60AD"/>
    <w:rsid w:val="00CF65E5"/>
    <w:rsid w:val="00CF6B25"/>
    <w:rsid w:val="00CF6FF4"/>
    <w:rsid w:val="00D00AAC"/>
    <w:rsid w:val="00D0270D"/>
    <w:rsid w:val="00D038C4"/>
    <w:rsid w:val="00D057F4"/>
    <w:rsid w:val="00D05AFD"/>
    <w:rsid w:val="00D07E2A"/>
    <w:rsid w:val="00D13AC0"/>
    <w:rsid w:val="00D15040"/>
    <w:rsid w:val="00D21E0C"/>
    <w:rsid w:val="00D220C3"/>
    <w:rsid w:val="00D22AC2"/>
    <w:rsid w:val="00D2348D"/>
    <w:rsid w:val="00D25013"/>
    <w:rsid w:val="00D27829"/>
    <w:rsid w:val="00D33A96"/>
    <w:rsid w:val="00D367B7"/>
    <w:rsid w:val="00D42E1B"/>
    <w:rsid w:val="00D439A9"/>
    <w:rsid w:val="00D47CEF"/>
    <w:rsid w:val="00D522A6"/>
    <w:rsid w:val="00D60484"/>
    <w:rsid w:val="00D6346D"/>
    <w:rsid w:val="00D65E35"/>
    <w:rsid w:val="00D66365"/>
    <w:rsid w:val="00D666DE"/>
    <w:rsid w:val="00D667A0"/>
    <w:rsid w:val="00D710F3"/>
    <w:rsid w:val="00D73AF0"/>
    <w:rsid w:val="00D759CD"/>
    <w:rsid w:val="00D75EE6"/>
    <w:rsid w:val="00D76AB0"/>
    <w:rsid w:val="00D86775"/>
    <w:rsid w:val="00D86E68"/>
    <w:rsid w:val="00D86F27"/>
    <w:rsid w:val="00D86F5A"/>
    <w:rsid w:val="00D8788C"/>
    <w:rsid w:val="00D92C95"/>
    <w:rsid w:val="00D97632"/>
    <w:rsid w:val="00DA0859"/>
    <w:rsid w:val="00DA1605"/>
    <w:rsid w:val="00DA243A"/>
    <w:rsid w:val="00DA5379"/>
    <w:rsid w:val="00DA603A"/>
    <w:rsid w:val="00DB177E"/>
    <w:rsid w:val="00DB2434"/>
    <w:rsid w:val="00DB64D0"/>
    <w:rsid w:val="00DB6A4D"/>
    <w:rsid w:val="00DC02FF"/>
    <w:rsid w:val="00DC3A4A"/>
    <w:rsid w:val="00DC427E"/>
    <w:rsid w:val="00DC434C"/>
    <w:rsid w:val="00DC7B30"/>
    <w:rsid w:val="00DD402F"/>
    <w:rsid w:val="00DD536D"/>
    <w:rsid w:val="00DE16AD"/>
    <w:rsid w:val="00DE5419"/>
    <w:rsid w:val="00DE79D3"/>
    <w:rsid w:val="00DF2B6C"/>
    <w:rsid w:val="00DF3049"/>
    <w:rsid w:val="00E0018F"/>
    <w:rsid w:val="00E0295C"/>
    <w:rsid w:val="00E02D57"/>
    <w:rsid w:val="00E03B87"/>
    <w:rsid w:val="00E04BAF"/>
    <w:rsid w:val="00E07588"/>
    <w:rsid w:val="00E07880"/>
    <w:rsid w:val="00E132BC"/>
    <w:rsid w:val="00E14211"/>
    <w:rsid w:val="00E14937"/>
    <w:rsid w:val="00E14D0D"/>
    <w:rsid w:val="00E17205"/>
    <w:rsid w:val="00E21DA1"/>
    <w:rsid w:val="00E22879"/>
    <w:rsid w:val="00E23627"/>
    <w:rsid w:val="00E24E85"/>
    <w:rsid w:val="00E273E4"/>
    <w:rsid w:val="00E27BAB"/>
    <w:rsid w:val="00E31507"/>
    <w:rsid w:val="00E34EB0"/>
    <w:rsid w:val="00E37FC7"/>
    <w:rsid w:val="00E40ABB"/>
    <w:rsid w:val="00E44406"/>
    <w:rsid w:val="00E47247"/>
    <w:rsid w:val="00E5031D"/>
    <w:rsid w:val="00E5055B"/>
    <w:rsid w:val="00E51919"/>
    <w:rsid w:val="00E6039B"/>
    <w:rsid w:val="00E620D8"/>
    <w:rsid w:val="00E621C4"/>
    <w:rsid w:val="00E63510"/>
    <w:rsid w:val="00E63FD6"/>
    <w:rsid w:val="00E65046"/>
    <w:rsid w:val="00E662B2"/>
    <w:rsid w:val="00E71F57"/>
    <w:rsid w:val="00E72386"/>
    <w:rsid w:val="00E75289"/>
    <w:rsid w:val="00E75902"/>
    <w:rsid w:val="00E75BEB"/>
    <w:rsid w:val="00E76038"/>
    <w:rsid w:val="00E8201F"/>
    <w:rsid w:val="00E83263"/>
    <w:rsid w:val="00E857E3"/>
    <w:rsid w:val="00E927C1"/>
    <w:rsid w:val="00E92D1E"/>
    <w:rsid w:val="00E93A3F"/>
    <w:rsid w:val="00E94A76"/>
    <w:rsid w:val="00E94BF4"/>
    <w:rsid w:val="00E95D50"/>
    <w:rsid w:val="00EA12D1"/>
    <w:rsid w:val="00EA16CE"/>
    <w:rsid w:val="00EA40FE"/>
    <w:rsid w:val="00EA5140"/>
    <w:rsid w:val="00EB1735"/>
    <w:rsid w:val="00EC1890"/>
    <w:rsid w:val="00EC2C80"/>
    <w:rsid w:val="00EC39CA"/>
    <w:rsid w:val="00ED10AF"/>
    <w:rsid w:val="00ED5610"/>
    <w:rsid w:val="00ED56B2"/>
    <w:rsid w:val="00ED5F8E"/>
    <w:rsid w:val="00ED64CF"/>
    <w:rsid w:val="00EE1887"/>
    <w:rsid w:val="00EE1919"/>
    <w:rsid w:val="00EE2E6A"/>
    <w:rsid w:val="00EE40FA"/>
    <w:rsid w:val="00EE4EFA"/>
    <w:rsid w:val="00EE5136"/>
    <w:rsid w:val="00EF30F9"/>
    <w:rsid w:val="00EF7AA8"/>
    <w:rsid w:val="00F0016C"/>
    <w:rsid w:val="00F00C13"/>
    <w:rsid w:val="00F0102C"/>
    <w:rsid w:val="00F014EE"/>
    <w:rsid w:val="00F01509"/>
    <w:rsid w:val="00F10C15"/>
    <w:rsid w:val="00F14938"/>
    <w:rsid w:val="00F16C1A"/>
    <w:rsid w:val="00F2757E"/>
    <w:rsid w:val="00F2778F"/>
    <w:rsid w:val="00F306C2"/>
    <w:rsid w:val="00F30AFE"/>
    <w:rsid w:val="00F313AE"/>
    <w:rsid w:val="00F37C82"/>
    <w:rsid w:val="00F43C9C"/>
    <w:rsid w:val="00F44259"/>
    <w:rsid w:val="00F470D8"/>
    <w:rsid w:val="00F50465"/>
    <w:rsid w:val="00F50BDC"/>
    <w:rsid w:val="00F50D90"/>
    <w:rsid w:val="00F5547D"/>
    <w:rsid w:val="00F556DD"/>
    <w:rsid w:val="00F55F4B"/>
    <w:rsid w:val="00F6441E"/>
    <w:rsid w:val="00F66109"/>
    <w:rsid w:val="00F66BEE"/>
    <w:rsid w:val="00F70A40"/>
    <w:rsid w:val="00F7378C"/>
    <w:rsid w:val="00F8005E"/>
    <w:rsid w:val="00F80242"/>
    <w:rsid w:val="00F81E97"/>
    <w:rsid w:val="00F82D05"/>
    <w:rsid w:val="00F83CC1"/>
    <w:rsid w:val="00F87673"/>
    <w:rsid w:val="00F877A4"/>
    <w:rsid w:val="00F92B5C"/>
    <w:rsid w:val="00F92EFB"/>
    <w:rsid w:val="00F97920"/>
    <w:rsid w:val="00FA2E68"/>
    <w:rsid w:val="00FC34AD"/>
    <w:rsid w:val="00FC3FFD"/>
    <w:rsid w:val="00FC583B"/>
    <w:rsid w:val="00FD27CD"/>
    <w:rsid w:val="00FD295B"/>
    <w:rsid w:val="00FD54B8"/>
    <w:rsid w:val="00FD56BC"/>
    <w:rsid w:val="00FD5C89"/>
    <w:rsid w:val="00FD74A7"/>
    <w:rsid w:val="00FE0061"/>
    <w:rsid w:val="00FE3913"/>
    <w:rsid w:val="00FE4213"/>
    <w:rsid w:val="00FE459C"/>
    <w:rsid w:val="00FE5CFD"/>
    <w:rsid w:val="00FE6948"/>
    <w:rsid w:val="00FF05A9"/>
    <w:rsid w:val="00FF2EE5"/>
    <w:rsid w:val="00FF3865"/>
    <w:rsid w:val="00FF63D0"/>
    <w:rsid w:val="00FF68AF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1F32C"/>
  <w15:chartTrackingRefBased/>
  <w15:docId w15:val="{5A4DA790-4970-41F4-A553-28885B9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C15DB"/>
    <w:pPr>
      <w:autoSpaceDE w:val="0"/>
      <w:autoSpaceDN w:val="0"/>
      <w:adjustRightInd w:val="0"/>
      <w:spacing w:after="0" w:line="240" w:lineRule="auto"/>
      <w:ind w:left="3518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15D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4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3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6C9B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D038C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11F7"/>
    <w:rPr>
      <w:b/>
      <w:bCs/>
      <w:color w:val="055285"/>
      <w:u w:val="thick"/>
    </w:rPr>
  </w:style>
  <w:style w:type="table" w:styleId="TableGrid">
    <w:name w:val="Table Grid"/>
    <w:basedOn w:val="TableNormal"/>
    <w:uiPriority w:val="59"/>
    <w:rsid w:val="00E0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6ED6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4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497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49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497"/>
    <w:rPr>
      <w:color w:val="605E5C"/>
      <w:shd w:val="clear" w:color="auto" w:fill="E1DFDD"/>
    </w:rPr>
  </w:style>
  <w:style w:type="table" w:styleId="ListTable6Colourful">
    <w:name w:val="List Table 6 Colorful"/>
    <w:basedOn w:val="TableNormal"/>
    <w:uiPriority w:val="51"/>
    <w:rsid w:val="005D4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5D4E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5D4E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D22A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">
    <w:name w:val="Grid Table 6 Colorful"/>
    <w:basedOn w:val="TableNormal"/>
    <w:uiPriority w:val="51"/>
    <w:rsid w:val="00D22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82E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E48"/>
    <w:pPr>
      <w:spacing w:after="100"/>
      <w:ind w:left="220"/>
    </w:pPr>
  </w:style>
  <w:style w:type="paragraph" w:customStyle="1" w:styleId="Default">
    <w:name w:val="Default"/>
    <w:rsid w:val="006D2B9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47C26"/>
  </w:style>
  <w:style w:type="character" w:customStyle="1" w:styleId="ui-provider">
    <w:name w:val="ui-provider"/>
    <w:basedOn w:val="DefaultParagraphFont"/>
    <w:rsid w:val="00A47C26"/>
  </w:style>
  <w:style w:type="paragraph" w:styleId="FootnoteText">
    <w:name w:val="footnote text"/>
    <w:basedOn w:val="Normal"/>
    <w:link w:val="FootnoteTextChar"/>
    <w:uiPriority w:val="99"/>
    <w:semiHidden/>
    <w:unhideWhenUsed/>
    <w:rsid w:val="00A47C2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C26"/>
    <w:rPr>
      <w:rFonts w:ascii="Arial" w:hAnsi="Arial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47C2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534F5"/>
    <w:pPr>
      <w:spacing w:after="100"/>
      <w:ind w:left="440"/>
    </w:pPr>
  </w:style>
  <w:style w:type="character" w:customStyle="1" w:styleId="cf01">
    <w:name w:val="cf01"/>
    <w:basedOn w:val="DefaultParagraphFont"/>
    <w:rsid w:val="0030040D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8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sabilitygateway.gov.au/document/31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abilitygateway.gov.au/document/31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gateway.gov.au/document/3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abilitygateway.gov.au/ads" TargetMode="External"/><Relationship Id="rId10" Type="http://schemas.openxmlformats.org/officeDocument/2006/relationships/hyperlink" Target="https://www.disabilitygateway.gov.au/document/3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isabilitygateway.gov.au/document/3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1E26-1BF2-4433-B30E-D3AC3AD0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Relazione sui piani d'azione mirati</vt:lpstr>
    </vt:vector>
  </TitlesOfParts>
  <Company>Department of Social Services</Company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sui piani d'azione mirati</dc:title>
  <dc:creator>Department of Social Services</dc:creator>
  <cp:keywords>[SEC=OFFICIAL]</cp:keywords>
  <cp:lastModifiedBy>Thom Kiorgaard</cp:lastModifiedBy>
  <cp:revision>16</cp:revision>
  <cp:lastPrinted>2024-11-14T02:18:00Z</cp:lastPrinted>
  <dcterms:created xsi:type="dcterms:W3CDTF">2024-11-12T00:33:00Z</dcterms:created>
  <dcterms:modified xsi:type="dcterms:W3CDTF">2024-11-18T00:30:00Z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34d90b-fc41-464d-af60-f74d721d0790_ActionId">
    <vt:lpwstr>b72cec6058724cb5ace75e5dbc61ebb4</vt:lpwstr>
  </property>
  <property fmtid="{D5CDD505-2E9C-101B-9397-08002B2CF9AE}" pid="3" name="MSIP_Label_eb34d90b-fc41-464d-af60-f74d721d0790_ContentBits">
    <vt:lpwstr>0</vt:lpwstr>
  </property>
  <property fmtid="{D5CDD505-2E9C-101B-9397-08002B2CF9AE}" pid="4" name="MSIP_Label_eb34d90b-fc41-464d-af60-f74d721d0790_Enabled">
    <vt:lpwstr>true</vt:lpwstr>
  </property>
  <property fmtid="{D5CDD505-2E9C-101B-9397-08002B2CF9AE}" pid="5" name="MSIP_Label_eb34d90b-fc41-464d-af60-f74d721d0790_Method">
    <vt:lpwstr>Privileged</vt:lpwstr>
  </property>
  <property fmtid="{D5CDD505-2E9C-101B-9397-08002B2CF9AE}" pid="6" name="MSIP_Label_eb34d90b-fc41-464d-af60-f74d721d0790_Name">
    <vt:lpwstr>OFFICIAL</vt:lpwstr>
  </property>
  <property fmtid="{D5CDD505-2E9C-101B-9397-08002B2CF9AE}" pid="7" name="MSIP_Label_eb34d90b-fc41-464d-af60-f74d721d0790_SetDate">
    <vt:lpwstr>2024-02-13T03:47:19Z</vt:lpwstr>
  </property>
  <property fmtid="{D5CDD505-2E9C-101B-9397-08002B2CF9AE}" pid="8" name="MSIP_Label_eb34d90b-fc41-464d-af60-f74d721d0790_SiteId">
    <vt:lpwstr>61e36dd1-ca6e-4d61-aa0a-2b4eb88317a3</vt:lpwstr>
  </property>
  <property fmtid="{D5CDD505-2E9C-101B-9397-08002B2CF9AE}" pid="9" name="PMHMAC">
    <vt:lpwstr>v=2022.1;a=SHA256;h=E13374C91A4D5958F4916E0AAAC22E645C2A8733081E2B83570E61FC64AAF48B</vt:lpwstr>
  </property>
  <property fmtid="{D5CDD505-2E9C-101B-9397-08002B2CF9AE}" pid="10" name="PMUuid">
    <vt:lpwstr>v=2022.2;d=gov.au;g=46DD6D7C-8107-577B-BC6E-F348953B2E44</vt:lpwstr>
  </property>
  <property fmtid="{D5CDD505-2E9C-101B-9397-08002B2CF9AE}" pid="11" name="PM_Caveats_Count">
    <vt:lpwstr>0</vt:lpwstr>
  </property>
  <property fmtid="{D5CDD505-2E9C-101B-9397-08002B2CF9AE}" pid="12" name="PM_Display">
    <vt:lpwstr>OFFICIAL</vt:lpwstr>
  </property>
  <property fmtid="{D5CDD505-2E9C-101B-9397-08002B2CF9AE}" pid="13" name="PM_DisplayValueSecClassificationWithQualifier">
    <vt:lpwstr>OFFICIAL</vt:lpwstr>
  </property>
  <property fmtid="{D5CDD505-2E9C-101B-9397-08002B2CF9AE}" pid="14" name="PM_Hash_Salt">
    <vt:lpwstr>E8240E79E7CCBC0882C61FCE006A280B</vt:lpwstr>
  </property>
  <property fmtid="{D5CDD505-2E9C-101B-9397-08002B2CF9AE}" pid="15" name="PM_Hash_Salt_Prev">
    <vt:lpwstr>6B93F2ABAE5AE337AAB7C08A5C8E9788</vt:lpwstr>
  </property>
  <property fmtid="{D5CDD505-2E9C-101B-9397-08002B2CF9AE}" pid="16" name="PM_Hash_SHA1">
    <vt:lpwstr>A3DD933F664B851FCC907ED495123720475E96E4</vt:lpwstr>
  </property>
  <property fmtid="{D5CDD505-2E9C-101B-9397-08002B2CF9AE}" pid="17" name="PM_Hash_Version">
    <vt:lpwstr>2022.1</vt:lpwstr>
  </property>
  <property fmtid="{D5CDD505-2E9C-101B-9397-08002B2CF9AE}" pid="18" name="PM_InsertionValue">
    <vt:lpwstr>OFFICIAL</vt:lpwstr>
  </property>
  <property fmtid="{D5CDD505-2E9C-101B-9397-08002B2CF9AE}" pid="19" name="PM_Markers">
    <vt:lpwstr/>
  </property>
  <property fmtid="{D5CDD505-2E9C-101B-9397-08002B2CF9AE}" pid="20" name="PM_Namespace">
    <vt:lpwstr>gov.au</vt:lpwstr>
  </property>
  <property fmtid="{D5CDD505-2E9C-101B-9397-08002B2CF9AE}" pid="21" name="PM_Note">
    <vt:lpwstr/>
  </property>
  <property fmtid="{D5CDD505-2E9C-101B-9397-08002B2CF9AE}" pid="22" name="PM_Originating_FileId">
    <vt:lpwstr>23F1E009533349858BC4F159F4E598F2</vt:lpwstr>
  </property>
  <property fmtid="{D5CDD505-2E9C-101B-9397-08002B2CF9AE}" pid="23" name="PM_OriginationTimeStamp">
    <vt:lpwstr>2024-02-13T03:47:19Z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OriginatorUserAccountName_SHA256">
    <vt:lpwstr>5AEC3A1743B304DE5E827DE83F0ABD962F4CB8BC02C3388E11EAD7C7E8112F27</vt:lpwstr>
  </property>
  <property fmtid="{D5CDD505-2E9C-101B-9397-08002B2CF9AE}" pid="26" name="PM_Originator_Hash_SHA1">
    <vt:lpwstr>189F50A0075A3234A1279FA257D5727008185E1E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ProtectiveMarkingImage_Header">
    <vt:lpwstr>C:\Program Files (x86)\Common Files\janusNET Shared\janusSEAL\Images\DocumentSlashBlue.png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Value_Header">
    <vt:lpwstr>OFFICIAL</vt:lpwstr>
  </property>
  <property fmtid="{D5CDD505-2E9C-101B-9397-08002B2CF9AE}" pid="31" name="PM_Qualifier">
    <vt:lpwstr/>
  </property>
  <property fmtid="{D5CDD505-2E9C-101B-9397-08002B2CF9AE}" pid="32" name="PM_Qualifier_Prev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</Properties>
</file>