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51C9" w14:textId="1B60D597" w:rsidR="006A73C3" w:rsidRPr="00E6150E" w:rsidRDefault="00F27956" w:rsidP="440E7518">
      <w:pPr>
        <w:spacing w:before="120" w:after="120"/>
        <w:rPr>
          <w:rFonts w:ascii="Dubai" w:hAnsi="Dubai" w:cs="Dubai"/>
          <w:lang w:val="en-US"/>
        </w:rPr>
      </w:pPr>
      <w:r>
        <w:rPr>
          <w:rFonts w:ascii="Dubai" w:hAnsi="Dubai" w:cs="Dubai"/>
          <w:noProof/>
        </w:rPr>
        <mc:AlternateContent>
          <mc:Choice Requires="wps">
            <w:drawing>
              <wp:anchor distT="0" distB="0" distL="114300" distR="114300" simplePos="0" relativeHeight="251662336" behindDoc="0" locked="0" layoutInCell="1" allowOverlap="1" wp14:anchorId="6CEEB70D" wp14:editId="2D3425D5">
                <wp:simplePos x="0" y="0"/>
                <wp:positionH relativeFrom="column">
                  <wp:posOffset>4920971</wp:posOffset>
                </wp:positionH>
                <wp:positionV relativeFrom="paragraph">
                  <wp:posOffset>2408555</wp:posOffset>
                </wp:positionV>
                <wp:extent cx="1438508" cy="535258"/>
                <wp:effectExtent l="0" t="0" r="0" b="0"/>
                <wp:wrapNone/>
                <wp:docPr id="2" name="Text Box 2"/>
                <wp:cNvGraphicFramePr/>
                <a:graphic xmlns:a="http://schemas.openxmlformats.org/drawingml/2006/main">
                  <a:graphicData uri="http://schemas.microsoft.com/office/word/2010/wordprocessingShape">
                    <wps:wsp>
                      <wps:cNvSpPr txBox="1"/>
                      <wps:spPr>
                        <a:xfrm>
                          <a:off x="0" y="0"/>
                          <a:ext cx="1438508" cy="535258"/>
                        </a:xfrm>
                        <a:prstGeom prst="rect">
                          <a:avLst/>
                        </a:prstGeom>
                        <a:noFill/>
                        <a:ln w="6350">
                          <a:noFill/>
                        </a:ln>
                      </wps:spPr>
                      <wps:txbx>
                        <w:txbxContent>
                          <w:p w14:paraId="74DF312B" w14:textId="753C1F35" w:rsidR="00F27956" w:rsidRPr="00F27956" w:rsidRDefault="00F27956">
                            <w:pPr>
                              <w:rPr>
                                <w:rFonts w:ascii="Dubai" w:hAnsi="Dubai" w:cs="Dubai"/>
                                <w:color w:val="FFFFFF" w:themeColor="background1"/>
                                <w:sz w:val="32"/>
                                <w:szCs w:val="32"/>
                              </w:rPr>
                            </w:pPr>
                            <w:r w:rsidRPr="00F27956">
                              <w:rPr>
                                <w:rFonts w:ascii="Dubai" w:hAnsi="Dubai" w:cs="Dubai"/>
                                <w:color w:val="FFFFFF" w:themeColor="background1"/>
                                <w:sz w:val="32"/>
                                <w:szCs w:val="32"/>
                              </w:rPr>
                              <w:t xml:space="preserve">Arabic | </w:t>
                            </w:r>
                            <w:r w:rsidRPr="00F27956">
                              <w:rPr>
                                <w:rFonts w:ascii="Dubai" w:hAnsi="Dubai" w:cs="Dubai"/>
                                <w:color w:val="FFFFFF" w:themeColor="background1"/>
                                <w:sz w:val="32"/>
                                <w:szCs w:val="32"/>
                                <w:rtl/>
                              </w:rPr>
                              <w:t>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B70D" id="_x0000_t202" coordsize="21600,21600" o:spt="202" path="m,l,21600r21600,l21600,xe">
                <v:stroke joinstyle="miter"/>
                <v:path gradientshapeok="t" o:connecttype="rect"/>
              </v:shapetype>
              <v:shape id="Text Box 2" o:spid="_x0000_s1026" type="#_x0000_t202" style="position:absolute;margin-left:387.5pt;margin-top:189.65pt;width:113.25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" filled="f" stroked="f" strokeweight=".5pt">
                <v:textbox>
                  <w:txbxContent>
                    <w:p w14:paraId="74DF312B" w14:textId="753C1F35" w:rsidR="00F27956" w:rsidRPr="00F27956" w:rsidRDefault="00F27956">
                      <w:pPr>
                        <w:rPr>
                          <w:rFonts w:ascii="Dubai" w:hAnsi="Dubai" w:cs="Dubai"/>
                          <w:color w:val="FFFFFF" w:themeColor="background1"/>
                          <w:sz w:val="32"/>
                          <w:szCs w:val="32"/>
                        </w:rPr>
                      </w:pPr>
                      <w:r w:rsidRPr="00F27956">
                        <w:rPr>
                          <w:rFonts w:ascii="Dubai" w:hAnsi="Dubai" w:cs="Dubai"/>
                          <w:color w:val="FFFFFF" w:themeColor="background1"/>
                          <w:sz w:val="32"/>
                          <w:szCs w:val="32"/>
                        </w:rPr>
                        <w:t xml:space="preserve">Arabic | </w:t>
                      </w:r>
                      <w:r w:rsidRPr="00F27956">
                        <w:rPr>
                          <w:rFonts w:ascii="Dubai" w:hAnsi="Dubai" w:cs="Dubai"/>
                          <w:color w:val="FFFFFF" w:themeColor="background1"/>
                          <w:sz w:val="32"/>
                          <w:szCs w:val="32"/>
                          <w:rtl/>
                        </w:rPr>
                        <w:t>العربية</w:t>
                      </w:r>
                    </w:p>
                  </w:txbxContent>
                </v:textbox>
              </v:shape>
            </w:pict>
          </mc:Fallback>
        </mc:AlternateContent>
      </w:r>
      <w:r w:rsidR="0088128A" w:rsidRPr="00E6150E">
        <w:rPr>
          <w:rFonts w:ascii="Dubai" w:hAnsi="Dubai" w:cs="Dubai"/>
          <w:noProof/>
        </w:rPr>
        <mc:AlternateContent>
          <mc:Choice Requires="wps">
            <w:drawing>
              <wp:anchor distT="45720" distB="45720" distL="114300" distR="114300" simplePos="0" relativeHeight="251661312" behindDoc="0" locked="0" layoutInCell="1" allowOverlap="1" wp14:anchorId="1B3F8C46" wp14:editId="63725B97">
                <wp:simplePos x="0" y="0"/>
                <wp:positionH relativeFrom="page">
                  <wp:posOffset>654050</wp:posOffset>
                </wp:positionH>
                <wp:positionV relativeFrom="page">
                  <wp:posOffset>4680804</wp:posOffset>
                </wp:positionV>
                <wp:extent cx="6343650" cy="4840014"/>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40014"/>
                        </a:xfrm>
                        <a:prstGeom prst="rect">
                          <a:avLst/>
                        </a:prstGeom>
                        <a:noFill/>
                        <a:ln w="9525">
                          <a:noFill/>
                          <a:miter lim="800000"/>
                          <a:headEnd/>
                          <a:tailEnd/>
                        </a:ln>
                      </wps:spPr>
                      <wps:txbx>
                        <w:txbxContent>
                          <w:p w14:paraId="0218CEFC" w14:textId="77777777" w:rsidR="00C92272" w:rsidRPr="00E6150E" w:rsidRDefault="0088128A" w:rsidP="00442F4B">
                            <w:pPr>
                              <w:bidi/>
                              <w:spacing w:line="1000" w:lineRule="exact"/>
                              <w:outlineLvl w:val="0"/>
                              <w:rPr>
                                <w:rFonts w:ascii="Dubai" w:hAnsi="Dubai" w:cs="Dubai"/>
                                <w:b/>
                                <w:bCs/>
                                <w:color w:val="FFFFFF" w:themeColor="background1"/>
                                <w:sz w:val="96"/>
                                <w:szCs w:val="96"/>
                              </w:rPr>
                            </w:pPr>
                            <w:bookmarkStart w:id="0" w:name="_Hlk168141233"/>
                            <w:r w:rsidRPr="00E6150E">
                              <w:rPr>
                                <w:rFonts w:ascii="Dubai" w:hAnsi="Dubai" w:cs="Dubai"/>
                                <w:b/>
                                <w:bCs/>
                                <w:color w:val="FFFFFF" w:themeColor="background1"/>
                                <w:sz w:val="96"/>
                                <w:szCs w:val="96"/>
                                <w:rtl/>
                                <w:lang w:val="ar"/>
                              </w:rPr>
                              <w:t>السلامة والحقوق والعدالة</w:t>
                            </w:r>
                          </w:p>
                          <w:bookmarkEnd w:id="0"/>
                          <w:p w14:paraId="0CC9580A" w14:textId="77777777" w:rsidR="00C92272" w:rsidRPr="00E6150E" w:rsidRDefault="0088128A" w:rsidP="00442F4B">
                            <w:pPr>
                              <w:pStyle w:val="BodyText"/>
                              <w:bidi/>
                              <w:outlineLvl w:val="0"/>
                              <w:rPr>
                                <w:rFonts w:ascii="Dubai" w:hAnsi="Dubai" w:cs="Dubai"/>
                                <w:b/>
                                <w:bCs/>
                                <w:color w:val="FFFFFF" w:themeColor="background1"/>
                                <w:sz w:val="96"/>
                                <w:szCs w:val="96"/>
                              </w:rPr>
                            </w:pPr>
                            <w:r w:rsidRPr="00E6150E">
                              <w:rPr>
                                <w:rFonts w:ascii="Dubai" w:hAnsi="Dubai" w:cs="Dubai"/>
                                <w:b/>
                                <w:bCs/>
                                <w:color w:val="FFFFFF" w:themeColor="background1"/>
                                <w:sz w:val="96"/>
                                <w:szCs w:val="96"/>
                                <w:rtl/>
                                <w:lang w:val="ar"/>
                              </w:rPr>
                              <w:t>خطة العمل المستهدفة</w:t>
                            </w:r>
                          </w:p>
                          <w:p w14:paraId="23433DD8" w14:textId="77777777" w:rsidR="00C92272" w:rsidRPr="00E6150E" w:rsidRDefault="0088128A" w:rsidP="00442F4B">
                            <w:pPr>
                              <w:pStyle w:val="BodyText"/>
                              <w:bidi/>
                              <w:outlineLvl w:val="0"/>
                              <w:rPr>
                                <w:rFonts w:ascii="Dubai" w:hAnsi="Dubai" w:cs="Dubai"/>
                                <w:b/>
                                <w:bCs/>
                                <w:i/>
                                <w:iCs/>
                                <w:color w:val="FFFFFF" w:themeColor="background1"/>
                                <w:sz w:val="96"/>
                                <w:szCs w:val="96"/>
                              </w:rPr>
                            </w:pPr>
                            <w:r w:rsidRPr="00E6150E">
                              <w:rPr>
                                <w:rFonts w:ascii="Dubai" w:hAnsi="Dubai" w:cs="Dubai"/>
                                <w:b/>
                                <w:bCs/>
                                <w:color w:val="FFFFFF" w:themeColor="background1"/>
                                <w:sz w:val="96"/>
                                <w:szCs w:val="96"/>
                                <w:rtl/>
                                <w:lang w:val="ar"/>
                              </w:rPr>
                              <w:t>ملخص</w:t>
                            </w:r>
                          </w:p>
                          <w:p w14:paraId="65A85981" w14:textId="77777777" w:rsidR="00C92272" w:rsidRPr="00E6150E" w:rsidRDefault="0088128A" w:rsidP="00442F4B">
                            <w:pPr>
                              <w:pStyle w:val="BodyText"/>
                              <w:bidi/>
                              <w:outlineLvl w:val="0"/>
                              <w:rPr>
                                <w:rFonts w:ascii="Dubai" w:hAnsi="Dubai" w:cs="Dubai"/>
                                <w:b/>
                                <w:bCs/>
                                <w:color w:val="FFFFFF" w:themeColor="background1"/>
                                <w:sz w:val="96"/>
                                <w:szCs w:val="96"/>
                                <w:shd w:val="clear" w:color="auto" w:fill="563275"/>
                              </w:rPr>
                            </w:pPr>
                            <w:r w:rsidRPr="00E6150E">
                              <w:rPr>
                                <w:rFonts w:ascii="Dubai" w:hAnsi="Dubai" w:cs="Dubai"/>
                                <w:b/>
                                <w:bCs/>
                                <w:i/>
                                <w:iCs/>
                                <w:color w:val="FFFFFF" w:themeColor="background1"/>
                                <w:sz w:val="96"/>
                                <w:szCs w:val="96"/>
                                <w:rtl/>
                                <w:lang w:val="ar"/>
                              </w:rPr>
                              <w:t>2025 – 2027</w:t>
                            </w:r>
                          </w:p>
                          <w:p w14:paraId="067E96DA" w14:textId="77777777" w:rsidR="00C92272" w:rsidRPr="00E6150E" w:rsidRDefault="00C92272" w:rsidP="00C92272">
                            <w:pPr>
                              <w:rPr>
                                <w:rFonts w:ascii="Dubai" w:hAnsi="Dubai" w:cs="Duba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F8C46" id="_x0000_t202" coordsize="21600,21600" o:spt="202" path="m,l,21600r21600,l21600,xe">
                <v:stroke joinstyle="miter"/>
                <v:path gradientshapeok="t" o:connecttype="rect"/>
              </v:shapetype>
              <v:shape id="_x0000_s1027" type="#_x0000_t202" style="position:absolute;margin-left:51.5pt;margin-top:368.55pt;width:499.5pt;height:381.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" filled="f" stroked="f">
                <v:textbox>
                  <w:txbxContent>
                    <w:p w14:paraId="0218CEFC" w14:textId="77777777" w:rsidR="00C92272" w:rsidRPr="00E6150E" w:rsidRDefault="0088128A" w:rsidP="00442F4B">
                      <w:pPr>
                        <w:bidi/>
                        <w:spacing w:line="1000" w:lineRule="exact"/>
                        <w:outlineLvl w:val="0"/>
                        <w:rPr>
                          <w:rFonts w:ascii="Dubai" w:hAnsi="Dubai" w:cs="Dubai"/>
                          <w:b/>
                          <w:bCs/>
                          <w:color w:val="FFFFFF" w:themeColor="background1"/>
                          <w:sz w:val="96"/>
                          <w:szCs w:val="96"/>
                        </w:rPr>
                      </w:pPr>
                      <w:bookmarkStart w:id="1" w:name="_Hlk168141233"/>
                      <w:r w:rsidRPr="00E6150E">
                        <w:rPr>
                          <w:rFonts w:ascii="Dubai" w:hAnsi="Dubai" w:cs="Dubai"/>
                          <w:b/>
                          <w:bCs/>
                          <w:color w:val="FFFFFF" w:themeColor="background1"/>
                          <w:sz w:val="96"/>
                          <w:szCs w:val="96"/>
                          <w:rtl/>
                          <w:lang w:val="ar"/>
                        </w:rPr>
                        <w:t>السلامة والحقوق والعدالة</w:t>
                      </w:r>
                    </w:p>
                    <w:bookmarkEnd w:id="1"/>
                    <w:p w14:paraId="0CC9580A" w14:textId="77777777" w:rsidR="00C92272" w:rsidRPr="00E6150E" w:rsidRDefault="0088128A" w:rsidP="00442F4B">
                      <w:pPr>
                        <w:pStyle w:val="BodyText"/>
                        <w:bidi/>
                        <w:outlineLvl w:val="0"/>
                        <w:rPr>
                          <w:rFonts w:ascii="Dubai" w:hAnsi="Dubai" w:cs="Dubai"/>
                          <w:b/>
                          <w:bCs/>
                          <w:color w:val="FFFFFF" w:themeColor="background1"/>
                          <w:sz w:val="96"/>
                          <w:szCs w:val="96"/>
                        </w:rPr>
                      </w:pPr>
                      <w:r w:rsidRPr="00E6150E">
                        <w:rPr>
                          <w:rFonts w:ascii="Dubai" w:hAnsi="Dubai" w:cs="Dubai"/>
                          <w:b/>
                          <w:bCs/>
                          <w:color w:val="FFFFFF" w:themeColor="background1"/>
                          <w:sz w:val="96"/>
                          <w:szCs w:val="96"/>
                          <w:rtl/>
                          <w:lang w:val="ar"/>
                        </w:rPr>
                        <w:t>خطة العمل المستهدفة</w:t>
                      </w:r>
                    </w:p>
                    <w:p w14:paraId="23433DD8" w14:textId="77777777" w:rsidR="00C92272" w:rsidRPr="00E6150E" w:rsidRDefault="0088128A" w:rsidP="00442F4B">
                      <w:pPr>
                        <w:pStyle w:val="BodyText"/>
                        <w:bidi/>
                        <w:outlineLvl w:val="0"/>
                        <w:rPr>
                          <w:rFonts w:ascii="Dubai" w:hAnsi="Dubai" w:cs="Dubai"/>
                          <w:b/>
                          <w:bCs/>
                          <w:i/>
                          <w:iCs/>
                          <w:color w:val="FFFFFF" w:themeColor="background1"/>
                          <w:sz w:val="96"/>
                          <w:szCs w:val="96"/>
                        </w:rPr>
                      </w:pPr>
                      <w:r w:rsidRPr="00E6150E">
                        <w:rPr>
                          <w:rFonts w:ascii="Dubai" w:hAnsi="Dubai" w:cs="Dubai"/>
                          <w:b/>
                          <w:bCs/>
                          <w:color w:val="FFFFFF" w:themeColor="background1"/>
                          <w:sz w:val="96"/>
                          <w:szCs w:val="96"/>
                          <w:rtl/>
                          <w:lang w:val="ar"/>
                        </w:rPr>
                        <w:t>ملخص</w:t>
                      </w:r>
                    </w:p>
                    <w:p w14:paraId="65A85981" w14:textId="77777777" w:rsidR="00C92272" w:rsidRPr="00E6150E" w:rsidRDefault="0088128A" w:rsidP="00442F4B">
                      <w:pPr>
                        <w:pStyle w:val="BodyText"/>
                        <w:bidi/>
                        <w:outlineLvl w:val="0"/>
                        <w:rPr>
                          <w:rFonts w:ascii="Dubai" w:hAnsi="Dubai" w:cs="Dubai"/>
                          <w:b/>
                          <w:bCs/>
                          <w:color w:val="FFFFFF" w:themeColor="background1"/>
                          <w:sz w:val="96"/>
                          <w:szCs w:val="96"/>
                          <w:shd w:val="clear" w:color="auto" w:fill="563275"/>
                        </w:rPr>
                      </w:pPr>
                      <w:r w:rsidRPr="00E6150E">
                        <w:rPr>
                          <w:rFonts w:ascii="Dubai" w:hAnsi="Dubai" w:cs="Dubai"/>
                          <w:b/>
                          <w:bCs/>
                          <w:i/>
                          <w:iCs/>
                          <w:color w:val="FFFFFF" w:themeColor="background1"/>
                          <w:sz w:val="96"/>
                          <w:szCs w:val="96"/>
                          <w:rtl/>
                          <w:lang w:val="ar"/>
                        </w:rPr>
                        <w:t>2025 – 2027</w:t>
                      </w:r>
                    </w:p>
                    <w:p w14:paraId="067E96DA" w14:textId="77777777" w:rsidR="00C92272" w:rsidRPr="00E6150E" w:rsidRDefault="00C92272" w:rsidP="00C92272">
                      <w:pPr>
                        <w:rPr>
                          <w:rFonts w:ascii="Dubai" w:hAnsi="Dubai" w:cs="Dubai"/>
                        </w:rPr>
                      </w:pPr>
                    </w:p>
                  </w:txbxContent>
                </v:textbox>
                <w10:wrap type="topAndBottom" anchorx="page" anchory="page"/>
              </v:shape>
            </w:pict>
          </mc:Fallback>
        </mc:AlternateContent>
      </w:r>
      <w:r w:rsidR="0088128A" w:rsidRPr="00E6150E">
        <w:rPr>
          <w:rFonts w:ascii="Dubai" w:hAnsi="Dubai" w:cs="Dubai"/>
          <w:noProof/>
        </w:rPr>
        <w:drawing>
          <wp:anchor distT="0" distB="0" distL="114300" distR="114300" simplePos="0" relativeHeight="251658240" behindDoc="1" locked="0" layoutInCell="1" allowOverlap="1" wp14:anchorId="266498CF" wp14:editId="7C470AE6">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2381"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30B" w:rsidRPr="00E6150E">
        <w:rPr>
          <w:rFonts w:ascii="Dubai" w:hAnsi="Dubai" w:cs="Dubai"/>
          <w:noProof/>
        </w:rPr>
        <w:drawing>
          <wp:anchor distT="0" distB="900430" distL="114300" distR="2700655" simplePos="0" relativeHeight="251659264" behindDoc="1" locked="1" layoutInCell="1" allowOverlap="0" wp14:anchorId="4C7A0141" wp14:editId="64EE69D4">
            <wp:simplePos x="0" y="0"/>
            <wp:positionH relativeFrom="margin">
              <wp:posOffset>3731895</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6226" name="Picture 198599949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752059B8" w14:textId="77777777" w:rsidR="00ED1564" w:rsidRPr="00432B37" w:rsidRDefault="0088128A" w:rsidP="00733214">
      <w:pPr>
        <w:bidi/>
        <w:spacing w:before="10000"/>
        <w:rPr>
          <w:rFonts w:ascii="Dubai" w:hAnsi="Dubai" w:cs="Dubai"/>
          <w:b/>
          <w:bCs/>
          <w:color w:val="00492C"/>
          <w:sz w:val="28"/>
          <w:szCs w:val="28"/>
          <w:lang w:val="en-US"/>
        </w:rPr>
      </w:pPr>
      <w:r w:rsidRPr="00432B37">
        <w:rPr>
          <w:rFonts w:ascii="Dubai" w:hAnsi="Dubai" w:cs="Dubai"/>
          <w:b/>
          <w:bCs/>
          <w:color w:val="00492C"/>
          <w:sz w:val="28"/>
          <w:szCs w:val="28"/>
          <w:rtl/>
          <w:lang w:val="ar"/>
        </w:rPr>
        <w:lastRenderedPageBreak/>
        <w:t>نظرة عامة على خطة العمل المستهدفة للسلامة والحقوق والعدالة</w:t>
      </w:r>
    </w:p>
    <w:p w14:paraId="751ECF8B" w14:textId="77777777" w:rsidR="00950C03" w:rsidRPr="00E6150E" w:rsidRDefault="0088128A" w:rsidP="007022D0">
      <w:pPr>
        <w:pStyle w:val="BodyText"/>
        <w:bidi/>
        <w:rPr>
          <w:rFonts w:ascii="Dubai" w:hAnsi="Dubai" w:cs="Dubai"/>
        </w:rPr>
      </w:pPr>
      <w:r w:rsidRPr="00E6150E">
        <w:rPr>
          <w:rFonts w:ascii="Dubai" w:hAnsi="Dubai" w:cs="Dubai"/>
          <w:rtl/>
          <w:lang w:val="ar"/>
        </w:rPr>
        <w:t>تحدد خطة العمل المستهدفة للسلامة والحقوق والعدالة (TAP) الإجراءات الرئيسية لمنع الأشخاص ذوي الإعاقة من التعرض للأذى، من خلال أنظمة الخدمات المصممة جيدًا والمتكاملة، والدعم المحسن لأولئك المعرضين لخطر الأذى والمسارات المناسبة للعمل إذا ساءت الأمور. تستند خطة العمل المستهدفة للسلامة والحقوق والعدالة إلى توصيات اللجنة الملكية للتحقيق حول العنف وإساءة المعاملة والإهمال واستغلال الأشخاص ذوي الإعاقة (DRC) وتعكس أولويات مجتمع الإعاقة. </w:t>
      </w:r>
    </w:p>
    <w:p w14:paraId="3A0CF052" w14:textId="77777777" w:rsidR="00ED1564" w:rsidRPr="00E6150E" w:rsidRDefault="0088128A" w:rsidP="007022D0">
      <w:pPr>
        <w:pStyle w:val="BodyText"/>
        <w:bidi/>
        <w:rPr>
          <w:rFonts w:ascii="Dubai" w:hAnsi="Dubai" w:cs="Dubai"/>
        </w:rPr>
      </w:pPr>
      <w:r w:rsidRPr="00E6150E">
        <w:rPr>
          <w:rFonts w:ascii="Dubai" w:hAnsi="Dubai" w:cs="Dubai"/>
          <w:rtl/>
          <w:lang w:val="ar"/>
        </w:rPr>
        <w:t>لمزيد من المعلومات حول خطط العمل المستهدفة TAPs وتطوير خطة عمل مستهدفة TAP، راجع وثيقة نظرة عامة على خطط العمل المستهدفة.</w:t>
      </w:r>
    </w:p>
    <w:p w14:paraId="1D6C5820" w14:textId="77777777" w:rsidR="00C80947" w:rsidRPr="00E6150E" w:rsidRDefault="0088128A" w:rsidP="0063637C">
      <w:pPr>
        <w:pStyle w:val="Heading2"/>
        <w:bidi/>
        <w:spacing w:before="120" w:after="120" w:line="300" w:lineRule="auto"/>
        <w:rPr>
          <w:rFonts w:ascii="Dubai" w:hAnsi="Dubai" w:cs="Dubai"/>
          <w:color w:val="00492C"/>
          <w:sz w:val="28"/>
          <w:szCs w:val="28"/>
          <w:lang w:val="en-US"/>
        </w:rPr>
      </w:pPr>
      <w:r w:rsidRPr="00E6150E">
        <w:rPr>
          <w:rFonts w:ascii="Dubai" w:hAnsi="Dubai" w:cs="Dubai"/>
          <w:color w:val="00492C"/>
          <w:sz w:val="28"/>
          <w:szCs w:val="28"/>
          <w:rtl/>
          <w:lang w:val="ar"/>
        </w:rPr>
        <w:t>الوضع الحالي</w:t>
      </w:r>
    </w:p>
    <w:p w14:paraId="607D9166" w14:textId="77777777" w:rsidR="00950C03" w:rsidRPr="00EE0E1F" w:rsidRDefault="0088128A" w:rsidP="7EBA0BD2">
      <w:pPr>
        <w:pStyle w:val="NoSpacing"/>
        <w:bidi/>
        <w:spacing w:before="120" w:after="120" w:line="300" w:lineRule="auto"/>
        <w:rPr>
          <w:rFonts w:ascii="Dubai" w:hAnsi="Dubai" w:cs="Dubai"/>
          <w:spacing w:val="-4"/>
          <w:sz w:val="24"/>
          <w:szCs w:val="24"/>
        </w:rPr>
      </w:pPr>
      <w:r w:rsidRPr="00EE0E1F">
        <w:rPr>
          <w:rFonts w:ascii="Dubai" w:hAnsi="Dubai" w:cs="Dubai"/>
          <w:spacing w:val="-4"/>
          <w:sz w:val="24"/>
          <w:szCs w:val="24"/>
          <w:rtl/>
          <w:lang w:val="ar"/>
        </w:rPr>
        <w:t xml:space="preserve">على الرغم من تمتعهم بنفس الحقوق التي يتمتع بها جميع الأستراليين الآخرين، إلا أن الأشخاص ذوي الإعاقة لا يحصلون على نتائج عادلة في مجالات السلامة والعدالة. وقد أشارت المشاورات خلال عملية مراجعة استراتيجية استراليا للإعاقة إلى وجود رغبة قوية في زيادة الإجراءات لضمان تعزيز حقوق الأشخاص ذوي الإعاقة ودعمها وحمايتها، حتى يشعر الأشخاص ذوو الإعاقة بالأمان ويتمتعوا بالمساواة أمام القانون. بالإضافة إلى ذلك، أظهرت التعليقات الواردة خلال المنتدى الوطني لاستراتيجية أستراليا للإعاقة (2022) أن السلامة والحقوق والعدالة مجالات اهتمام متكررة. وأعرب المشاركون عن رغبتهم في رؤية إجراءات تتناول استجابة نظام العدالة الجنائية للأشخاص ذوي الإعاقة. </w:t>
      </w:r>
    </w:p>
    <w:p w14:paraId="4C3FE4B9" w14:textId="77777777" w:rsidR="00950C03" w:rsidRPr="00493DED" w:rsidRDefault="0088128A" w:rsidP="7EBA0BD2">
      <w:pPr>
        <w:pStyle w:val="NoSpacing"/>
        <w:bidi/>
        <w:spacing w:before="120" w:after="120" w:line="300" w:lineRule="auto"/>
        <w:rPr>
          <w:rFonts w:ascii="Dubai" w:hAnsi="Dubai" w:cs="Dubai"/>
          <w:spacing w:val="-2"/>
          <w:sz w:val="24"/>
          <w:szCs w:val="24"/>
        </w:rPr>
      </w:pPr>
      <w:r w:rsidRPr="00493DED">
        <w:rPr>
          <w:rFonts w:ascii="Dubai" w:hAnsi="Dubai" w:cs="Dubai"/>
          <w:spacing w:val="-2"/>
          <w:sz w:val="24"/>
          <w:szCs w:val="24"/>
          <w:rtl/>
          <w:lang w:val="ar"/>
        </w:rPr>
        <w:t>أظهرت النتائج الرئيسية التي أوردتها اللجنة الملكية للتحقيق حول العنف وإساءة المعاملة والإهمال واستغلال الأشخاص ذوي الإعاقة (DRC) أن الأشخاص ذوي الإعاقة ممثلون تمثيلاً زائدًا بشكل كبير في جميع مراحل نظام العدالة الجنائية، وهم معرضون لخطر متزايد من العنف وسوء المعاملة والإهمال والاستغلال داخله. في حين أن هناك المزيد مما يمكن فهمه حول الأسباب الكامنة وراء ذلك، فمن الواضح أن العيوب التي من المرجح أن يعاني منها الأشخاص ذوو الإعاقة، والاستجابات غير الفعالة لها داخل نظام العدالة الجنائية، تؤدي إلى هذه النتائج غير المنصفة.</w:t>
      </w:r>
    </w:p>
    <w:p w14:paraId="25BCD648" w14:textId="2F2E1CDD" w:rsidR="00C76E67" w:rsidRPr="00FF24DC" w:rsidRDefault="0088128A" w:rsidP="00FF24DC">
      <w:pPr>
        <w:pStyle w:val="NoSpacing"/>
        <w:bidi/>
        <w:spacing w:before="120" w:after="120" w:line="300" w:lineRule="auto"/>
        <w:rPr>
          <w:rFonts w:ascii="Dubai" w:hAnsi="Dubai" w:cs="Dubai"/>
          <w:sz w:val="24"/>
          <w:szCs w:val="24"/>
        </w:rPr>
      </w:pPr>
      <w:r w:rsidRPr="00E6150E">
        <w:rPr>
          <w:rFonts w:ascii="Dubai" w:hAnsi="Dubai" w:cs="Dubai"/>
          <w:sz w:val="24"/>
          <w:szCs w:val="24"/>
          <w:rtl/>
          <w:lang w:val="ar"/>
        </w:rPr>
        <w:t>بالنسبة لشعوب الأمم الأولى، فإن الوضع أكثر خطورة. في عام 2022، كان 33 في المائة من السجناء البالغين من أفراد الأمم الأولى، على الرغم من أنهم يمثلون 3.2 في المائة من السكان. وفي مراكز احتجاز الشباب، كان 61 في المائة من المحتجزين من أطفال الأمم الأولى. وفي الوقت الراهن، لا تحدد أدوات الفحص وأساليب جمع البيانات أو تسجل بشكل كاف أعداد جميع السجناء الأستراليين ذوي الإعاقة. يؤدي الافتقار إلى أدوات الفحص المثبتة ثقافيًا إلى تفاقم هذه المشكلة بالنسبة لشعوب الأمم الأولى.</w:t>
      </w:r>
      <w:r w:rsidR="009702C8">
        <w:rPr>
          <w:rFonts w:ascii="Dubai" w:hAnsi="Dubai" w:cs="Dubai"/>
          <w:sz w:val="24"/>
          <w:szCs w:val="24"/>
        </w:rPr>
        <w:br/>
      </w:r>
      <w:r w:rsidRPr="00E6150E">
        <w:rPr>
          <w:rFonts w:ascii="Dubai" w:hAnsi="Dubai" w:cs="Dubai"/>
          <w:sz w:val="24"/>
          <w:szCs w:val="24"/>
          <w:rtl/>
          <w:lang w:val="ar"/>
        </w:rPr>
        <w:lastRenderedPageBreak/>
        <w:t>وعلى الرغم من ذلك، فإن معدلات الإعاقة أعلى بين سجناء الأمم الأولى وكثيرًا ما يحدث التشخيص عند دخول السجن. وكما جاء في توصيات المنتدى الوطني لاستراتيجية أستراليا للإعاقة (2022)، إذا كان سيتم تنفيذ استجابة فعالة للقضايا التي يواجهها الأشخاص ذوو الإعاقة في نظام العدالة الجنائية، فيجب أن تأخذ في الاعتبار أيضًا الاحتياجات والظروف المحددة لأفراد الأمم الأولى.</w:t>
      </w:r>
    </w:p>
    <w:p w14:paraId="58754B71" w14:textId="77777777" w:rsidR="007170BD" w:rsidRPr="00E6150E" w:rsidRDefault="0088128A" w:rsidP="00733214">
      <w:pPr>
        <w:pStyle w:val="NoSpacing"/>
        <w:keepNext/>
        <w:bidi/>
        <w:spacing w:before="120" w:after="120" w:line="300" w:lineRule="auto"/>
        <w:rPr>
          <w:rFonts w:ascii="Dubai" w:hAnsi="Dubai" w:cs="Dubai"/>
          <w:sz w:val="24"/>
          <w:szCs w:val="24"/>
        </w:rPr>
      </w:pPr>
      <w:r w:rsidRPr="00E6150E">
        <w:rPr>
          <w:rFonts w:ascii="Dubai" w:hAnsi="Dubai" w:cs="Dubai"/>
          <w:sz w:val="24"/>
          <w:szCs w:val="24"/>
          <w:rtl/>
          <w:lang w:val="ar"/>
        </w:rPr>
        <w:t>لسوء الحظ، لا يُبلِّغ العديد من الأشخاص ذوي الإعاقة الشرطة عن المواجهات العنيفة أو يطلبون المشورة أو الدعم. عندما تشارك الشرطة، يُبلِّغ الأشخاص ذوو الإعاقة عن تجارب سلبية، مثل: </w:t>
      </w:r>
    </w:p>
    <w:p w14:paraId="26DC0C3D" w14:textId="77777777" w:rsidR="007170BD" w:rsidRPr="00E6150E" w:rsidRDefault="0088128A" w:rsidP="0063637C">
      <w:pPr>
        <w:pStyle w:val="NoSpacing"/>
        <w:numPr>
          <w:ilvl w:val="0"/>
          <w:numId w:val="36"/>
        </w:numPr>
        <w:bidi/>
        <w:spacing w:before="120" w:after="120" w:line="300" w:lineRule="auto"/>
        <w:rPr>
          <w:rFonts w:ascii="Dubai" w:hAnsi="Dubai" w:cs="Dubai"/>
          <w:sz w:val="24"/>
          <w:szCs w:val="24"/>
        </w:rPr>
      </w:pPr>
      <w:r w:rsidRPr="00E6150E">
        <w:rPr>
          <w:rFonts w:ascii="Dubai" w:hAnsi="Dubai" w:cs="Dubai"/>
          <w:sz w:val="24"/>
          <w:szCs w:val="24"/>
          <w:rtl/>
          <w:lang w:val="ar"/>
        </w:rPr>
        <w:t>عدم التصديق أو إساءة الفهم </w:t>
      </w:r>
    </w:p>
    <w:p w14:paraId="62CE3FFF" w14:textId="77777777" w:rsidR="007170BD" w:rsidRPr="00E6150E" w:rsidRDefault="0088128A" w:rsidP="00733214">
      <w:pPr>
        <w:pStyle w:val="NoSpacing"/>
        <w:keepNext/>
        <w:numPr>
          <w:ilvl w:val="0"/>
          <w:numId w:val="36"/>
        </w:numPr>
        <w:bidi/>
        <w:spacing w:before="120" w:after="120" w:line="300" w:lineRule="auto"/>
        <w:ind w:left="714" w:hanging="357"/>
        <w:rPr>
          <w:rFonts w:ascii="Dubai" w:hAnsi="Dubai" w:cs="Dubai"/>
          <w:sz w:val="24"/>
          <w:szCs w:val="24"/>
        </w:rPr>
      </w:pPr>
      <w:r w:rsidRPr="00E6150E">
        <w:rPr>
          <w:rFonts w:ascii="Dubai" w:hAnsi="Dubai" w:cs="Dubai"/>
          <w:sz w:val="24"/>
          <w:szCs w:val="24"/>
          <w:rtl/>
          <w:lang w:val="ar"/>
        </w:rPr>
        <w:t>الإخبار بتجاهل الإساءة أو تجنبها </w:t>
      </w:r>
    </w:p>
    <w:p w14:paraId="1D7A108D" w14:textId="77777777" w:rsidR="007170BD" w:rsidRPr="00E6150E" w:rsidRDefault="0088128A" w:rsidP="0063637C">
      <w:pPr>
        <w:pStyle w:val="NoSpacing"/>
        <w:numPr>
          <w:ilvl w:val="0"/>
          <w:numId w:val="36"/>
        </w:numPr>
        <w:bidi/>
        <w:spacing w:before="120" w:after="120" w:line="300" w:lineRule="auto"/>
        <w:rPr>
          <w:rFonts w:ascii="Dubai" w:hAnsi="Dubai" w:cs="Dubai"/>
          <w:sz w:val="24"/>
          <w:szCs w:val="24"/>
        </w:rPr>
      </w:pPr>
      <w:r w:rsidRPr="00E6150E">
        <w:rPr>
          <w:rFonts w:ascii="Dubai" w:hAnsi="Dubai" w:cs="Dubai"/>
          <w:sz w:val="24"/>
          <w:szCs w:val="24"/>
          <w:rtl/>
          <w:lang w:val="ar"/>
        </w:rPr>
        <w:t>تصديق مرتكب الجريمة أكثر منهم </w:t>
      </w:r>
    </w:p>
    <w:p w14:paraId="37E213C7" w14:textId="02B6328F" w:rsidR="007170BD" w:rsidRPr="00970390" w:rsidRDefault="0088128A" w:rsidP="00970390">
      <w:pPr>
        <w:pStyle w:val="NoSpacing"/>
        <w:numPr>
          <w:ilvl w:val="0"/>
          <w:numId w:val="36"/>
        </w:numPr>
        <w:bidi/>
        <w:spacing w:before="120" w:after="120" w:line="300" w:lineRule="auto"/>
        <w:rPr>
          <w:rFonts w:ascii="Dubai" w:hAnsi="Dubai" w:cs="Dubai"/>
          <w:sz w:val="24"/>
          <w:szCs w:val="24"/>
          <w:lang w:val="ar"/>
        </w:rPr>
      </w:pPr>
      <w:r w:rsidRPr="00E6150E">
        <w:rPr>
          <w:rFonts w:ascii="Dubai" w:hAnsi="Dubai" w:cs="Dubai"/>
          <w:sz w:val="24"/>
          <w:szCs w:val="24"/>
          <w:rtl/>
          <w:lang w:val="ar"/>
        </w:rPr>
        <w:t>معاملته على أنه الجاني. </w:t>
      </w:r>
    </w:p>
    <w:p w14:paraId="3014473E" w14:textId="77777777" w:rsidR="00C80947" w:rsidRPr="00E6150E" w:rsidRDefault="0088128A" w:rsidP="00B94283">
      <w:pPr>
        <w:pStyle w:val="Heading2"/>
        <w:bidi/>
        <w:spacing w:before="120" w:line="300" w:lineRule="auto"/>
        <w:rPr>
          <w:rFonts w:ascii="Dubai" w:hAnsi="Dubai" w:cs="Dubai"/>
          <w:sz w:val="24"/>
          <w:szCs w:val="24"/>
          <w:lang w:val="en-US"/>
        </w:rPr>
      </w:pPr>
      <w:r w:rsidRPr="00E6150E">
        <w:rPr>
          <w:rFonts w:ascii="Dubai" w:hAnsi="Dubai" w:cs="Dubai"/>
          <w:color w:val="00492C"/>
          <w:sz w:val="28"/>
          <w:szCs w:val="28"/>
          <w:rtl/>
          <w:lang w:val="ar"/>
        </w:rPr>
        <w:t>النتائج والأهداف الرئيسية</w:t>
      </w:r>
    </w:p>
    <w:p w14:paraId="14FDDBBC" w14:textId="77777777" w:rsidR="00C712E7" w:rsidRPr="00E6150E" w:rsidRDefault="0088128A" w:rsidP="00B94283">
      <w:pPr>
        <w:pStyle w:val="NoSpacing"/>
        <w:bidi/>
        <w:spacing w:after="120" w:line="300" w:lineRule="auto"/>
        <w:rPr>
          <w:rFonts w:ascii="Dubai" w:hAnsi="Dubai" w:cs="Dubai"/>
          <w:sz w:val="24"/>
          <w:szCs w:val="24"/>
        </w:rPr>
      </w:pPr>
      <w:r w:rsidRPr="00E6150E">
        <w:rPr>
          <w:rFonts w:ascii="Dubai" w:hAnsi="Dubai" w:cs="Dubai"/>
          <w:sz w:val="24"/>
          <w:szCs w:val="24"/>
          <w:rtl/>
          <w:lang w:val="ar"/>
        </w:rPr>
        <w:t>يهدف مجال نتائج السلامة والحقوق والعدالة في استراتيجية أستراليا للإعاقة ADS إلى ضمان تعزيز حقوق الأشخاص ذوي الإعاقة ودعمها وحمايتها، وشعور الأشخاص ذوي الإعاقة بالأمان وتمتعهم بالمساواة أمام القانون. </w:t>
      </w:r>
    </w:p>
    <w:p w14:paraId="69E37657" w14:textId="77777777" w:rsidR="004640DC" w:rsidRPr="00E6150E" w:rsidRDefault="0088128A" w:rsidP="0063637C">
      <w:pPr>
        <w:pStyle w:val="NoSpacing"/>
        <w:bidi/>
        <w:spacing w:before="120" w:after="120" w:line="300" w:lineRule="auto"/>
        <w:rPr>
          <w:rFonts w:ascii="Dubai" w:hAnsi="Dubai" w:cs="Dubai"/>
          <w:sz w:val="24"/>
          <w:szCs w:val="24"/>
        </w:rPr>
      </w:pPr>
      <w:r w:rsidRPr="00E6150E">
        <w:rPr>
          <w:rFonts w:ascii="Dubai" w:hAnsi="Dubai" w:cs="Dubai"/>
          <w:sz w:val="24"/>
          <w:szCs w:val="24"/>
          <w:rtl/>
          <w:lang w:val="ar"/>
        </w:rPr>
        <w:t>تهدف خطة العمل المستهدفة للسلامة والحقوق والعدالة (TAP) إلى جعل أستراليا مكانًا حيث الأشخاص ذوو الإعاقة: </w:t>
      </w:r>
    </w:p>
    <w:p w14:paraId="563FC68A" w14:textId="77777777" w:rsidR="004640DC" w:rsidRPr="007A233A" w:rsidRDefault="0088128A" w:rsidP="007A233A">
      <w:pPr>
        <w:pStyle w:val="NoSpacing"/>
        <w:numPr>
          <w:ilvl w:val="0"/>
          <w:numId w:val="36"/>
        </w:numPr>
        <w:bidi/>
        <w:spacing w:before="120" w:after="120" w:line="300" w:lineRule="auto"/>
        <w:rPr>
          <w:rFonts w:ascii="Dubai" w:hAnsi="Dubai" w:cs="Dubai"/>
          <w:sz w:val="24"/>
          <w:szCs w:val="24"/>
          <w:lang w:val="ar"/>
        </w:rPr>
      </w:pPr>
      <w:r w:rsidRPr="00E6150E">
        <w:rPr>
          <w:rFonts w:ascii="Dubai" w:hAnsi="Dubai" w:cs="Dubai"/>
          <w:sz w:val="24"/>
          <w:szCs w:val="24"/>
          <w:rtl/>
          <w:lang w:val="ar"/>
        </w:rPr>
        <w:t>يتمتعون بالأمان </w:t>
      </w:r>
    </w:p>
    <w:p w14:paraId="67B07B4A" w14:textId="77777777" w:rsidR="004640DC" w:rsidRPr="007A233A" w:rsidRDefault="0088128A" w:rsidP="007A233A">
      <w:pPr>
        <w:pStyle w:val="NoSpacing"/>
        <w:numPr>
          <w:ilvl w:val="0"/>
          <w:numId w:val="36"/>
        </w:numPr>
        <w:bidi/>
        <w:spacing w:before="120" w:after="120" w:line="300" w:lineRule="auto"/>
        <w:rPr>
          <w:rFonts w:ascii="Dubai" w:hAnsi="Dubai" w:cs="Dubai"/>
          <w:sz w:val="24"/>
          <w:szCs w:val="24"/>
          <w:lang w:val="ar"/>
        </w:rPr>
      </w:pPr>
      <w:r w:rsidRPr="00E6150E">
        <w:rPr>
          <w:rFonts w:ascii="Dubai" w:hAnsi="Dubai" w:cs="Dubai"/>
          <w:sz w:val="24"/>
          <w:szCs w:val="24"/>
          <w:rtl/>
          <w:lang w:val="ar"/>
        </w:rPr>
        <w:t>يشعرون بالأمان </w:t>
      </w:r>
    </w:p>
    <w:p w14:paraId="7876B9F2" w14:textId="77777777" w:rsidR="004640DC" w:rsidRPr="007A233A" w:rsidRDefault="0088128A" w:rsidP="007A233A">
      <w:pPr>
        <w:pStyle w:val="NoSpacing"/>
        <w:numPr>
          <w:ilvl w:val="0"/>
          <w:numId w:val="36"/>
        </w:numPr>
        <w:bidi/>
        <w:spacing w:before="120" w:after="120" w:line="300" w:lineRule="auto"/>
        <w:rPr>
          <w:rFonts w:ascii="Dubai" w:hAnsi="Dubai" w:cs="Dubai"/>
          <w:sz w:val="24"/>
          <w:szCs w:val="24"/>
          <w:lang w:val="ar"/>
        </w:rPr>
      </w:pPr>
      <w:r w:rsidRPr="00E6150E">
        <w:rPr>
          <w:rFonts w:ascii="Dubai" w:hAnsi="Dubai" w:cs="Dubai"/>
          <w:sz w:val="24"/>
          <w:szCs w:val="24"/>
          <w:rtl/>
          <w:lang w:val="ar"/>
        </w:rPr>
        <w:t>تتم حماية حقوقهم  </w:t>
      </w:r>
    </w:p>
    <w:p w14:paraId="7DC8609D" w14:textId="77777777" w:rsidR="00950C03" w:rsidRPr="00E6150E" w:rsidRDefault="0088128A" w:rsidP="007A233A">
      <w:pPr>
        <w:pStyle w:val="NoSpacing"/>
        <w:numPr>
          <w:ilvl w:val="0"/>
          <w:numId w:val="36"/>
        </w:numPr>
        <w:bidi/>
        <w:spacing w:before="120" w:after="120" w:line="300" w:lineRule="auto"/>
        <w:rPr>
          <w:rFonts w:ascii="Dubai" w:hAnsi="Dubai" w:cs="Dubai"/>
          <w:sz w:val="24"/>
          <w:szCs w:val="24"/>
        </w:rPr>
      </w:pPr>
      <w:r w:rsidRPr="00E6150E">
        <w:rPr>
          <w:rFonts w:ascii="Dubai" w:hAnsi="Dubai" w:cs="Dubai"/>
          <w:sz w:val="24"/>
          <w:szCs w:val="24"/>
          <w:rtl/>
          <w:lang w:val="ar"/>
        </w:rPr>
        <w:t>تتم معاملتهم مثلما يتم التعامل مع الآخرين في المجتمع المحلي. </w:t>
      </w:r>
    </w:p>
    <w:p w14:paraId="0B2F4FDD" w14:textId="77777777" w:rsidR="00971F12" w:rsidRPr="00E6150E" w:rsidRDefault="0088128A" w:rsidP="0063637C">
      <w:pPr>
        <w:pStyle w:val="NoSpacing"/>
        <w:bidi/>
        <w:spacing w:before="120" w:after="120" w:line="300" w:lineRule="auto"/>
        <w:rPr>
          <w:rFonts w:ascii="Dubai" w:hAnsi="Dubai" w:cs="Dubai"/>
          <w:sz w:val="24"/>
          <w:szCs w:val="24"/>
        </w:rPr>
      </w:pPr>
      <w:r w:rsidRPr="00E6150E">
        <w:rPr>
          <w:rFonts w:ascii="Dubai" w:hAnsi="Dubai" w:cs="Dubai"/>
          <w:sz w:val="24"/>
          <w:szCs w:val="24"/>
          <w:rtl/>
          <w:lang w:val="ar"/>
        </w:rPr>
        <w:t>وتضم خطة العمل المستهدفة هذه الأهداف التالية: </w:t>
      </w:r>
    </w:p>
    <w:p w14:paraId="31178942" w14:textId="77777777" w:rsidR="00971F12" w:rsidRPr="00E6150E" w:rsidRDefault="0088128A" w:rsidP="0063637C">
      <w:pPr>
        <w:pStyle w:val="NoSpacing"/>
        <w:numPr>
          <w:ilvl w:val="0"/>
          <w:numId w:val="41"/>
        </w:numPr>
        <w:bidi/>
        <w:spacing w:before="120" w:after="120" w:line="300" w:lineRule="auto"/>
        <w:rPr>
          <w:rFonts w:ascii="Dubai" w:hAnsi="Dubai" w:cs="Dubai"/>
          <w:sz w:val="24"/>
          <w:szCs w:val="24"/>
        </w:rPr>
      </w:pPr>
      <w:r w:rsidRPr="00E6150E">
        <w:rPr>
          <w:rFonts w:ascii="Dubai" w:hAnsi="Dubai" w:cs="Dubai"/>
          <w:sz w:val="24"/>
          <w:szCs w:val="24"/>
          <w:rtl/>
          <w:lang w:val="ar"/>
        </w:rPr>
        <w:t>يستجيب نظام العدالة الجنائية بفعالية للاحتياجات المعقدة ونقاط الضعف للأشخاص ذوي الإعاقة. </w:t>
      </w:r>
    </w:p>
    <w:p w14:paraId="6EF976C0" w14:textId="77777777" w:rsidR="00971F12" w:rsidRPr="00E6150E" w:rsidRDefault="0088128A" w:rsidP="00733214">
      <w:pPr>
        <w:pStyle w:val="NoSpacing"/>
        <w:keepNext/>
        <w:numPr>
          <w:ilvl w:val="0"/>
          <w:numId w:val="41"/>
        </w:numPr>
        <w:bidi/>
        <w:spacing w:before="120" w:after="120" w:line="300" w:lineRule="auto"/>
        <w:ind w:left="714" w:hanging="357"/>
        <w:rPr>
          <w:rFonts w:ascii="Dubai" w:hAnsi="Dubai" w:cs="Dubai"/>
          <w:sz w:val="24"/>
          <w:szCs w:val="24"/>
        </w:rPr>
      </w:pPr>
      <w:r w:rsidRPr="00E6150E">
        <w:rPr>
          <w:rFonts w:ascii="Dubai" w:hAnsi="Dubai" w:cs="Dubai"/>
          <w:sz w:val="24"/>
          <w:szCs w:val="24"/>
          <w:rtl/>
          <w:lang w:val="ar"/>
        </w:rPr>
        <w:t>تعزز السياسات والعمليات والبرامج الخاصة بالأشخاص ذوي الإعاقة المساواة بين الجنسين وتمنع العنف ضد الفئات المعرضة لخطر متزايد، بما في ذلك النساء والأطفال. </w:t>
      </w:r>
    </w:p>
    <w:p w14:paraId="734D926B" w14:textId="77777777" w:rsidR="00950C03" w:rsidRPr="00E6150E" w:rsidRDefault="0088128A" w:rsidP="0063637C">
      <w:pPr>
        <w:pStyle w:val="NoSpacing"/>
        <w:numPr>
          <w:ilvl w:val="0"/>
          <w:numId w:val="41"/>
        </w:numPr>
        <w:bidi/>
        <w:spacing w:before="120" w:after="120" w:line="300" w:lineRule="auto"/>
        <w:rPr>
          <w:rFonts w:ascii="Dubai" w:hAnsi="Dubai" w:cs="Dubai"/>
          <w:sz w:val="24"/>
          <w:szCs w:val="24"/>
        </w:rPr>
      </w:pPr>
      <w:r w:rsidRPr="00E6150E">
        <w:rPr>
          <w:rFonts w:ascii="Dubai" w:hAnsi="Dubai" w:cs="Dubai"/>
          <w:sz w:val="24"/>
          <w:szCs w:val="24"/>
          <w:rtl/>
          <w:lang w:val="ar"/>
        </w:rPr>
        <w:t>توفر السياسات والعمليات والبرامج استجابات أفضل للأشخاص ذوي الإعاقة الذين عانوا من الصدمات. </w:t>
      </w:r>
    </w:p>
    <w:p w14:paraId="7A8780FB" w14:textId="11E649AE" w:rsidR="001B3CA2" w:rsidRPr="00E6150E" w:rsidRDefault="0088128A" w:rsidP="005145D2">
      <w:pPr>
        <w:pStyle w:val="NoSpacing"/>
        <w:bidi/>
        <w:spacing w:before="120" w:after="120" w:line="300" w:lineRule="auto"/>
        <w:rPr>
          <w:rFonts w:ascii="Dubai" w:hAnsi="Dubai" w:cs="Dubai"/>
          <w:sz w:val="24"/>
          <w:szCs w:val="24"/>
          <w:lang w:val="en-US"/>
        </w:rPr>
      </w:pPr>
      <w:r w:rsidRPr="00E6150E">
        <w:rPr>
          <w:rFonts w:ascii="Dubai" w:hAnsi="Dubai" w:cs="Dubai"/>
          <w:sz w:val="24"/>
          <w:szCs w:val="24"/>
          <w:rtl/>
          <w:lang w:val="ar"/>
        </w:rPr>
        <w:lastRenderedPageBreak/>
        <w:t>وينبغي أن تتضمن الأنشطة المتخذة تمشيًا مع خطة العمل المستهدفة هذه نُهُجًا مصممة خصيصًا لتمكين الأشخاص والجماعات الذين يواجهون حواجز متقاطعة وإشراكهم. يجب أن تنظر الإجراءات على وجه التحديد في كيفية تلبية احتياجات الأشخاص ذوي الإعاقة في المناطق الريفية والنائية، والأشخاص ذوي الإعاقة من الأمم الأولى، والأشخاص ذوي الإعاقة في المجتمعات المتنوعة ثقافيًا ولغويًا، والنساء والفتيات ذوات الإعاقة، والأشخاص ذوي الإعاقة الذين يُعرِّفون أنفسهم ضمن مجتمع الميم LGBTQIA+ والشباب ذوي الإعاقة.</w:t>
      </w:r>
    </w:p>
    <w:p w14:paraId="3B6C09AF" w14:textId="77777777" w:rsidR="00342FE6" w:rsidRPr="00E6150E" w:rsidRDefault="0088128A" w:rsidP="0063637C">
      <w:pPr>
        <w:pStyle w:val="Heading2"/>
        <w:bidi/>
        <w:spacing w:before="120" w:after="120" w:line="300" w:lineRule="auto"/>
        <w:rPr>
          <w:rFonts w:ascii="Dubai" w:hAnsi="Dubai" w:cs="Dubai"/>
          <w:color w:val="00492C"/>
          <w:sz w:val="28"/>
          <w:szCs w:val="28"/>
        </w:rPr>
      </w:pPr>
      <w:r w:rsidRPr="00E6150E">
        <w:rPr>
          <w:rFonts w:ascii="Dubai" w:hAnsi="Dubai" w:cs="Dubai"/>
          <w:color w:val="00492C"/>
          <w:sz w:val="28"/>
          <w:szCs w:val="28"/>
          <w:rtl/>
          <w:lang w:val="ar"/>
        </w:rPr>
        <w:t>الإجراءات</w:t>
      </w:r>
    </w:p>
    <w:p w14:paraId="3ABC49BA" w14:textId="77777777" w:rsidR="00783501" w:rsidRPr="00E6150E" w:rsidRDefault="0088128A" w:rsidP="0063637C">
      <w:pPr>
        <w:pStyle w:val="NoSpacing"/>
        <w:bidi/>
        <w:spacing w:before="120" w:after="120" w:line="300" w:lineRule="auto"/>
        <w:rPr>
          <w:rFonts w:ascii="Dubai" w:hAnsi="Dubai" w:cs="Dubai"/>
          <w:sz w:val="24"/>
          <w:szCs w:val="24"/>
          <w:lang w:val="en-US"/>
        </w:rPr>
      </w:pPr>
      <w:r w:rsidRPr="00E6150E">
        <w:rPr>
          <w:rFonts w:ascii="Dubai" w:hAnsi="Dubai" w:cs="Dubai"/>
          <w:sz w:val="24"/>
          <w:szCs w:val="24"/>
          <w:rtl/>
          <w:lang w:val="ar"/>
        </w:rPr>
        <w:t>كجزء من مراجعة استراتيجية أستراليا للإعاقة (ADS)، قدم الأشخاص ذوو الإعاقة ملاحظات مفادها أنهم يريدون أن يركز عدد قليل من خطط العمل المستهدفة على القضايا ذات الأولوية العالية التي تؤثر على حياتهم اليومية. وتعكس خطة العمل المستهدفة هذه تلك الملاحظة. هناك عدد أقل من الإجراءات التي تسمح بنتائج أكثر تقدمية وذات مغزى يمكن الإبلاغ عنها.</w:t>
      </w:r>
    </w:p>
    <w:p w14:paraId="64654587" w14:textId="77777777" w:rsidR="00342FE6" w:rsidRPr="00E6150E" w:rsidRDefault="0088128A" w:rsidP="0063637C">
      <w:pPr>
        <w:pStyle w:val="NoSpacing"/>
        <w:bidi/>
        <w:spacing w:before="120" w:after="120" w:line="300" w:lineRule="auto"/>
        <w:rPr>
          <w:rFonts w:ascii="Dubai" w:hAnsi="Dubai" w:cs="Dubai"/>
          <w:sz w:val="24"/>
          <w:szCs w:val="24"/>
          <w:lang w:val="en-US"/>
        </w:rPr>
      </w:pPr>
      <w:r w:rsidRPr="00E6150E">
        <w:rPr>
          <w:rFonts w:ascii="Dubai" w:hAnsi="Dubai" w:cs="Dubai"/>
          <w:sz w:val="24"/>
          <w:szCs w:val="24"/>
          <w:rtl/>
          <w:lang w:val="ar"/>
        </w:rPr>
        <w:t>وتعكس الإجراءات أيضًا الآراء القائلة بأهمية وجود قدر أكبر من التنسيق والاتساق بين جميع مستويات الحكومة. تتضمن خطة العمل المستهدفة هذه 3 أهداف وإجراءات تمثل التزامًا من قبل كل من حكومة الكومنولث وحكومات الولايات والأقاليم. بالإضافة إلى ذلك، وحيثما يكون مناسبًا، أدرجت حكومات الولايات والأقاليم إجراءات خاصة بمجتمعها.</w:t>
      </w:r>
    </w:p>
    <w:p w14:paraId="1C292788" w14:textId="77777777" w:rsidR="002648D3" w:rsidRPr="00E6150E" w:rsidRDefault="0088128A" w:rsidP="0063637C">
      <w:pPr>
        <w:pStyle w:val="Heading2"/>
        <w:bidi/>
        <w:spacing w:before="120" w:after="120" w:line="300" w:lineRule="auto"/>
        <w:rPr>
          <w:rFonts w:ascii="Dubai" w:hAnsi="Dubai" w:cs="Dubai"/>
          <w:color w:val="00492C"/>
          <w:sz w:val="28"/>
          <w:szCs w:val="28"/>
        </w:rPr>
      </w:pPr>
      <w:r w:rsidRPr="00E6150E">
        <w:rPr>
          <w:rFonts w:ascii="Dubai" w:hAnsi="Dubai" w:cs="Dubai"/>
          <w:color w:val="00492C"/>
          <w:sz w:val="28"/>
          <w:szCs w:val="28"/>
          <w:rtl/>
          <w:lang w:val="ar"/>
        </w:rPr>
        <w:t>إشراك الأشخاص ذوي الإعاقة</w:t>
      </w:r>
    </w:p>
    <w:p w14:paraId="71DE5DED" w14:textId="77777777" w:rsidR="00EE21D7" w:rsidRPr="00E6150E" w:rsidRDefault="0088128A" w:rsidP="0063637C">
      <w:pPr>
        <w:pStyle w:val="NoSpacing"/>
        <w:bidi/>
        <w:spacing w:before="120" w:after="120" w:line="300" w:lineRule="auto"/>
        <w:rPr>
          <w:rFonts w:ascii="Dubai" w:hAnsi="Dubai" w:cs="Dubai"/>
          <w:sz w:val="24"/>
          <w:szCs w:val="24"/>
          <w:lang w:val="en-US"/>
        </w:rPr>
      </w:pPr>
      <w:r w:rsidRPr="00E6150E">
        <w:rPr>
          <w:rFonts w:ascii="Dubai" w:hAnsi="Dubai" w:cs="Dubai"/>
          <w:sz w:val="24"/>
          <w:szCs w:val="24"/>
          <w:rtl/>
          <w:lang w:val="ar"/>
        </w:rPr>
        <w:t>ولضمان أن تسترشد كل خطة عمل مستهدفة بالسياقات المجتمعية، ستعمل الحكومات المسؤولة في شراكة مع الحكومة المحلية ومنظمات الإعاقة على مدار تنفيذها. وستكون النُهُج المتبعة في هذه العملية محددة لكل مجتمع محلي وتبدأ قبل اتخاذ الإجراءات الأولية. من خلال المشاركة المبكرة، ستكون أصوات الأشخاص ذوي الإعاقة والمنظمات التي تمثلهم حاسمة في إبلاغ النُهُج الأولية والاستراتيجية الشاملة لكل خطة عمل مستهدفة.  </w:t>
      </w:r>
    </w:p>
    <w:p w14:paraId="7AC63EE9" w14:textId="77777777" w:rsidR="00971F12" w:rsidRPr="00E6150E" w:rsidRDefault="0088128A" w:rsidP="0063637C">
      <w:pPr>
        <w:pStyle w:val="Heading2"/>
        <w:bidi/>
        <w:spacing w:before="120" w:after="120" w:line="300" w:lineRule="auto"/>
        <w:rPr>
          <w:rFonts w:ascii="Dubai" w:hAnsi="Dubai" w:cs="Dubai"/>
          <w:color w:val="00492C"/>
          <w:sz w:val="28"/>
          <w:szCs w:val="28"/>
        </w:rPr>
      </w:pPr>
      <w:r w:rsidRPr="00E6150E">
        <w:rPr>
          <w:rFonts w:ascii="Dubai" w:hAnsi="Dubai" w:cs="Dubai"/>
          <w:color w:val="00492C"/>
          <w:sz w:val="28"/>
          <w:szCs w:val="28"/>
          <w:rtl/>
          <w:lang w:val="ar"/>
        </w:rPr>
        <w:t>الرصد والإبلاغ  </w:t>
      </w:r>
    </w:p>
    <w:p w14:paraId="22686D8D" w14:textId="77777777" w:rsidR="003A417C" w:rsidRPr="003A5281" w:rsidRDefault="0088128A" w:rsidP="0063637C">
      <w:pPr>
        <w:pStyle w:val="NoSpacing"/>
        <w:bidi/>
        <w:spacing w:before="120" w:after="120" w:line="300" w:lineRule="auto"/>
        <w:rPr>
          <w:rFonts w:ascii="Dubai" w:hAnsi="Dubai" w:cs="Dubai"/>
          <w:spacing w:val="-4"/>
          <w:sz w:val="24"/>
          <w:szCs w:val="24"/>
        </w:rPr>
      </w:pPr>
      <w:r w:rsidRPr="003A5281">
        <w:rPr>
          <w:rFonts w:ascii="Dubai" w:hAnsi="Dubai" w:cs="Dubai"/>
          <w:spacing w:val="-4"/>
          <w:sz w:val="24"/>
          <w:szCs w:val="24"/>
          <w:rtl/>
          <w:lang w:val="ar"/>
        </w:rPr>
        <w:t>سيتم تقديم التقارير المرحلية على أساس السنة المالية وسيتم نشرها بحلول نهاية ديسمبر/كانون الأول من كل عام. </w:t>
      </w:r>
    </w:p>
    <w:sectPr w:rsidR="003A417C" w:rsidRPr="003A5281" w:rsidSect="00BA091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4C2A" w14:textId="77777777" w:rsidR="00DE29E2" w:rsidRDefault="00DE29E2">
      <w:pPr>
        <w:spacing w:after="0" w:line="240" w:lineRule="auto"/>
      </w:pPr>
      <w:r>
        <w:separator/>
      </w:r>
    </w:p>
  </w:endnote>
  <w:endnote w:type="continuationSeparator" w:id="0">
    <w:p w14:paraId="58B9BF49" w14:textId="77777777" w:rsidR="00DE29E2" w:rsidRDefault="00DE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embedRegular r:id="rId1" w:fontKey="{5FDC41B6-66EE-4E10-80F2-1CA85A6E2612}"/>
    <w:embedBold r:id="rId2" w:fontKey="{C6B60D92-6543-4B80-AF70-2904C0C86316}"/>
    <w:embedBoldItalic r:id="rId3" w:fontKey="{9A0851AE-4E85-4C80-9F6F-178050FFA6D7}"/>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2E72"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790B"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50F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0082" w14:textId="77777777" w:rsidR="00DE29E2" w:rsidRDefault="00DE29E2">
      <w:pPr>
        <w:spacing w:after="0" w:line="240" w:lineRule="auto"/>
      </w:pPr>
      <w:r>
        <w:separator/>
      </w:r>
    </w:p>
  </w:footnote>
  <w:footnote w:type="continuationSeparator" w:id="0">
    <w:p w14:paraId="1A4BA4AD" w14:textId="77777777" w:rsidR="00DE29E2" w:rsidRDefault="00DE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D09E"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0100"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C939"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5C2"/>
    <w:multiLevelType w:val="multilevel"/>
    <w:tmpl w:val="14B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901"/>
    <w:multiLevelType w:val="multilevel"/>
    <w:tmpl w:val="A36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8491E"/>
    <w:multiLevelType w:val="multilevel"/>
    <w:tmpl w:val="A26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D6678"/>
    <w:multiLevelType w:val="multilevel"/>
    <w:tmpl w:val="BC4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97AB0"/>
    <w:multiLevelType w:val="multilevel"/>
    <w:tmpl w:val="253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4084A"/>
    <w:multiLevelType w:val="multilevel"/>
    <w:tmpl w:val="7E2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D3834"/>
    <w:multiLevelType w:val="multilevel"/>
    <w:tmpl w:val="E4D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049C2"/>
    <w:multiLevelType w:val="multilevel"/>
    <w:tmpl w:val="DA6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80D0E"/>
    <w:multiLevelType w:val="multilevel"/>
    <w:tmpl w:val="E29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01905"/>
    <w:multiLevelType w:val="multilevel"/>
    <w:tmpl w:val="0A94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72B1B"/>
    <w:multiLevelType w:val="multilevel"/>
    <w:tmpl w:val="D10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0B203B"/>
    <w:multiLevelType w:val="multilevel"/>
    <w:tmpl w:val="407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8277C"/>
    <w:multiLevelType w:val="multilevel"/>
    <w:tmpl w:val="EE34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92F58"/>
    <w:multiLevelType w:val="multilevel"/>
    <w:tmpl w:val="FBE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61E27"/>
    <w:multiLevelType w:val="multilevel"/>
    <w:tmpl w:val="E42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F5F7F"/>
    <w:multiLevelType w:val="multilevel"/>
    <w:tmpl w:val="A490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82DD2"/>
    <w:multiLevelType w:val="multilevel"/>
    <w:tmpl w:val="F43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2058A"/>
    <w:multiLevelType w:val="multilevel"/>
    <w:tmpl w:val="52D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212B4"/>
    <w:multiLevelType w:val="multilevel"/>
    <w:tmpl w:val="6EF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B2703"/>
    <w:multiLevelType w:val="multilevel"/>
    <w:tmpl w:val="D64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A14F4"/>
    <w:multiLevelType w:val="multilevel"/>
    <w:tmpl w:val="091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74863"/>
    <w:multiLevelType w:val="multilevel"/>
    <w:tmpl w:val="923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F5596F"/>
    <w:multiLevelType w:val="multilevel"/>
    <w:tmpl w:val="9F1C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509DD"/>
    <w:multiLevelType w:val="multilevel"/>
    <w:tmpl w:val="2DA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F25E9C"/>
    <w:multiLevelType w:val="multilevel"/>
    <w:tmpl w:val="C64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F3462"/>
    <w:multiLevelType w:val="multilevel"/>
    <w:tmpl w:val="A64A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C0549"/>
    <w:multiLevelType w:val="multilevel"/>
    <w:tmpl w:val="BFF8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74B5F"/>
    <w:multiLevelType w:val="hybridMultilevel"/>
    <w:tmpl w:val="761477A4"/>
    <w:lvl w:ilvl="0" w:tplc="28EC38AC">
      <w:start w:val="1"/>
      <w:numFmt w:val="bullet"/>
      <w:lvlText w:val=""/>
      <w:lvlJc w:val="left"/>
      <w:pPr>
        <w:ind w:left="720" w:hanging="360"/>
      </w:pPr>
      <w:rPr>
        <w:rFonts w:ascii="Symbol" w:hAnsi="Symbol" w:hint="default"/>
      </w:rPr>
    </w:lvl>
    <w:lvl w:ilvl="1" w:tplc="7368E130" w:tentative="1">
      <w:start w:val="1"/>
      <w:numFmt w:val="bullet"/>
      <w:lvlText w:val="o"/>
      <w:lvlJc w:val="left"/>
      <w:pPr>
        <w:ind w:left="1440" w:hanging="360"/>
      </w:pPr>
      <w:rPr>
        <w:rFonts w:ascii="Courier New" w:hAnsi="Courier New" w:cs="Courier New" w:hint="default"/>
      </w:rPr>
    </w:lvl>
    <w:lvl w:ilvl="2" w:tplc="7EA8972E" w:tentative="1">
      <w:start w:val="1"/>
      <w:numFmt w:val="bullet"/>
      <w:lvlText w:val=""/>
      <w:lvlJc w:val="left"/>
      <w:pPr>
        <w:ind w:left="2160" w:hanging="360"/>
      </w:pPr>
      <w:rPr>
        <w:rFonts w:ascii="Wingdings" w:hAnsi="Wingdings" w:hint="default"/>
      </w:rPr>
    </w:lvl>
    <w:lvl w:ilvl="3" w:tplc="3B6288B2" w:tentative="1">
      <w:start w:val="1"/>
      <w:numFmt w:val="bullet"/>
      <w:lvlText w:val=""/>
      <w:lvlJc w:val="left"/>
      <w:pPr>
        <w:ind w:left="2880" w:hanging="360"/>
      </w:pPr>
      <w:rPr>
        <w:rFonts w:ascii="Symbol" w:hAnsi="Symbol" w:hint="default"/>
      </w:rPr>
    </w:lvl>
    <w:lvl w:ilvl="4" w:tplc="9D9CEC82" w:tentative="1">
      <w:start w:val="1"/>
      <w:numFmt w:val="bullet"/>
      <w:lvlText w:val="o"/>
      <w:lvlJc w:val="left"/>
      <w:pPr>
        <w:ind w:left="3600" w:hanging="360"/>
      </w:pPr>
      <w:rPr>
        <w:rFonts w:ascii="Courier New" w:hAnsi="Courier New" w:cs="Courier New" w:hint="default"/>
      </w:rPr>
    </w:lvl>
    <w:lvl w:ilvl="5" w:tplc="F7F87C78" w:tentative="1">
      <w:start w:val="1"/>
      <w:numFmt w:val="bullet"/>
      <w:lvlText w:val=""/>
      <w:lvlJc w:val="left"/>
      <w:pPr>
        <w:ind w:left="4320" w:hanging="360"/>
      </w:pPr>
      <w:rPr>
        <w:rFonts w:ascii="Wingdings" w:hAnsi="Wingdings" w:hint="default"/>
      </w:rPr>
    </w:lvl>
    <w:lvl w:ilvl="6" w:tplc="8D440F76" w:tentative="1">
      <w:start w:val="1"/>
      <w:numFmt w:val="bullet"/>
      <w:lvlText w:val=""/>
      <w:lvlJc w:val="left"/>
      <w:pPr>
        <w:ind w:left="5040" w:hanging="360"/>
      </w:pPr>
      <w:rPr>
        <w:rFonts w:ascii="Symbol" w:hAnsi="Symbol" w:hint="default"/>
      </w:rPr>
    </w:lvl>
    <w:lvl w:ilvl="7" w:tplc="71F431F6" w:tentative="1">
      <w:start w:val="1"/>
      <w:numFmt w:val="bullet"/>
      <w:lvlText w:val="o"/>
      <w:lvlJc w:val="left"/>
      <w:pPr>
        <w:ind w:left="5760" w:hanging="360"/>
      </w:pPr>
      <w:rPr>
        <w:rFonts w:ascii="Courier New" w:hAnsi="Courier New" w:cs="Courier New" w:hint="default"/>
      </w:rPr>
    </w:lvl>
    <w:lvl w:ilvl="8" w:tplc="338AC0D0" w:tentative="1">
      <w:start w:val="1"/>
      <w:numFmt w:val="bullet"/>
      <w:lvlText w:val=""/>
      <w:lvlJc w:val="left"/>
      <w:pPr>
        <w:ind w:left="6480" w:hanging="360"/>
      </w:pPr>
      <w:rPr>
        <w:rFonts w:ascii="Wingdings" w:hAnsi="Wingdings" w:hint="default"/>
      </w:rPr>
    </w:lvl>
  </w:abstractNum>
  <w:abstractNum w:abstractNumId="32" w15:restartNumberingAfterBreak="0">
    <w:nsid w:val="5CD408FD"/>
    <w:multiLevelType w:val="multilevel"/>
    <w:tmpl w:val="FBA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BD794B"/>
    <w:multiLevelType w:val="multilevel"/>
    <w:tmpl w:val="E5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1D5AAD"/>
    <w:multiLevelType w:val="multilevel"/>
    <w:tmpl w:val="DB7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B4118"/>
    <w:multiLevelType w:val="multilevel"/>
    <w:tmpl w:val="F88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630DFE"/>
    <w:multiLevelType w:val="multilevel"/>
    <w:tmpl w:val="EF3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8333D"/>
    <w:multiLevelType w:val="multilevel"/>
    <w:tmpl w:val="D6FE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F47BF"/>
    <w:multiLevelType w:val="multilevel"/>
    <w:tmpl w:val="6E1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8480A"/>
    <w:multiLevelType w:val="multilevel"/>
    <w:tmpl w:val="DED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260BC"/>
    <w:multiLevelType w:val="multilevel"/>
    <w:tmpl w:val="B65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03777A"/>
    <w:multiLevelType w:val="multilevel"/>
    <w:tmpl w:val="89C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5F4DA0"/>
    <w:multiLevelType w:val="hybridMultilevel"/>
    <w:tmpl w:val="6400B6F0"/>
    <w:lvl w:ilvl="0" w:tplc="8B8889A0">
      <w:start w:val="1"/>
      <w:numFmt w:val="bullet"/>
      <w:lvlText w:val=""/>
      <w:lvlJc w:val="left"/>
      <w:pPr>
        <w:ind w:left="720" w:hanging="360"/>
      </w:pPr>
      <w:rPr>
        <w:rFonts w:ascii="Symbol" w:hAnsi="Symbol" w:hint="default"/>
      </w:rPr>
    </w:lvl>
    <w:lvl w:ilvl="1" w:tplc="28AA447E" w:tentative="1">
      <w:start w:val="1"/>
      <w:numFmt w:val="bullet"/>
      <w:lvlText w:val="o"/>
      <w:lvlJc w:val="left"/>
      <w:pPr>
        <w:ind w:left="1440" w:hanging="360"/>
      </w:pPr>
      <w:rPr>
        <w:rFonts w:ascii="Courier New" w:hAnsi="Courier New" w:cs="Courier New" w:hint="default"/>
      </w:rPr>
    </w:lvl>
    <w:lvl w:ilvl="2" w:tplc="2BCEDBDA" w:tentative="1">
      <w:start w:val="1"/>
      <w:numFmt w:val="bullet"/>
      <w:lvlText w:val=""/>
      <w:lvlJc w:val="left"/>
      <w:pPr>
        <w:ind w:left="2160" w:hanging="360"/>
      </w:pPr>
      <w:rPr>
        <w:rFonts w:ascii="Wingdings" w:hAnsi="Wingdings" w:hint="default"/>
      </w:rPr>
    </w:lvl>
    <w:lvl w:ilvl="3" w:tplc="FDB6B76C" w:tentative="1">
      <w:start w:val="1"/>
      <w:numFmt w:val="bullet"/>
      <w:lvlText w:val=""/>
      <w:lvlJc w:val="left"/>
      <w:pPr>
        <w:ind w:left="2880" w:hanging="360"/>
      </w:pPr>
      <w:rPr>
        <w:rFonts w:ascii="Symbol" w:hAnsi="Symbol" w:hint="default"/>
      </w:rPr>
    </w:lvl>
    <w:lvl w:ilvl="4" w:tplc="252EBD0A" w:tentative="1">
      <w:start w:val="1"/>
      <w:numFmt w:val="bullet"/>
      <w:lvlText w:val="o"/>
      <w:lvlJc w:val="left"/>
      <w:pPr>
        <w:ind w:left="3600" w:hanging="360"/>
      </w:pPr>
      <w:rPr>
        <w:rFonts w:ascii="Courier New" w:hAnsi="Courier New" w:cs="Courier New" w:hint="default"/>
      </w:rPr>
    </w:lvl>
    <w:lvl w:ilvl="5" w:tplc="AE1CE796" w:tentative="1">
      <w:start w:val="1"/>
      <w:numFmt w:val="bullet"/>
      <w:lvlText w:val=""/>
      <w:lvlJc w:val="left"/>
      <w:pPr>
        <w:ind w:left="4320" w:hanging="360"/>
      </w:pPr>
      <w:rPr>
        <w:rFonts w:ascii="Wingdings" w:hAnsi="Wingdings" w:hint="default"/>
      </w:rPr>
    </w:lvl>
    <w:lvl w:ilvl="6" w:tplc="166ED53A" w:tentative="1">
      <w:start w:val="1"/>
      <w:numFmt w:val="bullet"/>
      <w:lvlText w:val=""/>
      <w:lvlJc w:val="left"/>
      <w:pPr>
        <w:ind w:left="5040" w:hanging="360"/>
      </w:pPr>
      <w:rPr>
        <w:rFonts w:ascii="Symbol" w:hAnsi="Symbol" w:hint="default"/>
      </w:rPr>
    </w:lvl>
    <w:lvl w:ilvl="7" w:tplc="B79C8864" w:tentative="1">
      <w:start w:val="1"/>
      <w:numFmt w:val="bullet"/>
      <w:lvlText w:val="o"/>
      <w:lvlJc w:val="left"/>
      <w:pPr>
        <w:ind w:left="5760" w:hanging="360"/>
      </w:pPr>
      <w:rPr>
        <w:rFonts w:ascii="Courier New" w:hAnsi="Courier New" w:cs="Courier New" w:hint="default"/>
      </w:rPr>
    </w:lvl>
    <w:lvl w:ilvl="8" w:tplc="E5044574" w:tentative="1">
      <w:start w:val="1"/>
      <w:numFmt w:val="bullet"/>
      <w:lvlText w:val=""/>
      <w:lvlJc w:val="left"/>
      <w:pPr>
        <w:ind w:left="6480" w:hanging="360"/>
      </w:pPr>
      <w:rPr>
        <w:rFonts w:ascii="Wingdings" w:hAnsi="Wingdings" w:hint="default"/>
      </w:rPr>
    </w:lvl>
  </w:abstractNum>
  <w:abstractNum w:abstractNumId="43" w15:restartNumberingAfterBreak="0">
    <w:nsid w:val="79865272"/>
    <w:multiLevelType w:val="multilevel"/>
    <w:tmpl w:val="6D7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C1F16"/>
    <w:multiLevelType w:val="multilevel"/>
    <w:tmpl w:val="987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596944">
    <w:abstractNumId w:val="26"/>
  </w:num>
  <w:num w:numId="2" w16cid:durableId="1124040092">
    <w:abstractNumId w:val="44"/>
  </w:num>
  <w:num w:numId="3" w16cid:durableId="262224228">
    <w:abstractNumId w:val="35"/>
  </w:num>
  <w:num w:numId="4" w16cid:durableId="110709678">
    <w:abstractNumId w:val="37"/>
  </w:num>
  <w:num w:numId="5" w16cid:durableId="159396663">
    <w:abstractNumId w:val="21"/>
  </w:num>
  <w:num w:numId="6" w16cid:durableId="735399247">
    <w:abstractNumId w:val="11"/>
  </w:num>
  <w:num w:numId="7" w16cid:durableId="417823858">
    <w:abstractNumId w:val="17"/>
  </w:num>
  <w:num w:numId="8" w16cid:durableId="990983762">
    <w:abstractNumId w:val="9"/>
  </w:num>
  <w:num w:numId="9" w16cid:durableId="345792705">
    <w:abstractNumId w:val="16"/>
  </w:num>
  <w:num w:numId="10" w16cid:durableId="1985118155">
    <w:abstractNumId w:val="20"/>
  </w:num>
  <w:num w:numId="11" w16cid:durableId="406270808">
    <w:abstractNumId w:val="32"/>
  </w:num>
  <w:num w:numId="12" w16cid:durableId="1758747244">
    <w:abstractNumId w:val="13"/>
  </w:num>
  <w:num w:numId="13" w16cid:durableId="848521016">
    <w:abstractNumId w:val="15"/>
  </w:num>
  <w:num w:numId="14" w16cid:durableId="378169808">
    <w:abstractNumId w:val="29"/>
  </w:num>
  <w:num w:numId="15" w16cid:durableId="1873420023">
    <w:abstractNumId w:val="6"/>
  </w:num>
  <w:num w:numId="16" w16cid:durableId="1360737769">
    <w:abstractNumId w:val="34"/>
  </w:num>
  <w:num w:numId="17" w16cid:durableId="1742290368">
    <w:abstractNumId w:val="3"/>
  </w:num>
  <w:num w:numId="18" w16cid:durableId="1630084537">
    <w:abstractNumId w:val="2"/>
  </w:num>
  <w:num w:numId="19" w16cid:durableId="1552229879">
    <w:abstractNumId w:val="38"/>
  </w:num>
  <w:num w:numId="20" w16cid:durableId="1245191075">
    <w:abstractNumId w:val="24"/>
  </w:num>
  <w:num w:numId="21" w16cid:durableId="897207240">
    <w:abstractNumId w:val="5"/>
  </w:num>
  <w:num w:numId="22" w16cid:durableId="664825923">
    <w:abstractNumId w:val="43"/>
  </w:num>
  <w:num w:numId="23" w16cid:durableId="1875773572">
    <w:abstractNumId w:val="41"/>
  </w:num>
  <w:num w:numId="24" w16cid:durableId="1116364953">
    <w:abstractNumId w:val="4"/>
  </w:num>
  <w:num w:numId="25" w16cid:durableId="841621686">
    <w:abstractNumId w:val="23"/>
  </w:num>
  <w:num w:numId="26" w16cid:durableId="1852837181">
    <w:abstractNumId w:val="18"/>
  </w:num>
  <w:num w:numId="27" w16cid:durableId="282809918">
    <w:abstractNumId w:val="19"/>
  </w:num>
  <w:num w:numId="28" w16cid:durableId="1230456892">
    <w:abstractNumId w:val="1"/>
  </w:num>
  <w:num w:numId="29" w16cid:durableId="1089698643">
    <w:abstractNumId w:val="39"/>
  </w:num>
  <w:num w:numId="30" w16cid:durableId="1034381438">
    <w:abstractNumId w:val="33"/>
  </w:num>
  <w:num w:numId="31" w16cid:durableId="1412308724">
    <w:abstractNumId w:val="28"/>
  </w:num>
  <w:num w:numId="32" w16cid:durableId="1232929280">
    <w:abstractNumId w:val="40"/>
  </w:num>
  <w:num w:numId="33" w16cid:durableId="1245341340">
    <w:abstractNumId w:val="0"/>
  </w:num>
  <w:num w:numId="34" w16cid:durableId="1470710008">
    <w:abstractNumId w:val="30"/>
  </w:num>
  <w:num w:numId="35" w16cid:durableId="1563716432">
    <w:abstractNumId w:val="14"/>
  </w:num>
  <w:num w:numId="36" w16cid:durableId="1308120855">
    <w:abstractNumId w:val="31"/>
  </w:num>
  <w:num w:numId="37" w16cid:durableId="1412235670">
    <w:abstractNumId w:val="12"/>
  </w:num>
  <w:num w:numId="38" w16cid:durableId="537935775">
    <w:abstractNumId w:val="22"/>
  </w:num>
  <w:num w:numId="39" w16cid:durableId="989213122">
    <w:abstractNumId w:val="7"/>
  </w:num>
  <w:num w:numId="40" w16cid:durableId="1079062404">
    <w:abstractNumId w:val="10"/>
  </w:num>
  <w:num w:numId="41" w16cid:durableId="1100372491">
    <w:abstractNumId w:val="42"/>
  </w:num>
  <w:num w:numId="42" w16cid:durableId="588084293">
    <w:abstractNumId w:val="36"/>
  </w:num>
  <w:num w:numId="43" w16cid:durableId="1708093812">
    <w:abstractNumId w:val="25"/>
  </w:num>
  <w:num w:numId="44" w16cid:durableId="1343895936">
    <w:abstractNumId w:val="27"/>
  </w:num>
  <w:num w:numId="45" w16cid:durableId="957225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B"/>
    <w:rsid w:val="00005633"/>
    <w:rsid w:val="00007615"/>
    <w:rsid w:val="00067BF8"/>
    <w:rsid w:val="000869E7"/>
    <w:rsid w:val="000A7673"/>
    <w:rsid w:val="000B2FC8"/>
    <w:rsid w:val="000F6E8A"/>
    <w:rsid w:val="00125561"/>
    <w:rsid w:val="00150CF6"/>
    <w:rsid w:val="00151467"/>
    <w:rsid w:val="00161C84"/>
    <w:rsid w:val="0016291A"/>
    <w:rsid w:val="0019277F"/>
    <w:rsid w:val="001B03BE"/>
    <w:rsid w:val="001B3CA2"/>
    <w:rsid w:val="001C469D"/>
    <w:rsid w:val="001E530B"/>
    <w:rsid w:val="001E630D"/>
    <w:rsid w:val="001F321F"/>
    <w:rsid w:val="00206CB0"/>
    <w:rsid w:val="00222244"/>
    <w:rsid w:val="002648D3"/>
    <w:rsid w:val="00282336"/>
    <w:rsid w:val="00284DC9"/>
    <w:rsid w:val="002F71C6"/>
    <w:rsid w:val="003118CD"/>
    <w:rsid w:val="00314891"/>
    <w:rsid w:val="00326734"/>
    <w:rsid w:val="003270B4"/>
    <w:rsid w:val="00342FE6"/>
    <w:rsid w:val="00356F72"/>
    <w:rsid w:val="00371E4D"/>
    <w:rsid w:val="003746DB"/>
    <w:rsid w:val="003A417C"/>
    <w:rsid w:val="003A5281"/>
    <w:rsid w:val="003B1A53"/>
    <w:rsid w:val="003B2BB8"/>
    <w:rsid w:val="003D34FF"/>
    <w:rsid w:val="00401570"/>
    <w:rsid w:val="00413F4E"/>
    <w:rsid w:val="00430798"/>
    <w:rsid w:val="00432B37"/>
    <w:rsid w:val="00442F4B"/>
    <w:rsid w:val="004640DC"/>
    <w:rsid w:val="00493DED"/>
    <w:rsid w:val="004B2659"/>
    <w:rsid w:val="004B54CA"/>
    <w:rsid w:val="004E5CBF"/>
    <w:rsid w:val="005145D2"/>
    <w:rsid w:val="0058168F"/>
    <w:rsid w:val="005C36FA"/>
    <w:rsid w:val="005C3AA9"/>
    <w:rsid w:val="005E776D"/>
    <w:rsid w:val="005F6D14"/>
    <w:rsid w:val="006128E9"/>
    <w:rsid w:val="00621FC5"/>
    <w:rsid w:val="00635AD2"/>
    <w:rsid w:val="00635BD7"/>
    <w:rsid w:val="0063637C"/>
    <w:rsid w:val="00637B02"/>
    <w:rsid w:val="00650568"/>
    <w:rsid w:val="00683A84"/>
    <w:rsid w:val="006A4CE7"/>
    <w:rsid w:val="006A73C3"/>
    <w:rsid w:val="006D0AAC"/>
    <w:rsid w:val="006D2582"/>
    <w:rsid w:val="006D6D2B"/>
    <w:rsid w:val="006E15F3"/>
    <w:rsid w:val="007022D0"/>
    <w:rsid w:val="007170BD"/>
    <w:rsid w:val="00733214"/>
    <w:rsid w:val="00744F2A"/>
    <w:rsid w:val="0074560B"/>
    <w:rsid w:val="00747057"/>
    <w:rsid w:val="00764BEC"/>
    <w:rsid w:val="00783501"/>
    <w:rsid w:val="00785261"/>
    <w:rsid w:val="007A233A"/>
    <w:rsid w:val="007B0256"/>
    <w:rsid w:val="007C22E9"/>
    <w:rsid w:val="007D5061"/>
    <w:rsid w:val="007F5214"/>
    <w:rsid w:val="00802490"/>
    <w:rsid w:val="0083177B"/>
    <w:rsid w:val="0087736F"/>
    <w:rsid w:val="0088128A"/>
    <w:rsid w:val="008B30ED"/>
    <w:rsid w:val="008B7D1F"/>
    <w:rsid w:val="008D6B75"/>
    <w:rsid w:val="00921DDB"/>
    <w:rsid w:val="009225F0"/>
    <w:rsid w:val="0093462C"/>
    <w:rsid w:val="00950C03"/>
    <w:rsid w:val="00953795"/>
    <w:rsid w:val="009702C8"/>
    <w:rsid w:val="00970390"/>
    <w:rsid w:val="00971F12"/>
    <w:rsid w:val="00974189"/>
    <w:rsid w:val="00980CF1"/>
    <w:rsid w:val="009E32BE"/>
    <w:rsid w:val="009E7DA1"/>
    <w:rsid w:val="00A01651"/>
    <w:rsid w:val="00A33E81"/>
    <w:rsid w:val="00A7553C"/>
    <w:rsid w:val="00B0255A"/>
    <w:rsid w:val="00B04ED8"/>
    <w:rsid w:val="00B276FF"/>
    <w:rsid w:val="00B3406E"/>
    <w:rsid w:val="00B91E3E"/>
    <w:rsid w:val="00B94283"/>
    <w:rsid w:val="00BA0914"/>
    <w:rsid w:val="00BA2DB9"/>
    <w:rsid w:val="00BA5083"/>
    <w:rsid w:val="00BC726B"/>
    <w:rsid w:val="00BE7148"/>
    <w:rsid w:val="00C37986"/>
    <w:rsid w:val="00C5438C"/>
    <w:rsid w:val="00C712E7"/>
    <w:rsid w:val="00C76E67"/>
    <w:rsid w:val="00C80947"/>
    <w:rsid w:val="00C84DD7"/>
    <w:rsid w:val="00C92272"/>
    <w:rsid w:val="00CA3F3C"/>
    <w:rsid w:val="00CB5863"/>
    <w:rsid w:val="00CC0510"/>
    <w:rsid w:val="00D2794E"/>
    <w:rsid w:val="00D561E9"/>
    <w:rsid w:val="00D91940"/>
    <w:rsid w:val="00DA1DBB"/>
    <w:rsid w:val="00DA243A"/>
    <w:rsid w:val="00DD3F9A"/>
    <w:rsid w:val="00DE29E2"/>
    <w:rsid w:val="00DF2BFF"/>
    <w:rsid w:val="00DF44C2"/>
    <w:rsid w:val="00E273E4"/>
    <w:rsid w:val="00E27F13"/>
    <w:rsid w:val="00E500B8"/>
    <w:rsid w:val="00E6150E"/>
    <w:rsid w:val="00E8150E"/>
    <w:rsid w:val="00E863DB"/>
    <w:rsid w:val="00E90EA3"/>
    <w:rsid w:val="00EA151E"/>
    <w:rsid w:val="00EC2027"/>
    <w:rsid w:val="00EC4630"/>
    <w:rsid w:val="00ED1564"/>
    <w:rsid w:val="00EE0E1F"/>
    <w:rsid w:val="00EE21D7"/>
    <w:rsid w:val="00F12B3F"/>
    <w:rsid w:val="00F27956"/>
    <w:rsid w:val="00F30AFE"/>
    <w:rsid w:val="00F61542"/>
    <w:rsid w:val="00FF24DC"/>
    <w:rsid w:val="0346A071"/>
    <w:rsid w:val="336B6C12"/>
    <w:rsid w:val="3590D0ED"/>
    <w:rsid w:val="440E7518"/>
    <w:rsid w:val="674DBC82"/>
    <w:rsid w:val="68254F07"/>
    <w:rsid w:val="77CCDE4E"/>
    <w:rsid w:val="78BB87D1"/>
    <w:rsid w:val="7EBA0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5B87"/>
  <w15:chartTrackingRefBased/>
  <w15:docId w15:val="{F69DEECE-F253-4EF9-BF05-64F2935B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D6D2B"/>
    <w:rPr>
      <w:color w:val="0000FF" w:themeColor="hyperlink"/>
      <w:u w:val="single"/>
    </w:rPr>
  </w:style>
  <w:style w:type="character" w:customStyle="1" w:styleId="UnresolvedMention1">
    <w:name w:val="Unresolved Mention1"/>
    <w:basedOn w:val="DefaultParagraphFont"/>
    <w:uiPriority w:val="99"/>
    <w:semiHidden/>
    <w:unhideWhenUsed/>
    <w:rsid w:val="006D6D2B"/>
    <w:rPr>
      <w:color w:val="605E5C"/>
      <w:shd w:val="clear" w:color="auto" w:fill="E1DFDD"/>
    </w:rPr>
  </w:style>
  <w:style w:type="paragraph" w:styleId="BodyText">
    <w:name w:val="Body Text"/>
    <w:basedOn w:val="Normal"/>
    <w:link w:val="BodyTextChar"/>
    <w:uiPriority w:val="1"/>
    <w:unhideWhenUsed/>
    <w:qFormat/>
    <w:rsid w:val="00C92272"/>
    <w:pPr>
      <w:suppressAutoHyphens/>
      <w:autoSpaceDE w:val="0"/>
      <w:autoSpaceDN w:val="0"/>
      <w:adjustRightInd w:val="0"/>
      <w:spacing w:after="170" w:line="300" w:lineRule="auto"/>
      <w:textAlignment w:val="center"/>
    </w:pPr>
    <w:rPr>
      <w:rFonts w:cs="Arial"/>
      <w:color w:val="000000" w:themeColor="text1"/>
      <w:kern w:val="0"/>
      <w:sz w:val="24"/>
      <w:szCs w:val="24"/>
      <w:lang w:val="en-US"/>
      <w14:ligatures w14:val="none"/>
    </w:rPr>
  </w:style>
  <w:style w:type="character" w:customStyle="1" w:styleId="BodyTextChar">
    <w:name w:val="Body Text Char"/>
    <w:basedOn w:val="DefaultParagraphFont"/>
    <w:link w:val="BodyText"/>
    <w:uiPriority w:val="1"/>
    <w:rsid w:val="00C92272"/>
    <w:rPr>
      <w:rFonts w:ascii="Arial" w:hAnsi="Arial" w:cs="Arial"/>
      <w:color w:val="000000" w:themeColor="text1"/>
      <w:kern w:val="0"/>
      <w:sz w:val="24"/>
      <w:szCs w:val="24"/>
      <w:lang w:val="en-US"/>
      <w14:ligatures w14:val="none"/>
    </w:rPr>
  </w:style>
  <w:style w:type="paragraph" w:styleId="Revision">
    <w:name w:val="Revision"/>
    <w:hidden/>
    <w:uiPriority w:val="99"/>
    <w:semiHidden/>
    <w:rsid w:val="00E8150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49B33-73EA-40E4-88F4-04435D87B716}">
  <ds:schemaRefs>
    <ds:schemaRef ds:uri="http://schemas.microsoft.com/sharepoint/v3/contenttype/forms"/>
  </ds:schemaRefs>
</ds:datastoreItem>
</file>

<file path=customXml/itemProps2.xml><?xml version="1.0" encoding="utf-8"?>
<ds:datastoreItem xmlns:ds="http://schemas.openxmlformats.org/officeDocument/2006/customXml" ds:itemID="{1488815C-1247-4F10-B4A5-D5FF42FA0B1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352B5467-0281-4F35-9A6A-1B3CA138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السلامة والحقوق والعدالة</vt:lpstr>
    </vt:vector>
  </TitlesOfParts>
  <Company>Department of Social Services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السلامة والحقوق والعدالة خطة العمل المستهدفة</dc:title>
  <dc:creator>Department of Social Services</dc:creator>
  <cp:keywords>[SEC=OFFICIAL]</cp:keywords>
  <cp:lastModifiedBy>Thom Kiorgaard</cp:lastModifiedBy>
  <cp:revision>4</cp:revision>
  <cp:lastPrinted>2024-11-19T05:21:00Z</cp:lastPrinted>
  <dcterms:created xsi:type="dcterms:W3CDTF">2024-11-17T08:53:00Z</dcterms:created>
  <dcterms:modified xsi:type="dcterms:W3CDTF">2024-11-19T05:21:00Z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055a6eed8d6148119d119f8029326e27</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2024-10-14T00:38:45Z</vt:lpwstr>
  </property>
  <property fmtid="{D5CDD505-2E9C-101B-9397-08002B2CF9AE}" pid="10" name="MSIP_Label_eb34d90b-fc41-464d-af60-f74d721d0790_SiteId">
    <vt:lpwstr>61e36dd1-ca6e-4d61-aa0a-2b4eb88317a3</vt:lpwstr>
  </property>
  <property fmtid="{D5CDD505-2E9C-101B-9397-08002B2CF9AE}" pid="11" name="PMHMAC">
    <vt:lpwstr>v=2022.1;a=SHA256;h=0003C9FD1ABEAF90DE97E0B8CA8DA9C3A2F2C726EF24D30023491E1DF10A07EC</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05169B129F310995FDBE04179B9A12E5</vt:lpwstr>
  </property>
  <property fmtid="{D5CDD505-2E9C-101B-9397-08002B2CF9AE}" pid="17" name="PM_Hash_Salt_Prev">
    <vt:lpwstr>9F7CDC63CEABC32FB87A5BD3D7F7D420</vt:lpwstr>
  </property>
  <property fmtid="{D5CDD505-2E9C-101B-9397-08002B2CF9AE}" pid="18" name="PM_Hash_SHA1">
    <vt:lpwstr>C2A2E11C2BAB325913DA7B7A8CC4EAE237D83321</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6263931C64C840EF8FD90B3D05051CE4</vt:lpwstr>
  </property>
  <property fmtid="{D5CDD505-2E9C-101B-9397-08002B2CF9AE}" pid="25" name="PM_OriginationTimeStamp">
    <vt:lpwstr>2024-10-14T00:38:45Z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