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CE00" w14:textId="60F7799D" w:rsidR="00DF317D" w:rsidRPr="00EC00A0" w:rsidRDefault="00391B45" w:rsidP="00041577">
      <w:pPr>
        <w:tabs>
          <w:tab w:val="left" w:pos="2385"/>
        </w:tabs>
        <w:spacing w:before="10000" w:line="278" w:lineRule="auto"/>
        <w:rPr>
          <w:lang w:val="es-ES"/>
        </w:rPr>
      </w:pPr>
      <w:r w:rsidRPr="00EC00A0">
        <w:rPr>
          <w:noProof/>
          <w:lang w:val="es-ES"/>
        </w:rPr>
        <mc:AlternateContent>
          <mc:Choice Requires="wps">
            <w:drawing>
              <wp:anchor distT="0" distB="0" distL="114300" distR="114300" simplePos="0" relativeHeight="251662336" behindDoc="0" locked="0" layoutInCell="1" allowOverlap="1" wp14:anchorId="110176B2" wp14:editId="27C7575A">
                <wp:simplePos x="0" y="0"/>
                <wp:positionH relativeFrom="column">
                  <wp:posOffset>-334136</wp:posOffset>
                </wp:positionH>
                <wp:positionV relativeFrom="paragraph">
                  <wp:posOffset>2552065</wp:posOffset>
                </wp:positionV>
                <wp:extent cx="2335794" cy="506994"/>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335794" cy="506994"/>
                        </a:xfrm>
                        <a:prstGeom prst="rect">
                          <a:avLst/>
                        </a:prstGeom>
                        <a:noFill/>
                        <a:ln w="6350">
                          <a:noFill/>
                        </a:ln>
                      </wps:spPr>
                      <wps:txbx>
                        <w:txbxContent>
                          <w:p w14:paraId="227C21CA" w14:textId="7CAC8296" w:rsidR="00391B45" w:rsidRPr="00391B45" w:rsidRDefault="00391B45">
                            <w:pPr>
                              <w:rPr>
                                <w:color w:val="FFFFFF" w:themeColor="background1"/>
                                <w:sz w:val="32"/>
                                <w:szCs w:val="32"/>
                              </w:rPr>
                            </w:pPr>
                            <w:r w:rsidRPr="00391B45">
                              <w:rPr>
                                <w:color w:val="FFFFFF" w:themeColor="background1"/>
                                <w:sz w:val="32"/>
                                <w:szCs w:val="32"/>
                              </w:rPr>
                              <w:t>Spanish |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0176B2" id="_x0000_t202" coordsize="21600,21600" o:spt="202" path="m,l,21600r21600,l21600,xe">
                <v:stroke joinstyle="miter"/>
                <v:path gradientshapeok="t" o:connecttype="rect"/>
              </v:shapetype>
              <v:shape id="Text Box 1" o:spid="_x0000_s1026" type="#_x0000_t202" style="position:absolute;margin-left:-26.3pt;margin-top:200.95pt;width:183.9pt;height:3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ZFw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0fj8fRuPqGEY2yazuZoY5nk+rexzn8TUJNg5NQiLREt&#10;dtw436WeU0IzDetKqUiN0qTJ6Ww8TeMPlwgWVxp7XGcNlm93bb/ADooT7mWho9wZvq6w+YY5/8os&#10;coyroG79Cx5SATaB3qKkBPvrb/chH6HHKCUNaian7ueBWUGJ+q6RlPlwMgkii85kejdCx95GdrcR&#10;fagfAWU5xBdieDRDvldnU1qo31Heq9AVQ0xz7J1TfzYffadkfB5crFYxCWVlmN/oreGhdIAzQPvW&#10;vjNrevw9MvcMZ3Wx7AMNXW5HxOrgQVaRowBwh2qPO0oystw/n6D5Wz9mXR/58jcAAAD//wMAUEsD&#10;BBQABgAIAAAAIQCBPBwI4wAAAAsBAAAPAAAAZHJzL2Rvd25yZXYueG1sTI/BTsMwDIbvSLxDZCRu&#10;W9pCR1eaTlOlCQmxw8Yuu6VN1lYkTmmyrfD0mBMcbX/6/f3FarKGXfToe4cC4nkETGPjVI+tgMP7&#10;ZpYB80GiksahFvClPazK25tC5spdcacv+9AyCkGfSwFdCEPOuW86baWfu0Ej3U5utDLQOLZcjfJK&#10;4dbwJIoW3Moe6UMnB111uvnYn62A12qzlbs6sdm3qV7eTuvh83BMhbi/m9bPwIKewh8Mv/qkDiU5&#10;1e6MyjMjYJYmC0IFPEbxEhgRD3GaAKtpk8VPwMuC/+9Q/gAAAP//AwBQSwECLQAUAAYACAAAACEA&#10;toM4kv4AAADhAQAAEwAAAAAAAAAAAAAAAAAAAAAAW0NvbnRlbnRfVHlwZXNdLnhtbFBLAQItABQA&#10;BgAIAAAAIQA4/SH/1gAAAJQBAAALAAAAAAAAAAAAAAAAAC8BAABfcmVscy8ucmVsc1BLAQItABQA&#10;BgAIAAAAIQDnOxrZFwIAACwEAAAOAAAAAAAAAAAAAAAAAC4CAABkcnMvZTJvRG9jLnhtbFBLAQIt&#10;ABQABgAIAAAAIQCBPBwI4wAAAAsBAAAPAAAAAAAAAAAAAAAAAHEEAABkcnMvZG93bnJldi54bWxQ&#10;SwUGAAAAAAQABADzAAAAgQUAAAAA&#10;" filled="f" stroked="f" strokeweight=".5pt">
                <v:textbox>
                  <w:txbxContent>
                    <w:p w14:paraId="227C21CA" w14:textId="7CAC8296" w:rsidR="00391B45" w:rsidRPr="00391B45" w:rsidRDefault="00391B45">
                      <w:pPr>
                        <w:rPr>
                          <w:color w:val="FFFFFF" w:themeColor="background1"/>
                          <w:sz w:val="32"/>
                          <w:szCs w:val="32"/>
                        </w:rPr>
                      </w:pPr>
                      <w:r w:rsidRPr="00391B45">
                        <w:rPr>
                          <w:color w:val="FFFFFF" w:themeColor="background1"/>
                          <w:sz w:val="32"/>
                          <w:szCs w:val="32"/>
                        </w:rPr>
                        <w:t>Spanish | Español</w:t>
                      </w:r>
                    </w:p>
                  </w:txbxContent>
                </v:textbox>
              </v:shape>
            </w:pict>
          </mc:Fallback>
        </mc:AlternateContent>
      </w:r>
      <w:r w:rsidR="002E6486" w:rsidRPr="00EC00A0">
        <w:rPr>
          <w:noProof/>
          <w:lang w:val="es-ES"/>
        </w:rPr>
        <mc:AlternateContent>
          <mc:Choice Requires="wps">
            <w:drawing>
              <wp:anchor distT="45720" distB="45720" distL="114300" distR="114300" simplePos="0" relativeHeight="251659264" behindDoc="0" locked="0" layoutInCell="1" allowOverlap="1" wp14:anchorId="6C67D6B4" wp14:editId="6E592AD4">
                <wp:simplePos x="0" y="0"/>
                <wp:positionH relativeFrom="margin">
                  <wp:posOffset>-396875</wp:posOffset>
                </wp:positionH>
                <wp:positionV relativeFrom="page">
                  <wp:posOffset>4616780</wp:posOffset>
                </wp:positionV>
                <wp:extent cx="6524625" cy="5340350"/>
                <wp:effectExtent l="0" t="0" r="0" b="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340350"/>
                        </a:xfrm>
                        <a:prstGeom prst="rect">
                          <a:avLst/>
                        </a:prstGeom>
                        <a:noFill/>
                        <a:ln w="9525">
                          <a:noFill/>
                          <a:miter lim="800000"/>
                          <a:headEnd/>
                          <a:tailEnd/>
                        </a:ln>
                      </wps:spPr>
                      <wps:txbx>
                        <w:txbxContent>
                          <w:p w14:paraId="39E432C9" w14:textId="1B108983" w:rsidR="00DE654C" w:rsidRPr="00C16B56" w:rsidRDefault="001055E5" w:rsidP="00B575C7">
                            <w:pPr>
                              <w:pStyle w:val="BodyText"/>
                              <w:outlineLvl w:val="0"/>
                              <w:rPr>
                                <w:b/>
                                <w:bCs/>
                                <w:i/>
                                <w:iCs/>
                                <w:color w:val="FFFFFF" w:themeColor="background1"/>
                                <w:sz w:val="96"/>
                                <w:szCs w:val="96"/>
                              </w:rPr>
                            </w:pPr>
                            <w:r w:rsidRPr="001055E5">
                              <w:rPr>
                                <w:rFonts w:eastAsiaTheme="minorEastAsia"/>
                                <w:b/>
                                <w:bCs/>
                                <w:color w:val="FFFFFF" w:themeColor="background1"/>
                                <w:sz w:val="96"/>
                                <w:szCs w:val="96"/>
                                <w:lang w:val="es" w:eastAsia="ja-JP"/>
                              </w:rPr>
                              <w:t>Resumen del Plan de Acción Específica de Actitudes en la Comunidad</w:t>
                            </w:r>
                          </w:p>
                          <w:p w14:paraId="027D1BAB" w14:textId="77777777" w:rsidR="00DE654C" w:rsidRPr="00B575C7" w:rsidRDefault="00896268" w:rsidP="00B575C7">
                            <w:pPr>
                              <w:pStyle w:val="BodyText"/>
                              <w:outlineLvl w:val="0"/>
                              <w:rPr>
                                <w:b/>
                                <w:bCs/>
                                <w:color w:val="FFFFFF" w:themeColor="background1"/>
                                <w:sz w:val="96"/>
                                <w:szCs w:val="96"/>
                                <w:shd w:val="clear" w:color="auto" w:fill="563275"/>
                              </w:rPr>
                            </w:pPr>
                            <w:r w:rsidRPr="00C16B56">
                              <w:rPr>
                                <w:b/>
                                <w:bCs/>
                                <w:i/>
                                <w:iCs/>
                                <w:color w:val="FFFFFF" w:themeColor="background1"/>
                                <w:sz w:val="96"/>
                                <w:szCs w:val="96"/>
                                <w:lang w:val="es"/>
                              </w:rPr>
                              <w:t>2025 – 2027</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C67D6B4" id="Text Box 2" o:spid="_x0000_s1027" type="#_x0000_t202" alt="&quot;&quot;" style="position:absolute;margin-left:-31.25pt;margin-top:363.55pt;width:513.7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Ew4gEAAKEDAAAOAAAAZHJzL2Uyb0RvYy54bWysU8Fu2zAMvQ/YPwi6L3bSJuiMOEXXrrt0&#10;64CuH8DIcixMEjVJiZ19/SjZSYf2NswHgRKtR77Hp/X1YDQ7SB8U2prPZyVn0gpslN3V/PnH/Ycr&#10;zkIE24BGK2t+lIFfb96/W/eukgvsUDfSMwKxoepdzbsYXVUUQXTSQJihk5aSLXoDkbZ+VzQeekI3&#10;uliU5aro0TfOo5Ah0OndmOSbjN+2UsTHtg0yMl1z6i3m1ed1m9Zis4Zq58F1SkxtwD90YUBZKnqG&#10;uoMIbO/VGyijhMeAbZwJNAW2rRIycyA28/IVm6cOnMxcSJzgzjKF/wcrvh2e3HfP4vAJBxpgJhHc&#10;A4qfgVm87cDu5I332HcSGio8T5IVvQvVdDVJHaqQQLb9V2xoyLCPmIGG1pukCvFkhE4DOJ5Fl0Nk&#10;gg5Xy8XlarHkTFBueXFZXizzWAqoTtedD/GLRMNSUHNPU83wcHgIMbUD1emXVM3ivdI6T1Zb1tf8&#10;45LwX2WMimQ8rUzNr8r0jVZILD/bJl+OoPQYUwFtJ9qJ6cg5DtuBqWbSJKmwxeZIOngcfUbvgoIO&#10;/W/OevJYzcOvPXjJGVhBxzWPp/A2ZlOOTd6Qfq3KzF5Qp/Lkg0x48mwy2t/7/NfLy9r8AQAA//8D&#10;AFBLAwQUAAYACAAAACEA+/jhDuAAAAAMAQAADwAAAGRycy9kb3ducmV2LnhtbEyPy07DMBBF90j8&#10;gzVI7Fo7EUnbEKdCILZUlIfEzo2nSUQ8jmK3CX/fYQXL0Rzde265nV0vzjiGzpOGZKlAINXedtRo&#10;eH97XqxBhGjImt4TavjBANvq+qo0hfUTveJ5HxvBIRQKo6GNcSikDHWLzoSlH5D4d/SjM5HPsZF2&#10;NBOHu16mSuXSmY64oTUDPrZYf+9PTsPHy/Hr807tmieXDZOflSS3kVrf3swP9yAizvEPhl99VoeK&#10;nQ7+RDaIXsMiTzNGNazSVQKCiU2e8boDo1m+TkBWpfw/oroAAAD//wMAUEsBAi0AFAAGAAgAAAAh&#10;ALaDOJL+AAAA4QEAABMAAAAAAAAAAAAAAAAAAAAAAFtDb250ZW50X1R5cGVzXS54bWxQSwECLQAU&#10;AAYACAAAACEAOP0h/9YAAACUAQAACwAAAAAAAAAAAAAAAAAvAQAAX3JlbHMvLnJlbHNQSwECLQAU&#10;AAYACAAAACEAZCFRMOIBAAChAwAADgAAAAAAAAAAAAAAAAAuAgAAZHJzL2Uyb0RvYy54bWxQSwEC&#10;LQAUAAYACAAAACEA+/jhDuAAAAAMAQAADwAAAAAAAAAAAAAAAAA8BAAAZHJzL2Rvd25yZXYueG1s&#10;UEsFBgAAAAAEAAQA8wAAAEkFAAAAAA==&#10;" filled="f" stroked="f">
                <v:textbox>
                  <w:txbxContent>
                    <w:p w14:paraId="39E432C9" w14:textId="1B108983" w:rsidR="00DE654C" w:rsidRPr="00C16B56" w:rsidRDefault="001055E5" w:rsidP="00B575C7">
                      <w:pPr>
                        <w:pStyle w:val="BodyText"/>
                        <w:outlineLvl w:val="0"/>
                        <w:rPr>
                          <w:b/>
                          <w:bCs/>
                          <w:i/>
                          <w:iCs/>
                          <w:color w:val="FFFFFF" w:themeColor="background1"/>
                          <w:sz w:val="96"/>
                          <w:szCs w:val="96"/>
                        </w:rPr>
                      </w:pPr>
                      <w:r w:rsidRPr="001055E5">
                        <w:rPr>
                          <w:rFonts w:eastAsiaTheme="minorEastAsia"/>
                          <w:b/>
                          <w:bCs/>
                          <w:color w:val="FFFFFF" w:themeColor="background1"/>
                          <w:sz w:val="96"/>
                          <w:szCs w:val="96"/>
                          <w:lang w:val="es" w:eastAsia="ja-JP"/>
                        </w:rPr>
                        <w:t>Resumen del Plan de Acción Específica de Actitudes en la Comunidad</w:t>
                      </w:r>
                    </w:p>
                    <w:p w14:paraId="027D1BAB" w14:textId="77777777" w:rsidR="00DE654C" w:rsidRPr="00B575C7" w:rsidRDefault="00896268" w:rsidP="00B575C7">
                      <w:pPr>
                        <w:pStyle w:val="BodyText"/>
                        <w:outlineLvl w:val="0"/>
                        <w:rPr>
                          <w:b/>
                          <w:bCs/>
                          <w:color w:val="FFFFFF" w:themeColor="background1"/>
                          <w:sz w:val="96"/>
                          <w:szCs w:val="96"/>
                          <w:shd w:val="clear" w:color="auto" w:fill="563275"/>
                        </w:rPr>
                      </w:pPr>
                      <w:r w:rsidRPr="00C16B56">
                        <w:rPr>
                          <w:b/>
                          <w:bCs/>
                          <w:i/>
                          <w:iCs/>
                          <w:color w:val="FFFFFF" w:themeColor="background1"/>
                          <w:sz w:val="96"/>
                          <w:szCs w:val="96"/>
                          <w:lang w:val="es"/>
                        </w:rPr>
                        <w:t>2025 – 2027</w:t>
                      </w:r>
                    </w:p>
                  </w:txbxContent>
                </v:textbox>
                <w10:wrap type="topAndBottom" anchorx="margin" anchory="page"/>
              </v:shape>
            </w:pict>
          </mc:Fallback>
        </mc:AlternateContent>
      </w:r>
      <w:r w:rsidR="002E6486" w:rsidRPr="00EC00A0">
        <w:rPr>
          <w:noProof/>
          <w:lang w:val="es-ES"/>
        </w:rPr>
        <w:drawing>
          <wp:anchor distT="0" distB="900430" distL="114300" distR="2700655" simplePos="0" relativeHeight="251660288" behindDoc="1" locked="1" layoutInCell="1" allowOverlap="0" wp14:anchorId="1E025D83" wp14:editId="5BCA22C9">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36972" name="Picture 198599949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C16B56" w:rsidRPr="00EC00A0">
        <w:rPr>
          <w:noProof/>
          <w:lang w:val="es-ES"/>
        </w:rPr>
        <w:drawing>
          <wp:anchor distT="0" distB="0" distL="114300" distR="114300" simplePos="0" relativeHeight="251661312" behindDoc="1" locked="0" layoutInCell="1" allowOverlap="1" wp14:anchorId="74A55BB2" wp14:editId="6B533B44">
            <wp:simplePos x="0" y="0"/>
            <wp:positionH relativeFrom="page">
              <wp:align>left</wp:align>
            </wp:positionH>
            <wp:positionV relativeFrom="page">
              <wp:align>bottom</wp:align>
            </wp:positionV>
            <wp:extent cx="7538156" cy="7549792"/>
            <wp:effectExtent l="0" t="0" r="5715" b="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29143"/>
                    <a:stretch>
                      <a:fillRect/>
                    </a:stretch>
                  </pic:blipFill>
                  <pic:spPr bwMode="auto">
                    <a:xfrm>
                      <a:off x="0" y="0"/>
                      <a:ext cx="7538156" cy="75497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F68EDE" w14:textId="77777777" w:rsidR="00990613" w:rsidRPr="00EC00A0" w:rsidRDefault="00896268" w:rsidP="0002353A">
      <w:pPr>
        <w:pStyle w:val="Heading2"/>
        <w:spacing w:before="0" w:after="100" w:line="276" w:lineRule="auto"/>
        <w:rPr>
          <w:lang w:val="es-ES"/>
        </w:rPr>
      </w:pPr>
      <w:r w:rsidRPr="00EC00A0">
        <w:rPr>
          <w:rFonts w:asciiTheme="minorHAnsi" w:hAnsiTheme="minorHAnsi" w:cstheme="minorHAnsi"/>
          <w:color w:val="00492C"/>
          <w:sz w:val="28"/>
          <w:szCs w:val="28"/>
          <w:lang w:val="es-ES"/>
        </w:rPr>
        <w:lastRenderedPageBreak/>
        <w:t>Visión general del Plan de Acción Específica sobre Actitudes en la Comunidad</w:t>
      </w:r>
    </w:p>
    <w:p w14:paraId="78D3D5AD" w14:textId="77777777" w:rsidR="00B421A4" w:rsidRPr="00EC00A0" w:rsidRDefault="00896268" w:rsidP="0002353A">
      <w:pPr>
        <w:pStyle w:val="BodyText"/>
        <w:spacing w:after="100" w:line="276" w:lineRule="auto"/>
        <w:rPr>
          <w:rFonts w:asciiTheme="minorHAnsi" w:hAnsiTheme="minorHAnsi" w:cstheme="minorBidi"/>
          <w:lang w:val="es-ES"/>
        </w:rPr>
      </w:pPr>
      <w:r w:rsidRPr="00EC00A0">
        <w:rPr>
          <w:rFonts w:asciiTheme="minorHAnsi" w:hAnsiTheme="minorHAnsi" w:cstheme="minorBidi"/>
          <w:lang w:val="es-ES"/>
        </w:rPr>
        <w:t xml:space="preserve">El Plan de Acción Específica (TAP) sobre Actitudes en la Comunidad establece acciones clave para mejorar la situación de las personas con discapacidad en relación con su inclusión y participación en la sociedad australiana. </w:t>
      </w:r>
      <w:bookmarkStart w:id="0" w:name="_Hlk178691496"/>
      <w:r w:rsidRPr="00EC00A0">
        <w:rPr>
          <w:rFonts w:asciiTheme="minorHAnsi" w:hAnsiTheme="minorHAnsi" w:cstheme="minorBidi"/>
          <w:lang w:val="es-ES"/>
        </w:rPr>
        <w:t>El TAP de Actitudes en la Comunidad se basa en las recomendaciones de la Comisión Real sobre Violencia, Maltrato, Abandono y Explotación de las Personas con Discapacidad (Royal Commission into Violence, Abuse, Neglect and Exploitation of people with Disability, DRC), y refleja las prioridades de la comunidad de las personas con discapacidad.</w:t>
      </w:r>
      <w:bookmarkEnd w:id="0"/>
      <w:r w:rsidRPr="00EC00A0">
        <w:rPr>
          <w:rFonts w:asciiTheme="minorHAnsi" w:hAnsiTheme="minorHAnsi" w:cstheme="minorBidi"/>
          <w:lang w:val="es-ES"/>
        </w:rPr>
        <w:t xml:space="preserve"> </w:t>
      </w:r>
    </w:p>
    <w:p w14:paraId="71B957CA" w14:textId="77777777" w:rsidR="00990613" w:rsidRPr="00EC00A0" w:rsidRDefault="00896268" w:rsidP="0002353A">
      <w:pPr>
        <w:pStyle w:val="BodyText"/>
        <w:spacing w:after="100" w:line="276" w:lineRule="auto"/>
        <w:rPr>
          <w:rFonts w:asciiTheme="minorHAnsi" w:hAnsiTheme="minorHAnsi" w:cstheme="minorHAnsi"/>
          <w:lang w:val="es-ES"/>
        </w:rPr>
      </w:pPr>
      <w:r w:rsidRPr="00EC00A0">
        <w:rPr>
          <w:rFonts w:asciiTheme="minorHAnsi" w:hAnsiTheme="minorHAnsi" w:cstheme="minorBidi"/>
          <w:lang w:val="es-ES"/>
        </w:rPr>
        <w:t>Para más información sobre los TAP y su desarrollo, consulte el documento de información general de los TAP.</w:t>
      </w:r>
    </w:p>
    <w:p w14:paraId="6E69C9A8" w14:textId="77777777" w:rsidR="00990613" w:rsidRPr="00EC00A0" w:rsidRDefault="00896268" w:rsidP="0002353A">
      <w:pPr>
        <w:pStyle w:val="Heading2"/>
        <w:spacing w:before="0" w:after="100" w:line="276" w:lineRule="auto"/>
        <w:rPr>
          <w:rFonts w:asciiTheme="minorHAnsi" w:hAnsiTheme="minorHAnsi" w:cstheme="minorHAnsi"/>
          <w:color w:val="00492C"/>
          <w:sz w:val="28"/>
          <w:szCs w:val="28"/>
          <w:lang w:val="es-ES"/>
        </w:rPr>
      </w:pPr>
      <w:r w:rsidRPr="00EC00A0">
        <w:rPr>
          <w:rFonts w:asciiTheme="minorHAnsi" w:hAnsiTheme="minorHAnsi" w:cstheme="minorHAnsi"/>
          <w:color w:val="00492C"/>
          <w:sz w:val="28"/>
          <w:szCs w:val="28"/>
          <w:lang w:val="es-ES"/>
        </w:rPr>
        <w:t>Situación actual</w:t>
      </w:r>
    </w:p>
    <w:p w14:paraId="6B6A13CF" w14:textId="77777777" w:rsidR="00C014E9" w:rsidRPr="00EC00A0" w:rsidRDefault="00896268" w:rsidP="0002353A">
      <w:pPr>
        <w:spacing w:after="100" w:line="276" w:lineRule="auto"/>
        <w:rPr>
          <w:rFonts w:eastAsia="Calibri"/>
          <w:vertAlign w:val="superscript"/>
          <w:lang w:val="es-ES"/>
        </w:rPr>
      </w:pPr>
      <w:r w:rsidRPr="00EC00A0">
        <w:rPr>
          <w:rFonts w:eastAsia="Calibri"/>
          <w:lang w:val="es-ES"/>
        </w:rPr>
        <w:t>El Informe Final de la DRC nos recuerda que tenemos la obligación, según la Convención de las Naciones Unidas sobre los Derechos de las Personas con Discapacidad (CDPD), de concientizar y combatir las actitudes negativas hacia la discapacidad.</w:t>
      </w:r>
    </w:p>
    <w:p w14:paraId="5F86EE0C" w14:textId="77777777" w:rsidR="009B3233" w:rsidRPr="00EC00A0" w:rsidRDefault="00896268" w:rsidP="009B3233">
      <w:pPr>
        <w:spacing w:after="120" w:line="276" w:lineRule="auto"/>
        <w:rPr>
          <w:rFonts w:eastAsia="Calibri"/>
          <w:lang w:val="es-ES"/>
        </w:rPr>
      </w:pPr>
      <w:r w:rsidRPr="00EC00A0">
        <w:rPr>
          <w:rFonts w:eastAsia="Calibri"/>
          <w:lang w:val="es-ES"/>
        </w:rPr>
        <w:t xml:space="preserve">En el primer Foro Nacional de la ADS (2022), un tema recurrente entre los participantes fue la eliminación de barreras mediante la mejora de las actitudes en la comunidad. Por ejemplo, los participantes en el foro señalaron que mejorar las actitudes en la comunidad aumentaría las oportunidades de empleo, el acceso a la atención sanitaria y mejoraría las experiencias educativas. </w:t>
      </w:r>
    </w:p>
    <w:p w14:paraId="56673A52" w14:textId="77777777" w:rsidR="00043520" w:rsidRPr="00EC00A0" w:rsidRDefault="00896268" w:rsidP="0002353A">
      <w:pPr>
        <w:spacing w:after="100" w:line="276" w:lineRule="auto"/>
        <w:rPr>
          <w:rFonts w:eastAsia="Calibri"/>
          <w:vertAlign w:val="superscript"/>
          <w:lang w:val="es-ES"/>
        </w:rPr>
      </w:pPr>
      <w:r w:rsidRPr="00EC00A0">
        <w:rPr>
          <w:rFonts w:eastAsia="Calibri"/>
          <w:lang w:val="es-ES"/>
        </w:rPr>
        <w:t>Además, durante el desarrollo de la ADS, las personas con discapacidad nos hicieron saber que les preocupaba específicamente la falta de concientización y formación en discapacidad en sectores clave que les afectan, como los profesionales de la salud, los educadores y los sectores de la justicia y los servicios sociales.</w:t>
      </w:r>
    </w:p>
    <w:p w14:paraId="51352E36" w14:textId="77777777" w:rsidR="009A3AC5" w:rsidRPr="00EC00A0" w:rsidRDefault="00896268" w:rsidP="0002353A">
      <w:pPr>
        <w:spacing w:after="100"/>
        <w:rPr>
          <w:rFonts w:eastAsia="Calibri"/>
          <w:vertAlign w:val="superscript"/>
          <w:lang w:val="es-ES"/>
        </w:rPr>
      </w:pPr>
      <w:r w:rsidRPr="00EC00A0">
        <w:rPr>
          <w:rFonts w:eastAsia="Calibri"/>
          <w:lang w:val="es-ES"/>
        </w:rPr>
        <w:t xml:space="preserve">Las personas con discapacidad están muy subrepresentadas en consejos, en la política y en otros puestos de liderazgo de la sociedad australiana. En 2022, solo 1 de cada 5 (19 %) personas con discapacidad se sintieron representadas en puestos de liderazgo. Los participantes en el Foro Nacional de la ADS (2022) y en el Foro Estatal de la ADS de Queensland (2023) consideraron importante aumentar la representación de las personas con discapacidad en puestos de liderazgo. Los participantes lo consideraron fundamental para cambiar las actitudes en la comunidad y fomentar la inclusión, y apoyaron el aumento de oportunidades para que las personas con discapacidad asuman funciones de liderazgo. </w:t>
      </w:r>
    </w:p>
    <w:p w14:paraId="003A9FF8" w14:textId="77777777" w:rsidR="00A93C2C" w:rsidRPr="00EC00A0" w:rsidRDefault="00896268" w:rsidP="0002353A">
      <w:pPr>
        <w:spacing w:after="100" w:line="276" w:lineRule="auto"/>
        <w:rPr>
          <w:rFonts w:eastAsia="Calibri"/>
          <w:lang w:val="es-ES"/>
        </w:rPr>
      </w:pPr>
      <w:bookmarkStart w:id="1" w:name="_Hlk176524088"/>
      <w:r w:rsidRPr="00EC00A0">
        <w:rPr>
          <w:rFonts w:eastAsia="Calibri"/>
          <w:lang w:val="es-ES"/>
        </w:rPr>
        <w:t xml:space="preserve">Es importante señalar que las personas con discapacidad de las Primeras Naciones sufren una marginación única en Australia, ya que las concepciones culturales de la inclusión no coinciden con los conceptos occidentales de la discapacidad, en particular el énfasis en el deterioro individual por encima del bienestar colectivo. </w:t>
      </w:r>
    </w:p>
    <w:bookmarkEnd w:id="1"/>
    <w:p w14:paraId="6417921B" w14:textId="77777777" w:rsidR="00AB2CFB" w:rsidRPr="00EC00A0" w:rsidRDefault="00896268" w:rsidP="0002353A">
      <w:pPr>
        <w:spacing w:after="100" w:line="276" w:lineRule="auto"/>
        <w:rPr>
          <w:rFonts w:eastAsia="Calibri"/>
          <w:lang w:val="es-ES"/>
        </w:rPr>
      </w:pPr>
      <w:r w:rsidRPr="00EC00A0">
        <w:rPr>
          <w:rFonts w:eastAsia="Calibri"/>
          <w:lang w:val="es-ES"/>
        </w:rPr>
        <w:lastRenderedPageBreak/>
        <w:t>A través de su Informe Final, la DRC afirma que "la insistencia de las personas con discapacidad en que los Gobiernos y las organizaciones no hagan 'nada sobre nosotros sin nosotros' destaca la importancia de su inclusión en todos los aspectos de la vida política, social, económica y cultural".</w:t>
      </w:r>
    </w:p>
    <w:p w14:paraId="774D0BAB" w14:textId="77777777" w:rsidR="00990613" w:rsidRPr="00EC00A0" w:rsidRDefault="00896268" w:rsidP="0002353A">
      <w:pPr>
        <w:pStyle w:val="Heading2"/>
        <w:spacing w:before="0" w:after="100" w:line="276" w:lineRule="auto"/>
        <w:rPr>
          <w:rFonts w:asciiTheme="minorHAnsi" w:hAnsiTheme="minorHAnsi" w:cstheme="minorHAnsi"/>
          <w:color w:val="00492C"/>
          <w:sz w:val="28"/>
          <w:szCs w:val="28"/>
          <w:lang w:val="es-ES"/>
        </w:rPr>
      </w:pPr>
      <w:r w:rsidRPr="00EC00A0">
        <w:rPr>
          <w:rFonts w:asciiTheme="minorHAnsi" w:hAnsiTheme="minorHAnsi" w:cstheme="minorHAnsi"/>
          <w:color w:val="00492C"/>
          <w:sz w:val="28"/>
          <w:szCs w:val="28"/>
          <w:lang w:val="es-ES"/>
        </w:rPr>
        <w:t>Resultados y objetivos clave</w:t>
      </w:r>
    </w:p>
    <w:p w14:paraId="61C5A2FE" w14:textId="77777777" w:rsidR="00C413F7" w:rsidRPr="00EC00A0" w:rsidRDefault="00896268" w:rsidP="00C413F7">
      <w:pPr>
        <w:rPr>
          <w:lang w:val="es-ES"/>
        </w:rPr>
      </w:pPr>
      <w:r w:rsidRPr="00EC00A0">
        <w:rPr>
          <w:lang w:val="es-ES"/>
        </w:rPr>
        <w:t>El área de resultados sobre las Actitudes en la Comunidad de la ADS busca garantizar que las actitudes en la comunidad apoyen la igualdad, la inclusión y la participación en la sociedad de las personas con discapacidad.</w:t>
      </w:r>
    </w:p>
    <w:p w14:paraId="760ADE7C" w14:textId="77777777" w:rsidR="00D87308" w:rsidRPr="00EC00A0" w:rsidRDefault="00896268" w:rsidP="0002353A">
      <w:pPr>
        <w:spacing w:after="100"/>
        <w:rPr>
          <w:lang w:val="es-ES"/>
        </w:rPr>
      </w:pPr>
      <w:r w:rsidRPr="00EC00A0">
        <w:rPr>
          <w:lang w:val="es-ES"/>
        </w:rPr>
        <w:t>El TAP sobre Actitudes en la Comunidad busca hacer de Australia un lugar donde la comunidad sea integradora y las personas con discapacidad sean tratadas como iguales.</w:t>
      </w:r>
    </w:p>
    <w:p w14:paraId="1A0630B0" w14:textId="77777777" w:rsidR="00D87308" w:rsidRPr="00EC00A0" w:rsidRDefault="00896268" w:rsidP="007051FE">
      <w:pPr>
        <w:keepNext/>
        <w:spacing w:after="100" w:line="278" w:lineRule="auto"/>
        <w:rPr>
          <w:lang w:val="es-ES"/>
        </w:rPr>
      </w:pPr>
      <w:r w:rsidRPr="00EC00A0">
        <w:rPr>
          <w:lang w:val="es-ES"/>
        </w:rPr>
        <w:t>Este TAP tiene los siguientes objetivos:</w:t>
      </w:r>
    </w:p>
    <w:p w14:paraId="7A868A4E" w14:textId="77777777" w:rsidR="00D87308" w:rsidRPr="00EC00A0" w:rsidRDefault="00896268" w:rsidP="0002353A">
      <w:pPr>
        <w:pStyle w:val="ListParagraph"/>
        <w:numPr>
          <w:ilvl w:val="0"/>
          <w:numId w:val="9"/>
        </w:numPr>
        <w:spacing w:after="100"/>
        <w:rPr>
          <w:lang w:val="es-ES"/>
        </w:rPr>
      </w:pPr>
      <w:r w:rsidRPr="00EC00A0">
        <w:rPr>
          <w:lang w:val="es-ES"/>
        </w:rPr>
        <w:t>Aumento en la representación de personas con discapacidad en puestos de liderazgo.</w:t>
      </w:r>
    </w:p>
    <w:p w14:paraId="1674BF49" w14:textId="77777777" w:rsidR="00572C89" w:rsidRPr="00EC00A0" w:rsidRDefault="00896268" w:rsidP="0002353A">
      <w:pPr>
        <w:pStyle w:val="ListParagraph"/>
        <w:numPr>
          <w:ilvl w:val="0"/>
          <w:numId w:val="9"/>
        </w:numPr>
        <w:spacing w:after="100"/>
        <w:rPr>
          <w:lang w:val="es-ES"/>
        </w:rPr>
      </w:pPr>
      <w:r w:rsidRPr="00EC00A0">
        <w:rPr>
          <w:lang w:val="es-ES"/>
        </w:rPr>
        <w:t>Los empleadores valoran la contribución que las personas con discapacidad hacen a la fuerza laboral, y reconocen las ventajas de emplear a personas con discapacidad.</w:t>
      </w:r>
    </w:p>
    <w:p w14:paraId="17DB0B32" w14:textId="77777777" w:rsidR="007E70D2" w:rsidRPr="00EC00A0" w:rsidRDefault="00896268" w:rsidP="007051FE">
      <w:pPr>
        <w:pStyle w:val="ListParagraph"/>
        <w:keepNext/>
        <w:numPr>
          <w:ilvl w:val="0"/>
          <w:numId w:val="9"/>
        </w:numPr>
        <w:spacing w:after="100" w:line="278" w:lineRule="auto"/>
        <w:rPr>
          <w:lang w:val="es-ES"/>
        </w:rPr>
      </w:pPr>
      <w:r w:rsidRPr="00EC00A0">
        <w:rPr>
          <w:lang w:val="es-ES"/>
        </w:rPr>
        <w:t>Los profesionales clave confían en la discapacidad y responden positivamente a las personas con discapacidad.</w:t>
      </w:r>
    </w:p>
    <w:p w14:paraId="49492F11" w14:textId="77777777" w:rsidR="00990613" w:rsidRPr="00EC00A0" w:rsidRDefault="00896268" w:rsidP="0002353A">
      <w:pPr>
        <w:pStyle w:val="ListParagraph"/>
        <w:numPr>
          <w:ilvl w:val="0"/>
          <w:numId w:val="9"/>
        </w:numPr>
        <w:spacing w:after="100"/>
        <w:rPr>
          <w:lang w:val="es-ES"/>
        </w:rPr>
      </w:pPr>
      <w:r w:rsidRPr="00EC00A0">
        <w:rPr>
          <w:lang w:val="es-ES"/>
        </w:rPr>
        <w:t>Mejorar las actitudes en la comunidad para afectar positivamente las políticas prioritarias de la Estrategia.</w:t>
      </w:r>
    </w:p>
    <w:p w14:paraId="179F77F8" w14:textId="77777777" w:rsidR="00990613" w:rsidRPr="00EC00A0" w:rsidRDefault="00896268" w:rsidP="0002353A">
      <w:pPr>
        <w:pStyle w:val="NoSpacing"/>
        <w:spacing w:after="100" w:line="276" w:lineRule="auto"/>
        <w:rPr>
          <w:rFonts w:asciiTheme="minorHAnsi" w:hAnsiTheme="minorHAnsi"/>
          <w:sz w:val="24"/>
          <w:szCs w:val="24"/>
          <w:lang w:val="es-ES"/>
        </w:rPr>
      </w:pPr>
      <w:r w:rsidRPr="00EC00A0">
        <w:rPr>
          <w:rFonts w:asciiTheme="minorHAnsi" w:hAnsiTheme="minorHAnsi"/>
          <w:sz w:val="24"/>
          <w:szCs w:val="24"/>
          <w:lang w:val="es-ES"/>
        </w:rPr>
        <w:t>Las actividades que se lleven a cabo en consonancia con este TAP deberán incorporar enfoques diseñados a la medida para capacitar e incluir a personas y grupos que se enfrentan a barreras interseccionales. Las acciones deben considerar específicamente cómo satisfacer las necesidades de las personas con discapacidad en zonas rurales y remotas, las personas con discapacidad de las Primeras Naciones, las personas con discapacidad en comunidades cultural y lingüísticamente diversas, las mujeres y niñas con discapacidad, las personas con discapacidad que se identifican como LGBTQIA+ y los jóvenes con discapacidad.</w:t>
      </w:r>
    </w:p>
    <w:p w14:paraId="5BCA21EF" w14:textId="77777777" w:rsidR="00990613" w:rsidRPr="00EC00A0" w:rsidRDefault="00896268" w:rsidP="0002353A">
      <w:pPr>
        <w:pStyle w:val="Heading2"/>
        <w:spacing w:before="0" w:after="100" w:line="276" w:lineRule="auto"/>
        <w:rPr>
          <w:rFonts w:asciiTheme="minorHAnsi" w:hAnsiTheme="minorHAnsi" w:cstheme="minorHAnsi"/>
          <w:color w:val="00492C"/>
          <w:sz w:val="28"/>
          <w:szCs w:val="28"/>
          <w:lang w:val="es-ES"/>
        </w:rPr>
      </w:pPr>
      <w:r w:rsidRPr="00EC00A0">
        <w:rPr>
          <w:rFonts w:asciiTheme="minorHAnsi" w:hAnsiTheme="minorHAnsi" w:cstheme="minorHAnsi"/>
          <w:color w:val="00492C"/>
          <w:sz w:val="28"/>
          <w:szCs w:val="28"/>
          <w:lang w:val="es-ES"/>
        </w:rPr>
        <w:t>Acciones</w:t>
      </w:r>
    </w:p>
    <w:p w14:paraId="7484BA8B" w14:textId="77777777" w:rsidR="00FE4CD4" w:rsidRPr="00EC00A0" w:rsidRDefault="00896268" w:rsidP="0002353A">
      <w:pPr>
        <w:pStyle w:val="NoSpacing"/>
        <w:spacing w:after="100" w:line="276" w:lineRule="auto"/>
        <w:rPr>
          <w:rFonts w:asciiTheme="minorHAnsi" w:hAnsiTheme="minorHAnsi" w:cstheme="minorHAnsi"/>
          <w:sz w:val="24"/>
          <w:szCs w:val="24"/>
          <w:lang w:val="es-ES"/>
        </w:rPr>
      </w:pPr>
      <w:r w:rsidRPr="00EC00A0">
        <w:rPr>
          <w:rFonts w:asciiTheme="minorHAnsi" w:hAnsiTheme="minorHAnsi" w:cstheme="minorHAnsi"/>
          <w:sz w:val="24"/>
          <w:szCs w:val="24"/>
          <w:lang w:val="es-ES"/>
        </w:rPr>
        <w:t>Como parte de la revisión de las ADS, las personas con discapacidad respondieron que querían una cantidad menor de TAP, pero que se centraran en asuntos de alta prioridad que afectan su vida cotidiana. Este TAP refleja esa reacción. Hay menos acciones, lo que permite resultados observables más progresivos y significativos.</w:t>
      </w:r>
    </w:p>
    <w:p w14:paraId="22F555D7" w14:textId="77777777" w:rsidR="00990613" w:rsidRPr="00EC00A0" w:rsidRDefault="00896268" w:rsidP="00EC00A0">
      <w:pPr>
        <w:pStyle w:val="NoSpacing"/>
        <w:keepLines/>
        <w:spacing w:after="100" w:line="276" w:lineRule="auto"/>
        <w:rPr>
          <w:rFonts w:asciiTheme="minorHAnsi" w:hAnsiTheme="minorHAnsi" w:cstheme="minorHAnsi"/>
          <w:sz w:val="24"/>
          <w:szCs w:val="24"/>
          <w:lang w:val="es-ES"/>
        </w:rPr>
      </w:pPr>
      <w:r w:rsidRPr="00EC00A0">
        <w:rPr>
          <w:rFonts w:asciiTheme="minorHAnsi" w:hAnsiTheme="minorHAnsi" w:cstheme="minorHAnsi"/>
          <w:sz w:val="24"/>
          <w:szCs w:val="24"/>
          <w:lang w:val="es-ES"/>
        </w:rPr>
        <w:lastRenderedPageBreak/>
        <w:t>Las acciones también reflejan la opinión de que debería haber una mayor coordinación y alineamiento entre todos los niveles de Gobierno. Este TAP incluye 4 objetivos y acciones que constituyen un compromiso tanto de la Commonwealth como de los Gobiernos estatales y territoriales. Además, y cuando corresponde, los Gobiernos estatales y territoriales han incluido acciones específicas para sus comunidades.</w:t>
      </w:r>
    </w:p>
    <w:p w14:paraId="38EAEFF3" w14:textId="77777777" w:rsidR="00990613" w:rsidRPr="00EC00A0" w:rsidRDefault="00896268" w:rsidP="0002353A">
      <w:pPr>
        <w:pStyle w:val="Heading2"/>
        <w:spacing w:before="0" w:after="100" w:line="276" w:lineRule="auto"/>
        <w:rPr>
          <w:rFonts w:asciiTheme="minorHAnsi" w:hAnsiTheme="minorHAnsi" w:cstheme="minorHAnsi"/>
          <w:color w:val="00492C"/>
          <w:sz w:val="28"/>
          <w:szCs w:val="28"/>
          <w:lang w:val="es-ES"/>
        </w:rPr>
      </w:pPr>
      <w:r w:rsidRPr="00EC00A0">
        <w:rPr>
          <w:rFonts w:asciiTheme="minorHAnsi" w:hAnsiTheme="minorHAnsi" w:cstheme="minorHAnsi"/>
          <w:color w:val="00492C"/>
          <w:sz w:val="28"/>
          <w:szCs w:val="28"/>
          <w:lang w:val="es-ES"/>
        </w:rPr>
        <w:t>Participación de las Personas con Discapacidad</w:t>
      </w:r>
    </w:p>
    <w:p w14:paraId="280404C3" w14:textId="77777777" w:rsidR="00990613" w:rsidRPr="00EC00A0" w:rsidRDefault="00896268" w:rsidP="0002353A">
      <w:pPr>
        <w:pStyle w:val="NoSpacing"/>
        <w:spacing w:after="100" w:line="276" w:lineRule="auto"/>
        <w:rPr>
          <w:rFonts w:asciiTheme="minorHAnsi" w:hAnsiTheme="minorHAnsi" w:cstheme="minorHAnsi"/>
          <w:sz w:val="24"/>
          <w:szCs w:val="24"/>
          <w:lang w:val="es-ES"/>
        </w:rPr>
      </w:pPr>
      <w:r w:rsidRPr="00EC00A0">
        <w:rPr>
          <w:rFonts w:asciiTheme="minorHAnsi" w:hAnsiTheme="minorHAnsi" w:cstheme="minorHAnsi"/>
          <w:sz w:val="24"/>
          <w:szCs w:val="24"/>
          <w:lang w:val="es-ES"/>
        </w:rPr>
        <w:t>Para garantizar que los contextos comunitarios tengan una influencia en todos los TAP, los Gobiernos responsables trabajarán junto con el gobierno local y las organizaciones de personas con discapacidad durante su implementación. Los enfoques de este proceso serán específicos para cada comunidad y comenzarán antes de que se adopten las acciones iniciales. A través de un compromiso temprano, las voces de las personas con discapacidad y de las organizaciones que las representan serán fundamentales para influenciar los enfoques iniciales y la estrategia general de cada TAP.  </w:t>
      </w:r>
    </w:p>
    <w:p w14:paraId="3D376B41" w14:textId="77777777" w:rsidR="00990613" w:rsidRPr="00EC00A0" w:rsidRDefault="00896268" w:rsidP="0002353A">
      <w:pPr>
        <w:pStyle w:val="Heading2"/>
        <w:spacing w:before="0" w:after="100" w:line="276" w:lineRule="auto"/>
        <w:rPr>
          <w:rFonts w:asciiTheme="minorHAnsi" w:hAnsiTheme="minorHAnsi" w:cstheme="minorHAnsi"/>
          <w:color w:val="00492C"/>
          <w:sz w:val="28"/>
          <w:szCs w:val="28"/>
          <w:lang w:val="es-ES"/>
        </w:rPr>
      </w:pPr>
      <w:r w:rsidRPr="00EC00A0">
        <w:rPr>
          <w:rFonts w:asciiTheme="minorHAnsi" w:hAnsiTheme="minorHAnsi" w:cstheme="minorHAnsi"/>
          <w:color w:val="00492C"/>
          <w:sz w:val="28"/>
          <w:szCs w:val="28"/>
          <w:lang w:val="es-ES"/>
        </w:rPr>
        <w:t>Control e Informes  </w:t>
      </w:r>
    </w:p>
    <w:p w14:paraId="121A8238" w14:textId="77777777" w:rsidR="00765BF7" w:rsidRPr="00EC00A0" w:rsidRDefault="00896268" w:rsidP="0002353A">
      <w:pPr>
        <w:pStyle w:val="NoSpacing"/>
        <w:spacing w:after="100" w:line="276" w:lineRule="auto"/>
        <w:rPr>
          <w:rFonts w:asciiTheme="minorHAnsi" w:hAnsiTheme="minorHAnsi" w:cstheme="minorHAnsi"/>
          <w:sz w:val="24"/>
          <w:szCs w:val="24"/>
          <w:lang w:val="es-ES"/>
        </w:rPr>
      </w:pPr>
      <w:r w:rsidRPr="00EC00A0">
        <w:rPr>
          <w:rFonts w:asciiTheme="minorHAnsi" w:hAnsiTheme="minorHAnsi" w:cstheme="minorHAnsi"/>
          <w:sz w:val="24"/>
          <w:szCs w:val="24"/>
          <w:lang w:val="es-ES"/>
        </w:rPr>
        <w:t>Los Informes de Progreso se presentarán cada año fiscal y se publicarán a finales de diciembre de cada año. </w:t>
      </w:r>
    </w:p>
    <w:sectPr w:rsidR="00765BF7" w:rsidRPr="00EC00A0" w:rsidSect="006401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E6D0690A-14CD-4ACE-96D6-4747F26D8B24}"/>
    <w:embedBold r:id="rId2" w:fontKey="{C1D28ABA-210A-4797-972C-16AE057A3312}"/>
    <w:embedItalic r:id="rId3" w:fontKey="{B047D294-EFEC-4383-B072-7593B4743414}"/>
    <w:embedBoldItalic r:id="rId4" w:fontKey="{8AD57AA7-5ABE-46FC-80AE-DD9DB8143B35}"/>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F1B"/>
    <w:multiLevelType w:val="multilevel"/>
    <w:tmpl w:val="BDA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F0E8D"/>
    <w:multiLevelType w:val="multilevel"/>
    <w:tmpl w:val="ECB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74B5F"/>
    <w:multiLevelType w:val="hybridMultilevel"/>
    <w:tmpl w:val="761477A4"/>
    <w:lvl w:ilvl="0" w:tplc="C4126AB4">
      <w:start w:val="1"/>
      <w:numFmt w:val="bullet"/>
      <w:lvlText w:val=""/>
      <w:lvlJc w:val="left"/>
      <w:pPr>
        <w:ind w:left="720" w:hanging="360"/>
      </w:pPr>
      <w:rPr>
        <w:rFonts w:ascii="Symbol" w:hAnsi="Symbol" w:hint="default"/>
      </w:rPr>
    </w:lvl>
    <w:lvl w:ilvl="1" w:tplc="02389006" w:tentative="1">
      <w:start w:val="1"/>
      <w:numFmt w:val="bullet"/>
      <w:lvlText w:val="o"/>
      <w:lvlJc w:val="left"/>
      <w:pPr>
        <w:ind w:left="1440" w:hanging="360"/>
      </w:pPr>
      <w:rPr>
        <w:rFonts w:ascii="Courier New" w:hAnsi="Courier New" w:cs="Courier New" w:hint="default"/>
      </w:rPr>
    </w:lvl>
    <w:lvl w:ilvl="2" w:tplc="AAA409DA" w:tentative="1">
      <w:start w:val="1"/>
      <w:numFmt w:val="bullet"/>
      <w:lvlText w:val=""/>
      <w:lvlJc w:val="left"/>
      <w:pPr>
        <w:ind w:left="2160" w:hanging="360"/>
      </w:pPr>
      <w:rPr>
        <w:rFonts w:ascii="Wingdings" w:hAnsi="Wingdings" w:hint="default"/>
      </w:rPr>
    </w:lvl>
    <w:lvl w:ilvl="3" w:tplc="6D3C020A" w:tentative="1">
      <w:start w:val="1"/>
      <w:numFmt w:val="bullet"/>
      <w:lvlText w:val=""/>
      <w:lvlJc w:val="left"/>
      <w:pPr>
        <w:ind w:left="2880" w:hanging="360"/>
      </w:pPr>
      <w:rPr>
        <w:rFonts w:ascii="Symbol" w:hAnsi="Symbol" w:hint="default"/>
      </w:rPr>
    </w:lvl>
    <w:lvl w:ilvl="4" w:tplc="9678EADC" w:tentative="1">
      <w:start w:val="1"/>
      <w:numFmt w:val="bullet"/>
      <w:lvlText w:val="o"/>
      <w:lvlJc w:val="left"/>
      <w:pPr>
        <w:ind w:left="3600" w:hanging="360"/>
      </w:pPr>
      <w:rPr>
        <w:rFonts w:ascii="Courier New" w:hAnsi="Courier New" w:cs="Courier New" w:hint="default"/>
      </w:rPr>
    </w:lvl>
    <w:lvl w:ilvl="5" w:tplc="B04CC7CE" w:tentative="1">
      <w:start w:val="1"/>
      <w:numFmt w:val="bullet"/>
      <w:lvlText w:val=""/>
      <w:lvlJc w:val="left"/>
      <w:pPr>
        <w:ind w:left="4320" w:hanging="360"/>
      </w:pPr>
      <w:rPr>
        <w:rFonts w:ascii="Wingdings" w:hAnsi="Wingdings" w:hint="default"/>
      </w:rPr>
    </w:lvl>
    <w:lvl w:ilvl="6" w:tplc="DA9C46C6" w:tentative="1">
      <w:start w:val="1"/>
      <w:numFmt w:val="bullet"/>
      <w:lvlText w:val=""/>
      <w:lvlJc w:val="left"/>
      <w:pPr>
        <w:ind w:left="5040" w:hanging="360"/>
      </w:pPr>
      <w:rPr>
        <w:rFonts w:ascii="Symbol" w:hAnsi="Symbol" w:hint="default"/>
      </w:rPr>
    </w:lvl>
    <w:lvl w:ilvl="7" w:tplc="8F50798E" w:tentative="1">
      <w:start w:val="1"/>
      <w:numFmt w:val="bullet"/>
      <w:lvlText w:val="o"/>
      <w:lvlJc w:val="left"/>
      <w:pPr>
        <w:ind w:left="5760" w:hanging="360"/>
      </w:pPr>
      <w:rPr>
        <w:rFonts w:ascii="Courier New" w:hAnsi="Courier New" w:cs="Courier New" w:hint="default"/>
      </w:rPr>
    </w:lvl>
    <w:lvl w:ilvl="8" w:tplc="DFFC834A" w:tentative="1">
      <w:start w:val="1"/>
      <w:numFmt w:val="bullet"/>
      <w:lvlText w:val=""/>
      <w:lvlJc w:val="left"/>
      <w:pPr>
        <w:ind w:left="6480" w:hanging="360"/>
      </w:pPr>
      <w:rPr>
        <w:rFonts w:ascii="Wingdings" w:hAnsi="Wingdings" w:hint="default"/>
      </w:rPr>
    </w:lvl>
  </w:abstractNum>
  <w:abstractNum w:abstractNumId="7" w15:restartNumberingAfterBreak="0">
    <w:nsid w:val="735F4DA0"/>
    <w:multiLevelType w:val="hybridMultilevel"/>
    <w:tmpl w:val="6400B6F0"/>
    <w:lvl w:ilvl="0" w:tplc="573614B2">
      <w:start w:val="1"/>
      <w:numFmt w:val="bullet"/>
      <w:lvlText w:val=""/>
      <w:lvlJc w:val="left"/>
      <w:pPr>
        <w:ind w:left="720" w:hanging="360"/>
      </w:pPr>
      <w:rPr>
        <w:rFonts w:ascii="Symbol" w:hAnsi="Symbol" w:hint="default"/>
      </w:rPr>
    </w:lvl>
    <w:lvl w:ilvl="1" w:tplc="2E5CD73A" w:tentative="1">
      <w:start w:val="1"/>
      <w:numFmt w:val="bullet"/>
      <w:lvlText w:val="o"/>
      <w:lvlJc w:val="left"/>
      <w:pPr>
        <w:ind w:left="1440" w:hanging="360"/>
      </w:pPr>
      <w:rPr>
        <w:rFonts w:ascii="Courier New" w:hAnsi="Courier New" w:cs="Courier New" w:hint="default"/>
      </w:rPr>
    </w:lvl>
    <w:lvl w:ilvl="2" w:tplc="4A12EB5E" w:tentative="1">
      <w:start w:val="1"/>
      <w:numFmt w:val="bullet"/>
      <w:lvlText w:val=""/>
      <w:lvlJc w:val="left"/>
      <w:pPr>
        <w:ind w:left="2160" w:hanging="360"/>
      </w:pPr>
      <w:rPr>
        <w:rFonts w:ascii="Wingdings" w:hAnsi="Wingdings" w:hint="default"/>
      </w:rPr>
    </w:lvl>
    <w:lvl w:ilvl="3" w:tplc="FB2EC61E" w:tentative="1">
      <w:start w:val="1"/>
      <w:numFmt w:val="bullet"/>
      <w:lvlText w:val=""/>
      <w:lvlJc w:val="left"/>
      <w:pPr>
        <w:ind w:left="2880" w:hanging="360"/>
      </w:pPr>
      <w:rPr>
        <w:rFonts w:ascii="Symbol" w:hAnsi="Symbol" w:hint="default"/>
      </w:rPr>
    </w:lvl>
    <w:lvl w:ilvl="4" w:tplc="DF240D52" w:tentative="1">
      <w:start w:val="1"/>
      <w:numFmt w:val="bullet"/>
      <w:lvlText w:val="o"/>
      <w:lvlJc w:val="left"/>
      <w:pPr>
        <w:ind w:left="3600" w:hanging="360"/>
      </w:pPr>
      <w:rPr>
        <w:rFonts w:ascii="Courier New" w:hAnsi="Courier New" w:cs="Courier New" w:hint="default"/>
      </w:rPr>
    </w:lvl>
    <w:lvl w:ilvl="5" w:tplc="57A24130" w:tentative="1">
      <w:start w:val="1"/>
      <w:numFmt w:val="bullet"/>
      <w:lvlText w:val=""/>
      <w:lvlJc w:val="left"/>
      <w:pPr>
        <w:ind w:left="4320" w:hanging="360"/>
      </w:pPr>
      <w:rPr>
        <w:rFonts w:ascii="Wingdings" w:hAnsi="Wingdings" w:hint="default"/>
      </w:rPr>
    </w:lvl>
    <w:lvl w:ilvl="6" w:tplc="22BE1CB2" w:tentative="1">
      <w:start w:val="1"/>
      <w:numFmt w:val="bullet"/>
      <w:lvlText w:val=""/>
      <w:lvlJc w:val="left"/>
      <w:pPr>
        <w:ind w:left="5040" w:hanging="360"/>
      </w:pPr>
      <w:rPr>
        <w:rFonts w:ascii="Symbol" w:hAnsi="Symbol" w:hint="default"/>
      </w:rPr>
    </w:lvl>
    <w:lvl w:ilvl="7" w:tplc="465C9D00" w:tentative="1">
      <w:start w:val="1"/>
      <w:numFmt w:val="bullet"/>
      <w:lvlText w:val="o"/>
      <w:lvlJc w:val="left"/>
      <w:pPr>
        <w:ind w:left="5760" w:hanging="360"/>
      </w:pPr>
      <w:rPr>
        <w:rFonts w:ascii="Courier New" w:hAnsi="Courier New" w:cs="Courier New" w:hint="default"/>
      </w:rPr>
    </w:lvl>
    <w:lvl w:ilvl="8" w:tplc="A798F614" w:tentative="1">
      <w:start w:val="1"/>
      <w:numFmt w:val="bullet"/>
      <w:lvlText w:val=""/>
      <w:lvlJc w:val="left"/>
      <w:pPr>
        <w:ind w:left="6480" w:hanging="360"/>
      </w:pPr>
      <w:rPr>
        <w:rFonts w:ascii="Wingdings" w:hAnsi="Wingdings" w:hint="default"/>
      </w:rPr>
    </w:lvl>
  </w:abstractNum>
  <w:abstractNum w:abstractNumId="8" w15:restartNumberingAfterBreak="0">
    <w:nsid w:val="73C81FF1"/>
    <w:multiLevelType w:val="hybridMultilevel"/>
    <w:tmpl w:val="47B08848"/>
    <w:lvl w:ilvl="0" w:tplc="93BC2E92">
      <w:start w:val="1"/>
      <w:numFmt w:val="bullet"/>
      <w:lvlText w:val=""/>
      <w:lvlJc w:val="left"/>
      <w:pPr>
        <w:ind w:left="720" w:hanging="360"/>
      </w:pPr>
      <w:rPr>
        <w:rFonts w:ascii="Symbol" w:hAnsi="Symbol" w:hint="default"/>
      </w:rPr>
    </w:lvl>
    <w:lvl w:ilvl="1" w:tplc="DEAC1222" w:tentative="1">
      <w:start w:val="1"/>
      <w:numFmt w:val="bullet"/>
      <w:lvlText w:val="o"/>
      <w:lvlJc w:val="left"/>
      <w:pPr>
        <w:ind w:left="1440" w:hanging="360"/>
      </w:pPr>
      <w:rPr>
        <w:rFonts w:ascii="Courier New" w:hAnsi="Courier New" w:cs="Courier New" w:hint="default"/>
      </w:rPr>
    </w:lvl>
    <w:lvl w:ilvl="2" w:tplc="22DE1260" w:tentative="1">
      <w:start w:val="1"/>
      <w:numFmt w:val="bullet"/>
      <w:lvlText w:val=""/>
      <w:lvlJc w:val="left"/>
      <w:pPr>
        <w:ind w:left="2160" w:hanging="360"/>
      </w:pPr>
      <w:rPr>
        <w:rFonts w:ascii="Wingdings" w:hAnsi="Wingdings" w:hint="default"/>
      </w:rPr>
    </w:lvl>
    <w:lvl w:ilvl="3" w:tplc="52A04814" w:tentative="1">
      <w:start w:val="1"/>
      <w:numFmt w:val="bullet"/>
      <w:lvlText w:val=""/>
      <w:lvlJc w:val="left"/>
      <w:pPr>
        <w:ind w:left="2880" w:hanging="360"/>
      </w:pPr>
      <w:rPr>
        <w:rFonts w:ascii="Symbol" w:hAnsi="Symbol" w:hint="default"/>
      </w:rPr>
    </w:lvl>
    <w:lvl w:ilvl="4" w:tplc="BE7E5826" w:tentative="1">
      <w:start w:val="1"/>
      <w:numFmt w:val="bullet"/>
      <w:lvlText w:val="o"/>
      <w:lvlJc w:val="left"/>
      <w:pPr>
        <w:ind w:left="3600" w:hanging="360"/>
      </w:pPr>
      <w:rPr>
        <w:rFonts w:ascii="Courier New" w:hAnsi="Courier New" w:cs="Courier New" w:hint="default"/>
      </w:rPr>
    </w:lvl>
    <w:lvl w:ilvl="5" w:tplc="17C42C4E" w:tentative="1">
      <w:start w:val="1"/>
      <w:numFmt w:val="bullet"/>
      <w:lvlText w:val=""/>
      <w:lvlJc w:val="left"/>
      <w:pPr>
        <w:ind w:left="4320" w:hanging="360"/>
      </w:pPr>
      <w:rPr>
        <w:rFonts w:ascii="Wingdings" w:hAnsi="Wingdings" w:hint="default"/>
      </w:rPr>
    </w:lvl>
    <w:lvl w:ilvl="6" w:tplc="3A66AD28" w:tentative="1">
      <w:start w:val="1"/>
      <w:numFmt w:val="bullet"/>
      <w:lvlText w:val=""/>
      <w:lvlJc w:val="left"/>
      <w:pPr>
        <w:ind w:left="5040" w:hanging="360"/>
      </w:pPr>
      <w:rPr>
        <w:rFonts w:ascii="Symbol" w:hAnsi="Symbol" w:hint="default"/>
      </w:rPr>
    </w:lvl>
    <w:lvl w:ilvl="7" w:tplc="80D4D594" w:tentative="1">
      <w:start w:val="1"/>
      <w:numFmt w:val="bullet"/>
      <w:lvlText w:val="o"/>
      <w:lvlJc w:val="left"/>
      <w:pPr>
        <w:ind w:left="5760" w:hanging="360"/>
      </w:pPr>
      <w:rPr>
        <w:rFonts w:ascii="Courier New" w:hAnsi="Courier New" w:cs="Courier New" w:hint="default"/>
      </w:rPr>
    </w:lvl>
    <w:lvl w:ilvl="8" w:tplc="13A61D4E" w:tentative="1">
      <w:start w:val="1"/>
      <w:numFmt w:val="bullet"/>
      <w:lvlText w:val=""/>
      <w:lvlJc w:val="left"/>
      <w:pPr>
        <w:ind w:left="6480" w:hanging="360"/>
      </w:pPr>
      <w:rPr>
        <w:rFonts w:ascii="Wingdings" w:hAnsi="Wingdings" w:hint="default"/>
      </w:rPr>
    </w:lvl>
  </w:abstractNum>
  <w:num w:numId="1" w16cid:durableId="2040929485">
    <w:abstractNumId w:val="6"/>
  </w:num>
  <w:num w:numId="2" w16cid:durableId="1590502958">
    <w:abstractNumId w:val="3"/>
  </w:num>
  <w:num w:numId="3" w16cid:durableId="470490059">
    <w:abstractNumId w:val="5"/>
  </w:num>
  <w:num w:numId="4" w16cid:durableId="411703015">
    <w:abstractNumId w:val="1"/>
  </w:num>
  <w:num w:numId="5" w16cid:durableId="1982416280">
    <w:abstractNumId w:val="2"/>
  </w:num>
  <w:num w:numId="6" w16cid:durableId="2121413102">
    <w:abstractNumId w:val="7"/>
  </w:num>
  <w:num w:numId="7" w16cid:durableId="1340693456">
    <w:abstractNumId w:val="0"/>
  </w:num>
  <w:num w:numId="8" w16cid:durableId="1974165714">
    <w:abstractNumId w:val="4"/>
  </w:num>
  <w:num w:numId="9" w16cid:durableId="1133987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D6840"/>
    <w:rsid w:val="00001C09"/>
    <w:rsid w:val="00007A7B"/>
    <w:rsid w:val="00020049"/>
    <w:rsid w:val="0002353A"/>
    <w:rsid w:val="000332E8"/>
    <w:rsid w:val="00041577"/>
    <w:rsid w:val="00043520"/>
    <w:rsid w:val="00045414"/>
    <w:rsid w:val="0005138D"/>
    <w:rsid w:val="00055F86"/>
    <w:rsid w:val="00060139"/>
    <w:rsid w:val="000657AC"/>
    <w:rsid w:val="00081732"/>
    <w:rsid w:val="000907DA"/>
    <w:rsid w:val="000A15CD"/>
    <w:rsid w:val="000B0AF4"/>
    <w:rsid w:val="000B5B19"/>
    <w:rsid w:val="000C4B38"/>
    <w:rsid w:val="000E4857"/>
    <w:rsid w:val="000E6D50"/>
    <w:rsid w:val="00100219"/>
    <w:rsid w:val="001055E5"/>
    <w:rsid w:val="00106949"/>
    <w:rsid w:val="00145D4E"/>
    <w:rsid w:val="001471FD"/>
    <w:rsid w:val="001634C6"/>
    <w:rsid w:val="0017205C"/>
    <w:rsid w:val="0018146A"/>
    <w:rsid w:val="00192E94"/>
    <w:rsid w:val="00195EB5"/>
    <w:rsid w:val="001B1903"/>
    <w:rsid w:val="001B63DD"/>
    <w:rsid w:val="001D7269"/>
    <w:rsid w:val="001E3834"/>
    <w:rsid w:val="00213773"/>
    <w:rsid w:val="00214D0C"/>
    <w:rsid w:val="00215629"/>
    <w:rsid w:val="00223283"/>
    <w:rsid w:val="00226334"/>
    <w:rsid w:val="002363A9"/>
    <w:rsid w:val="00236FD1"/>
    <w:rsid w:val="00254381"/>
    <w:rsid w:val="00261209"/>
    <w:rsid w:val="002621D8"/>
    <w:rsid w:val="00275842"/>
    <w:rsid w:val="00281299"/>
    <w:rsid w:val="00282336"/>
    <w:rsid w:val="002833B4"/>
    <w:rsid w:val="002859CA"/>
    <w:rsid w:val="00291A35"/>
    <w:rsid w:val="002922D2"/>
    <w:rsid w:val="00292DBB"/>
    <w:rsid w:val="002963E3"/>
    <w:rsid w:val="002A6B6A"/>
    <w:rsid w:val="002B6FF3"/>
    <w:rsid w:val="002B753D"/>
    <w:rsid w:val="002C3DEC"/>
    <w:rsid w:val="002E0A41"/>
    <w:rsid w:val="002E43D3"/>
    <w:rsid w:val="002E6486"/>
    <w:rsid w:val="0031245E"/>
    <w:rsid w:val="003263C9"/>
    <w:rsid w:val="003324D3"/>
    <w:rsid w:val="003633B0"/>
    <w:rsid w:val="003660F5"/>
    <w:rsid w:val="00366E28"/>
    <w:rsid w:val="00370C60"/>
    <w:rsid w:val="00391ADB"/>
    <w:rsid w:val="00391B45"/>
    <w:rsid w:val="00391C68"/>
    <w:rsid w:val="00396ADD"/>
    <w:rsid w:val="003A1FAB"/>
    <w:rsid w:val="003B0625"/>
    <w:rsid w:val="003B2FBC"/>
    <w:rsid w:val="003B60DF"/>
    <w:rsid w:val="003C4E28"/>
    <w:rsid w:val="003D6E51"/>
    <w:rsid w:val="003E459B"/>
    <w:rsid w:val="00404825"/>
    <w:rsid w:val="004129BE"/>
    <w:rsid w:val="00427E71"/>
    <w:rsid w:val="00433BE0"/>
    <w:rsid w:val="00435B5C"/>
    <w:rsid w:val="004473CB"/>
    <w:rsid w:val="0045271F"/>
    <w:rsid w:val="004A6313"/>
    <w:rsid w:val="004B50C9"/>
    <w:rsid w:val="004C290D"/>
    <w:rsid w:val="004D1DDE"/>
    <w:rsid w:val="004E2AE5"/>
    <w:rsid w:val="004F522B"/>
    <w:rsid w:val="005047B4"/>
    <w:rsid w:val="0051720B"/>
    <w:rsid w:val="0052369F"/>
    <w:rsid w:val="005541E1"/>
    <w:rsid w:val="00565BCC"/>
    <w:rsid w:val="00572C89"/>
    <w:rsid w:val="005A6762"/>
    <w:rsid w:val="005C021B"/>
    <w:rsid w:val="005D69E8"/>
    <w:rsid w:val="0061673D"/>
    <w:rsid w:val="00620B3B"/>
    <w:rsid w:val="006303B5"/>
    <w:rsid w:val="006401FB"/>
    <w:rsid w:val="00654C99"/>
    <w:rsid w:val="00661F90"/>
    <w:rsid w:val="00670889"/>
    <w:rsid w:val="00683A17"/>
    <w:rsid w:val="00683E50"/>
    <w:rsid w:val="00693A3D"/>
    <w:rsid w:val="006A2470"/>
    <w:rsid w:val="006C5DB2"/>
    <w:rsid w:val="006D1D48"/>
    <w:rsid w:val="006D3727"/>
    <w:rsid w:val="006E2A04"/>
    <w:rsid w:val="007051FE"/>
    <w:rsid w:val="0071056F"/>
    <w:rsid w:val="00712FD8"/>
    <w:rsid w:val="00722724"/>
    <w:rsid w:val="007277F3"/>
    <w:rsid w:val="0073249B"/>
    <w:rsid w:val="00743054"/>
    <w:rsid w:val="00747057"/>
    <w:rsid w:val="0075025D"/>
    <w:rsid w:val="0075032A"/>
    <w:rsid w:val="00752AA8"/>
    <w:rsid w:val="00754530"/>
    <w:rsid w:val="0076027C"/>
    <w:rsid w:val="00765BF7"/>
    <w:rsid w:val="0077485E"/>
    <w:rsid w:val="007878BA"/>
    <w:rsid w:val="007959D8"/>
    <w:rsid w:val="007A2763"/>
    <w:rsid w:val="007A58CA"/>
    <w:rsid w:val="007B0963"/>
    <w:rsid w:val="007E70D2"/>
    <w:rsid w:val="007F5214"/>
    <w:rsid w:val="00816D88"/>
    <w:rsid w:val="0082183B"/>
    <w:rsid w:val="00830EF1"/>
    <w:rsid w:val="0083553F"/>
    <w:rsid w:val="00842AAC"/>
    <w:rsid w:val="0086084A"/>
    <w:rsid w:val="008626EE"/>
    <w:rsid w:val="00874E88"/>
    <w:rsid w:val="00884B3E"/>
    <w:rsid w:val="00885BAC"/>
    <w:rsid w:val="00896268"/>
    <w:rsid w:val="008B393D"/>
    <w:rsid w:val="008B5593"/>
    <w:rsid w:val="008B7D1F"/>
    <w:rsid w:val="008D1F83"/>
    <w:rsid w:val="0090392A"/>
    <w:rsid w:val="00931308"/>
    <w:rsid w:val="0093440E"/>
    <w:rsid w:val="0093678B"/>
    <w:rsid w:val="009408C6"/>
    <w:rsid w:val="009465FD"/>
    <w:rsid w:val="00962078"/>
    <w:rsid w:val="009655C0"/>
    <w:rsid w:val="00971ACD"/>
    <w:rsid w:val="0097320E"/>
    <w:rsid w:val="00980CF1"/>
    <w:rsid w:val="00990613"/>
    <w:rsid w:val="009951B3"/>
    <w:rsid w:val="009A2955"/>
    <w:rsid w:val="009A3AC5"/>
    <w:rsid w:val="009B3233"/>
    <w:rsid w:val="009E1385"/>
    <w:rsid w:val="009E1BA0"/>
    <w:rsid w:val="009E651D"/>
    <w:rsid w:val="009E7DA1"/>
    <w:rsid w:val="009F11FD"/>
    <w:rsid w:val="009F14A8"/>
    <w:rsid w:val="00A0312C"/>
    <w:rsid w:val="00A16BBE"/>
    <w:rsid w:val="00A3223D"/>
    <w:rsid w:val="00A32AE8"/>
    <w:rsid w:val="00A36E6F"/>
    <w:rsid w:val="00A420F5"/>
    <w:rsid w:val="00A55A8F"/>
    <w:rsid w:val="00A81706"/>
    <w:rsid w:val="00A8766C"/>
    <w:rsid w:val="00A93C2C"/>
    <w:rsid w:val="00A944C4"/>
    <w:rsid w:val="00AA7D6B"/>
    <w:rsid w:val="00AB2CFB"/>
    <w:rsid w:val="00AE7A45"/>
    <w:rsid w:val="00AF59A4"/>
    <w:rsid w:val="00AF7147"/>
    <w:rsid w:val="00B14093"/>
    <w:rsid w:val="00B23C9E"/>
    <w:rsid w:val="00B2784C"/>
    <w:rsid w:val="00B421A4"/>
    <w:rsid w:val="00B575C7"/>
    <w:rsid w:val="00B86CA0"/>
    <w:rsid w:val="00BA3AD6"/>
    <w:rsid w:val="00BA7E69"/>
    <w:rsid w:val="00BC794D"/>
    <w:rsid w:val="00BD54B8"/>
    <w:rsid w:val="00BE5833"/>
    <w:rsid w:val="00BE62F2"/>
    <w:rsid w:val="00BF0D86"/>
    <w:rsid w:val="00C00785"/>
    <w:rsid w:val="00C014E9"/>
    <w:rsid w:val="00C14ED5"/>
    <w:rsid w:val="00C16B56"/>
    <w:rsid w:val="00C257FF"/>
    <w:rsid w:val="00C36D40"/>
    <w:rsid w:val="00C413F7"/>
    <w:rsid w:val="00C513A1"/>
    <w:rsid w:val="00C55B39"/>
    <w:rsid w:val="00C62113"/>
    <w:rsid w:val="00C70C4E"/>
    <w:rsid w:val="00C81F64"/>
    <w:rsid w:val="00C8648C"/>
    <w:rsid w:val="00C93AF8"/>
    <w:rsid w:val="00CB414C"/>
    <w:rsid w:val="00CC3EED"/>
    <w:rsid w:val="00CC7638"/>
    <w:rsid w:val="00CE126A"/>
    <w:rsid w:val="00CE2BFE"/>
    <w:rsid w:val="00D01F50"/>
    <w:rsid w:val="00D0457C"/>
    <w:rsid w:val="00D25910"/>
    <w:rsid w:val="00D36725"/>
    <w:rsid w:val="00D40C7B"/>
    <w:rsid w:val="00D50190"/>
    <w:rsid w:val="00D51BAE"/>
    <w:rsid w:val="00D576FD"/>
    <w:rsid w:val="00D65F3E"/>
    <w:rsid w:val="00D87308"/>
    <w:rsid w:val="00DA0E6E"/>
    <w:rsid w:val="00DB7666"/>
    <w:rsid w:val="00DC36CC"/>
    <w:rsid w:val="00DC6DBE"/>
    <w:rsid w:val="00DE0F68"/>
    <w:rsid w:val="00DE1356"/>
    <w:rsid w:val="00DE654C"/>
    <w:rsid w:val="00DF317D"/>
    <w:rsid w:val="00E215E7"/>
    <w:rsid w:val="00E24D8B"/>
    <w:rsid w:val="00E27FDE"/>
    <w:rsid w:val="00E347DC"/>
    <w:rsid w:val="00E6412D"/>
    <w:rsid w:val="00E825AA"/>
    <w:rsid w:val="00E83EAF"/>
    <w:rsid w:val="00E860E4"/>
    <w:rsid w:val="00E8697D"/>
    <w:rsid w:val="00E95A24"/>
    <w:rsid w:val="00EA0ED9"/>
    <w:rsid w:val="00EA3194"/>
    <w:rsid w:val="00EA3981"/>
    <w:rsid w:val="00EA7FBC"/>
    <w:rsid w:val="00EB3DCD"/>
    <w:rsid w:val="00EC00A0"/>
    <w:rsid w:val="00EC3532"/>
    <w:rsid w:val="00ED0BCE"/>
    <w:rsid w:val="00EE159E"/>
    <w:rsid w:val="00EE56D4"/>
    <w:rsid w:val="00EF1BBD"/>
    <w:rsid w:val="00F14133"/>
    <w:rsid w:val="00F1740A"/>
    <w:rsid w:val="00F25C25"/>
    <w:rsid w:val="00F45B6A"/>
    <w:rsid w:val="00F4616B"/>
    <w:rsid w:val="00F474D0"/>
    <w:rsid w:val="00F50C81"/>
    <w:rsid w:val="00F54742"/>
    <w:rsid w:val="00F56037"/>
    <w:rsid w:val="00F578AA"/>
    <w:rsid w:val="00F61F11"/>
    <w:rsid w:val="00F626B3"/>
    <w:rsid w:val="00F72443"/>
    <w:rsid w:val="00F827B5"/>
    <w:rsid w:val="00F921B3"/>
    <w:rsid w:val="00F92BA7"/>
    <w:rsid w:val="00F9384F"/>
    <w:rsid w:val="00FA6669"/>
    <w:rsid w:val="00FB3100"/>
    <w:rsid w:val="00FC061B"/>
    <w:rsid w:val="00FE4CD4"/>
    <w:rsid w:val="00FE7B16"/>
    <w:rsid w:val="00FE7BEB"/>
    <w:rsid w:val="00FE7D9A"/>
    <w:rsid w:val="00FF6C02"/>
    <w:rsid w:val="00FF7A80"/>
    <w:rsid w:val="15E8D189"/>
    <w:rsid w:val="2535A6D1"/>
    <w:rsid w:val="27BE437F"/>
    <w:rsid w:val="2F1E35ED"/>
    <w:rsid w:val="3790CFE7"/>
    <w:rsid w:val="3DFC92DE"/>
    <w:rsid w:val="594A62D3"/>
    <w:rsid w:val="59965F9D"/>
    <w:rsid w:val="67390440"/>
    <w:rsid w:val="69A18975"/>
    <w:rsid w:val="69B0D5E8"/>
    <w:rsid w:val="6C4D6840"/>
    <w:rsid w:val="7C5C5982"/>
    <w:rsid w:val="7CEA5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FD2E"/>
  <w15:chartTrackingRefBased/>
  <w15:docId w15:val="{99EB16D5-6A4F-452C-A0AA-725D2341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DB7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7666"/>
  </w:style>
  <w:style w:type="paragraph" w:styleId="Footer">
    <w:name w:val="footer"/>
    <w:basedOn w:val="Normal"/>
    <w:link w:val="FooterChar"/>
    <w:uiPriority w:val="99"/>
    <w:semiHidden/>
    <w:unhideWhenUsed/>
    <w:rsid w:val="00DB7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7666"/>
  </w:style>
  <w:style w:type="paragraph" w:styleId="BodyText">
    <w:name w:val="Body Text"/>
    <w:basedOn w:val="Normal"/>
    <w:link w:val="BodyTextChar"/>
    <w:uiPriority w:val="1"/>
    <w:unhideWhenUsed/>
    <w:qFormat/>
    <w:rsid w:val="00DE654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DE654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990613"/>
    <w:pPr>
      <w:spacing w:after="0" w:line="240" w:lineRule="auto"/>
    </w:pPr>
    <w:rPr>
      <w:rFonts w:ascii="Arial" w:eastAsiaTheme="minorHAnsi" w:hAnsi="Arial"/>
      <w:kern w:val="2"/>
      <w:sz w:val="22"/>
      <w:szCs w:val="22"/>
      <w:lang w:eastAsia="en-US"/>
      <w14:ligatures w14:val="standardContextual"/>
    </w:rPr>
  </w:style>
  <w:style w:type="character" w:customStyle="1" w:styleId="NoSpacingChar">
    <w:name w:val="No Spacing Char"/>
    <w:basedOn w:val="DefaultParagraphFont"/>
    <w:link w:val="NoSpacing"/>
    <w:uiPriority w:val="1"/>
    <w:rsid w:val="00990613"/>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043520"/>
    <w:rPr>
      <w:color w:val="0000FF"/>
      <w:u w:val="single"/>
    </w:rPr>
  </w:style>
  <w:style w:type="paragraph" w:styleId="NormalWeb">
    <w:name w:val="Normal (Web)"/>
    <w:basedOn w:val="Normal"/>
    <w:uiPriority w:val="99"/>
    <w:unhideWhenUsed/>
    <w:rsid w:val="00043520"/>
    <w:pPr>
      <w:spacing w:after="200" w:line="276" w:lineRule="auto"/>
    </w:pPr>
    <w:rPr>
      <w:rFonts w:ascii="Times New Roman" w:eastAsiaTheme="minorHAnsi" w:hAnsi="Times New Roman" w:cs="Times New Roman"/>
      <w:lang w:eastAsia="en-US"/>
    </w:rPr>
  </w:style>
  <w:style w:type="character" w:customStyle="1" w:styleId="normaltextrun">
    <w:name w:val="normaltextrun"/>
    <w:basedOn w:val="DefaultParagraphFont"/>
    <w:rsid w:val="009A2955"/>
  </w:style>
  <w:style w:type="paragraph" w:styleId="ListParagraph">
    <w:name w:val="List Paragraph"/>
    <w:basedOn w:val="Normal"/>
    <w:uiPriority w:val="34"/>
    <w:qFormat/>
    <w:rsid w:val="00D87308"/>
    <w:pPr>
      <w:ind w:left="720"/>
      <w:contextualSpacing/>
    </w:pPr>
  </w:style>
  <w:style w:type="paragraph" w:styleId="Revision">
    <w:name w:val="Revision"/>
    <w:hidden/>
    <w:uiPriority w:val="99"/>
    <w:semiHidden/>
    <w:rsid w:val="00AA7D6B"/>
    <w:pPr>
      <w:spacing w:after="0" w:line="240" w:lineRule="auto"/>
    </w:pPr>
  </w:style>
  <w:style w:type="character" w:styleId="CommentReference">
    <w:name w:val="annotation reference"/>
    <w:basedOn w:val="DefaultParagraphFont"/>
    <w:uiPriority w:val="99"/>
    <w:semiHidden/>
    <w:unhideWhenUsed/>
    <w:rsid w:val="000E6D50"/>
    <w:rPr>
      <w:sz w:val="16"/>
      <w:szCs w:val="16"/>
    </w:rPr>
  </w:style>
  <w:style w:type="paragraph" w:styleId="CommentText">
    <w:name w:val="annotation text"/>
    <w:basedOn w:val="Normal"/>
    <w:link w:val="CommentTextChar"/>
    <w:uiPriority w:val="99"/>
    <w:unhideWhenUsed/>
    <w:rsid w:val="000E6D50"/>
    <w:pPr>
      <w:spacing w:line="240" w:lineRule="auto"/>
    </w:pPr>
    <w:rPr>
      <w:sz w:val="20"/>
      <w:szCs w:val="20"/>
    </w:rPr>
  </w:style>
  <w:style w:type="character" w:customStyle="1" w:styleId="CommentTextChar">
    <w:name w:val="Comment Text Char"/>
    <w:basedOn w:val="DefaultParagraphFont"/>
    <w:link w:val="CommentText"/>
    <w:uiPriority w:val="99"/>
    <w:rsid w:val="000E6D50"/>
    <w:rPr>
      <w:sz w:val="20"/>
      <w:szCs w:val="20"/>
    </w:rPr>
  </w:style>
  <w:style w:type="paragraph" w:styleId="CommentSubject">
    <w:name w:val="annotation subject"/>
    <w:basedOn w:val="CommentText"/>
    <w:next w:val="CommentText"/>
    <w:link w:val="CommentSubjectChar"/>
    <w:uiPriority w:val="99"/>
    <w:semiHidden/>
    <w:unhideWhenUsed/>
    <w:rsid w:val="000E6D50"/>
    <w:rPr>
      <w:b/>
      <w:bCs/>
    </w:rPr>
  </w:style>
  <w:style w:type="character" w:customStyle="1" w:styleId="CommentSubjectChar">
    <w:name w:val="Comment Subject Char"/>
    <w:basedOn w:val="CommentTextChar"/>
    <w:link w:val="CommentSubject"/>
    <w:uiPriority w:val="99"/>
    <w:semiHidden/>
    <w:rsid w:val="000E6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Props1.xml><?xml version="1.0" encoding="utf-8"?>
<ds:datastoreItem xmlns:ds="http://schemas.openxmlformats.org/officeDocument/2006/customXml" ds:itemID="{C0539331-367F-4B06-B0A5-8A8B22C9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C54C6-9CB0-4545-B3F6-94B7FC9DCD41}">
  <ds:schemaRefs>
    <ds:schemaRef ds:uri="http://schemas.microsoft.com/sharepoint/v3/contenttype/forms"/>
  </ds:schemaRefs>
</ds:datastoreItem>
</file>

<file path=customXml/itemProps3.xml><?xml version="1.0" encoding="utf-8"?>
<ds:datastoreItem xmlns:ds="http://schemas.openxmlformats.org/officeDocument/2006/customXml" ds:itemID="{461FEB5A-3301-4510-A532-749A9F7D3AD8}">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Actitudes en la Comunidad Plan de Acción Específica</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Plan de Acción Específica de Actitudes en la Comunidad</dc:title>
  <dc:creator>Department of Social Services</dc:creator>
  <cp:keywords>[SEC=OFFICIAL]</cp:keywords>
  <cp:lastModifiedBy>User</cp:lastModifiedBy>
  <cp:revision>218</cp:revision>
  <cp:lastPrinted>2024-11-13T00:59:00Z</cp:lastPrinted>
  <dcterms:created xsi:type="dcterms:W3CDTF">2024-10-15T12:47:00Z</dcterms:created>
  <dcterms:modified xsi:type="dcterms:W3CDTF">2024-12-06T03:52:00Z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fdb301c8a9fb488d886bd6022f2b799d</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2024-10-14T01:08:40Z</vt:lpwstr>
  </property>
  <property fmtid="{D5CDD505-2E9C-101B-9397-08002B2CF9AE}" pid="10" name="MSIP_Label_eb34d90b-fc41-464d-af60-f74d721d0790_SiteId">
    <vt:lpwstr>61e36dd1-ca6e-4d61-aa0a-2b4eb88317a3</vt:lpwstr>
  </property>
  <property fmtid="{D5CDD505-2E9C-101B-9397-08002B2CF9AE}" pid="11" name="PMHMAC">
    <vt:lpwstr>v=2022.1;a=SHA256;h=36C986C2BBA748EA823E2F4AFCA1E95F0C35F439BAFFD7EE3D093A8F9DC8F1B0</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970EE87DF49356F2D342DA3A167DFC82</vt:lpwstr>
  </property>
  <property fmtid="{D5CDD505-2E9C-101B-9397-08002B2CF9AE}" pid="17" name="PM_Hash_Salt_Prev">
    <vt:lpwstr>D6146BEFEE712DD003389CE66B1D369E</vt:lpwstr>
  </property>
  <property fmtid="{D5CDD505-2E9C-101B-9397-08002B2CF9AE}" pid="18" name="PM_Hash_SHA1">
    <vt:lpwstr>328585DB26426B97DFACC7E23BBAD4AC36817824</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4EC7F0A056CD4FED9694C849007D3897</vt:lpwstr>
  </property>
  <property fmtid="{D5CDD505-2E9C-101B-9397-08002B2CF9AE}" pid="25" name="PM_OriginationTimeStamp">
    <vt:lpwstr>2024-10-14T01:08:40Z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