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0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7"/>
        <w:gridCol w:w="4913"/>
      </w:tblGrid>
      <w:tr w:rsidR="003304DA" w:rsidRPr="00AC14D5" w14:paraId="324FF969" w14:textId="77777777" w:rsidTr="003304DA">
        <w:trPr>
          <w:trHeight w:val="1442"/>
          <w:tblHeader/>
        </w:trPr>
        <w:tc>
          <w:tcPr>
            <w:tcW w:w="5597" w:type="dxa"/>
            <w:shd w:val="solid" w:color="230F4B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621ADE62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b/>
                <w:bCs/>
                <w:color w:val="FFFFFF" w:themeColor="background1"/>
                <w:sz w:val="68"/>
                <w:szCs w:val="6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C14D5">
              <w:rPr>
                <w:rFonts w:ascii="Calibri" w:hAnsi="Calibri" w:cs="Calibri"/>
                <w:b/>
                <w:bCs/>
                <w:color w:val="FFFFFF" w:themeColor="background1"/>
                <w:sz w:val="68"/>
                <w:szCs w:val="6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ADS Vision</w:t>
            </w:r>
          </w:p>
          <w:p w14:paraId="3BD23A15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color w:val="FFFFFF" w:themeColor="background1"/>
                <w:sz w:val="28"/>
                <w:szCs w:val="2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C14D5">
              <w:rPr>
                <w:rFonts w:ascii="Calibri" w:hAnsi="Calibri" w:cs="Calibri"/>
                <w:color w:val="FFFFFF"/>
                <w:spacing w:val="-3"/>
                <w:sz w:val="28"/>
                <w:szCs w:val="28"/>
                <w:lang w:val="en-US"/>
              </w:rPr>
              <w:t>An inclusive Australian society that ensures people with disability can fulfil their potential, as equal members of the community.</w:t>
            </w:r>
          </w:p>
        </w:tc>
        <w:tc>
          <w:tcPr>
            <w:tcW w:w="4913" w:type="dxa"/>
            <w:shd w:val="clear" w:color="auto" w:fill="DFDBE5"/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0B0B015D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Provide national leadership towards greater inclusion of people with disability</w:t>
            </w:r>
          </w:p>
          <w:p w14:paraId="403FF612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Guide activity across all areas of public policy to be inclusive and responsive to people with disability</w:t>
            </w:r>
          </w:p>
          <w:p w14:paraId="70CFED99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Drive mainstream services and systems to improve outcomes for people with disability</w:t>
            </w:r>
          </w:p>
          <w:p w14:paraId="73DAF759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Engage, inform and involve the whole community in achieving a more inclusive society.</w:t>
            </w:r>
          </w:p>
        </w:tc>
      </w:tr>
      <w:tr w:rsidR="003304DA" w:rsidRPr="00AC14D5" w14:paraId="014D2586" w14:textId="77777777" w:rsidTr="003304DA">
        <w:trPr>
          <w:trHeight w:val="227"/>
          <w:tblHeader/>
        </w:trPr>
        <w:tc>
          <w:tcPr>
            <w:tcW w:w="10510" w:type="dxa"/>
            <w:gridSpan w:val="2"/>
            <w:shd w:val="clear" w:color="auto" w:fill="FFFFFF" w:themeFill="background1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411FF029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textAlignment w:val="center"/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</w:pPr>
          </w:p>
        </w:tc>
      </w:tr>
      <w:tr w:rsidR="003304DA" w:rsidRPr="00AC14D5" w14:paraId="7E83E5F9" w14:textId="77777777" w:rsidTr="00B81CFC">
        <w:trPr>
          <w:trHeight w:val="60"/>
          <w:tblHeader/>
        </w:trPr>
        <w:tc>
          <w:tcPr>
            <w:tcW w:w="5597" w:type="dxa"/>
            <w:shd w:val="solid" w:color="502C65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07A523E1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  <w:drawing>
                <wp:inline distT="0" distB="0" distL="0" distR="0" wp14:anchorId="22FEF2AF" wp14:editId="29B0EF54">
                  <wp:extent cx="903600" cy="903600"/>
                  <wp:effectExtent l="0" t="0" r="0" b="0"/>
                  <wp:docPr id="80435108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5108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E29EE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  <w:t>Outcome Areas</w:t>
            </w:r>
          </w:p>
          <w:p w14:paraId="687B87D5" w14:textId="70967FAC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noProof/>
                <w:color w:val="FFFFFF"/>
                <w:spacing w:val="-3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 xml:space="preserve">These are the areas that people with disability have </w:t>
            </w:r>
            <w:r w:rsid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br/>
            </w: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 xml:space="preserve">said need to improve. Governments have agreed to </w:t>
            </w:r>
            <w:r w:rsid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br/>
            </w: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>focus on these.</w:t>
            </w:r>
          </w:p>
        </w:tc>
        <w:tc>
          <w:tcPr>
            <w:tcW w:w="4913" w:type="dxa"/>
            <w:shd w:val="clear" w:color="auto" w:fill="EDEAF0"/>
            <w:tcMar>
              <w:left w:w="284" w:type="dxa"/>
              <w:right w:w="284" w:type="dxa"/>
            </w:tcMar>
          </w:tcPr>
          <w:p w14:paraId="6616DBFB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Supported by policy priorities:</w:t>
            </w:r>
          </w:p>
          <w:p w14:paraId="160211B7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Employment and Financial Security</w:t>
            </w:r>
          </w:p>
          <w:p w14:paraId="686E51AD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Inclusive Homes and Communities</w:t>
            </w:r>
          </w:p>
          <w:p w14:paraId="6B403C87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Safety, Rights and Justice</w:t>
            </w:r>
          </w:p>
          <w:p w14:paraId="1A5EE95A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Personal and Community Support</w:t>
            </w:r>
          </w:p>
          <w:p w14:paraId="462AE129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Education and Learning</w:t>
            </w:r>
          </w:p>
          <w:p w14:paraId="760CB5F6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Health and Wellbeing</w:t>
            </w:r>
          </w:p>
          <w:p w14:paraId="60AD96ED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Community Attitudes</w:t>
            </w:r>
          </w:p>
        </w:tc>
      </w:tr>
      <w:tr w:rsidR="003304DA" w:rsidRPr="00AC14D5" w14:paraId="05A7D9AA" w14:textId="77777777" w:rsidTr="003304DA">
        <w:trPr>
          <w:trHeight w:val="227"/>
          <w:tblHeader/>
        </w:trPr>
        <w:tc>
          <w:tcPr>
            <w:tcW w:w="10510" w:type="dxa"/>
            <w:gridSpan w:val="2"/>
            <w:shd w:val="clear" w:color="auto" w:fill="FFFFFF" w:themeFill="background1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251A8688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textAlignment w:val="center"/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</w:pPr>
          </w:p>
        </w:tc>
      </w:tr>
      <w:tr w:rsidR="003304DA" w:rsidRPr="00AC14D5" w14:paraId="1C43348B" w14:textId="77777777" w:rsidTr="003304DA">
        <w:trPr>
          <w:trHeight w:val="1228"/>
          <w:tblHeader/>
        </w:trPr>
        <w:tc>
          <w:tcPr>
            <w:tcW w:w="5597" w:type="dxa"/>
            <w:shd w:val="solid" w:color="246951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13560276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  <w:drawing>
                <wp:inline distT="0" distB="0" distL="0" distR="0" wp14:anchorId="03DA357F" wp14:editId="654303A7">
                  <wp:extent cx="903600" cy="903600"/>
                  <wp:effectExtent l="0" t="0" r="0" b="0"/>
                  <wp:docPr id="1972831472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831472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92914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  <w:t>Connecting</w:t>
            </w:r>
          </w:p>
          <w:p w14:paraId="2599D7A8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noProof/>
                <w:color w:val="FFFFFF"/>
                <w:spacing w:val="-3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>How we engage with you.</w:t>
            </w:r>
          </w:p>
        </w:tc>
        <w:tc>
          <w:tcPr>
            <w:tcW w:w="4913" w:type="dxa"/>
            <w:shd w:val="clear" w:color="auto" w:fill="E9EEED"/>
            <w:tcMar>
              <w:left w:w="284" w:type="dxa"/>
              <w:right w:w="284" w:type="dxa"/>
            </w:tcMar>
            <w:vAlign w:val="center"/>
          </w:tcPr>
          <w:p w14:paraId="19F31762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Australia's Disability Strategy Advisory Council</w:t>
            </w:r>
          </w:p>
          <w:p w14:paraId="1DD4CBCB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Australia's Disability Strategy Hub (located on the Disability Gateway)</w:t>
            </w:r>
          </w:p>
          <w:p w14:paraId="079ADF46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Good Practice Guidelines for the Engagement of People with Disability</w:t>
            </w:r>
          </w:p>
          <w:p w14:paraId="5B744091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National Public Forums</w:t>
            </w:r>
          </w:p>
          <w:p w14:paraId="15DDE71A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State and Territory Public Forums</w:t>
            </w:r>
          </w:p>
          <w:p w14:paraId="7CF77D8C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Public consultations with people with disability</w:t>
            </w:r>
          </w:p>
          <w:p w14:paraId="3D987166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Engagements with Disability Representative </w:t>
            </w:r>
            <w:proofErr w:type="spellStart"/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Organisations</w:t>
            </w:r>
            <w:proofErr w:type="spellEnd"/>
          </w:p>
        </w:tc>
      </w:tr>
      <w:tr w:rsidR="003304DA" w:rsidRPr="00AC14D5" w14:paraId="0AD9DDE6" w14:textId="77777777" w:rsidTr="003304DA">
        <w:trPr>
          <w:trHeight w:val="227"/>
          <w:tblHeader/>
        </w:trPr>
        <w:tc>
          <w:tcPr>
            <w:tcW w:w="10510" w:type="dxa"/>
            <w:gridSpan w:val="2"/>
            <w:shd w:val="clear" w:color="auto" w:fill="FFFFFF" w:themeFill="background1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59436DD8" w14:textId="75EEA650" w:rsidR="003304DA" w:rsidRPr="00AC14D5" w:rsidRDefault="00B81CFC" w:rsidP="003304DA">
            <w:pPr>
              <w:autoSpaceDE w:val="0"/>
              <w:autoSpaceDN w:val="0"/>
              <w:adjustRightInd w:val="0"/>
              <w:spacing w:beforeLines="20" w:before="48" w:afterLines="20" w:after="48"/>
              <w:textAlignment w:val="center"/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000000" w:themeColor="text1"/>
                <w:spacing w:val="-3"/>
                <w:sz w:val="18"/>
                <w:szCs w:val="18"/>
                <w:lang w:val="en-US"/>
              </w:rPr>
              <w:t>There is interaction between ‘Connecting’ and ‘Taking action’ areas.</w:t>
            </w:r>
          </w:p>
        </w:tc>
      </w:tr>
      <w:tr w:rsidR="003304DA" w:rsidRPr="00AC14D5" w14:paraId="12BF5E13" w14:textId="77777777" w:rsidTr="003304DA">
        <w:trPr>
          <w:trHeight w:val="1248"/>
          <w:tblHeader/>
        </w:trPr>
        <w:tc>
          <w:tcPr>
            <w:tcW w:w="5597" w:type="dxa"/>
            <w:shd w:val="solid" w:color="2C6295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63227FA4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  <w:drawing>
                <wp:inline distT="0" distB="0" distL="0" distR="0" wp14:anchorId="56F0188D" wp14:editId="53EAAEDD">
                  <wp:extent cx="903600" cy="903600"/>
                  <wp:effectExtent l="0" t="0" r="0" b="0"/>
                  <wp:docPr id="167294856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94856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7B488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  <w:t>Taking action</w:t>
            </w:r>
          </w:p>
          <w:p w14:paraId="1A25AC36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noProof/>
                <w:color w:val="FFFFFF"/>
                <w:spacing w:val="-3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>How we create change.</w:t>
            </w:r>
          </w:p>
        </w:tc>
        <w:tc>
          <w:tcPr>
            <w:tcW w:w="4913" w:type="dxa"/>
            <w:shd w:val="clear" w:color="auto" w:fill="EAEFF4"/>
            <w:tcMar>
              <w:left w:w="284" w:type="dxa"/>
              <w:right w:w="284" w:type="dxa"/>
            </w:tcMar>
            <w:vAlign w:val="center"/>
          </w:tcPr>
          <w:p w14:paraId="324C4F30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Embedding the Guiding Principles in government policies, programs and services.</w:t>
            </w:r>
          </w:p>
          <w:p w14:paraId="3486A76D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Driving change against the Outcome Areas, and their policy priorities.</w:t>
            </w:r>
          </w:p>
          <w:p w14:paraId="2CD1C2E9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Delivering Targeted Action Plans and Associated Plans.</w:t>
            </w:r>
          </w:p>
          <w:p w14:paraId="062F34F9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Building the evidence base through the National Disability Data Asset and National Disability Research Partnership and data improvement plan.</w:t>
            </w:r>
          </w:p>
          <w:p w14:paraId="5C0FDD24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Embedding the voice of people with disability across all National Plans.</w:t>
            </w:r>
          </w:p>
          <w:p w14:paraId="67A3A01E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Delivering on the Disability Royal Commission recommendations.</w:t>
            </w:r>
          </w:p>
          <w:p w14:paraId="0B428A46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Disability Reform Ministerial Council.</w:t>
            </w:r>
          </w:p>
        </w:tc>
      </w:tr>
      <w:tr w:rsidR="003304DA" w:rsidRPr="00AC14D5" w14:paraId="60558EBD" w14:textId="77777777" w:rsidTr="003304DA">
        <w:trPr>
          <w:trHeight w:val="227"/>
          <w:tblHeader/>
        </w:trPr>
        <w:tc>
          <w:tcPr>
            <w:tcW w:w="10510" w:type="dxa"/>
            <w:gridSpan w:val="2"/>
            <w:shd w:val="clear" w:color="auto" w:fill="FFFFFF" w:themeFill="background1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5288ACAF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textAlignment w:val="center"/>
              <w:rPr>
                <w:rFonts w:ascii="Calibri" w:hAnsi="Calibri" w:cs="Calibri"/>
                <w:b/>
                <w:bCs/>
                <w:noProof/>
                <w:color w:val="000000" w:themeColor="text1"/>
                <w:spacing w:val="-3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000000" w:themeColor="text1"/>
                <w:spacing w:val="-3"/>
                <w:sz w:val="18"/>
                <w:szCs w:val="18"/>
                <w:lang w:val="en-US"/>
              </w:rPr>
              <w:t>There is interaction between ‘Connecting’ and ‘Taking action’ areas.</w:t>
            </w:r>
          </w:p>
        </w:tc>
      </w:tr>
      <w:tr w:rsidR="003304DA" w:rsidRPr="00AC14D5" w14:paraId="1C70AFD1" w14:textId="77777777" w:rsidTr="003304DA">
        <w:trPr>
          <w:trHeight w:val="1228"/>
          <w:tblHeader/>
        </w:trPr>
        <w:tc>
          <w:tcPr>
            <w:tcW w:w="5597" w:type="dxa"/>
            <w:shd w:val="solid" w:color="A9003C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4D51C858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FFFFFF"/>
                <w:spacing w:val="-3"/>
                <w:sz w:val="22"/>
                <w:szCs w:val="22"/>
                <w:lang w:val="en-US"/>
              </w:rPr>
              <w:drawing>
                <wp:inline distT="0" distB="0" distL="0" distR="0" wp14:anchorId="6D4345B9" wp14:editId="48D6CA8F">
                  <wp:extent cx="838200" cy="838200"/>
                  <wp:effectExtent l="0" t="0" r="0" b="0"/>
                  <wp:docPr id="1869283615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283615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86" cy="84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FB015" w14:textId="77777777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en-US"/>
              </w:rPr>
              <w:t>Impact</w:t>
            </w:r>
          </w:p>
          <w:p w14:paraId="1E9306D9" w14:textId="1B7CD0BB" w:rsidR="003304DA" w:rsidRPr="00AC14D5" w:rsidRDefault="003304DA" w:rsidP="003304DA">
            <w:p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right="274"/>
              <w:jc w:val="center"/>
              <w:textAlignment w:val="center"/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</w:pP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 xml:space="preserve">How will we know the impact and that </w:t>
            </w:r>
            <w:r w:rsid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br/>
            </w:r>
            <w:r w:rsidRPr="00AC14D5">
              <w:rPr>
                <w:rFonts w:ascii="Calibri" w:hAnsi="Calibri" w:cs="Calibri"/>
                <w:color w:val="FFFFFF"/>
                <w:spacing w:val="-3"/>
                <w:sz w:val="22"/>
                <w:szCs w:val="22"/>
                <w:lang w:val="en-US"/>
              </w:rPr>
              <w:t>change is happening.</w:t>
            </w:r>
          </w:p>
        </w:tc>
        <w:tc>
          <w:tcPr>
            <w:tcW w:w="4913" w:type="dxa"/>
            <w:shd w:val="clear" w:color="auto" w:fill="F6E5EB"/>
            <w:tcMar>
              <w:left w:w="284" w:type="dxa"/>
              <w:right w:w="284" w:type="dxa"/>
            </w:tcMar>
            <w:vAlign w:val="center"/>
          </w:tcPr>
          <w:p w14:paraId="097A77EB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Outcomes Framework quarterly and annual reporting</w:t>
            </w:r>
          </w:p>
          <w:p w14:paraId="3A5737FB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Targeted Action Plan reporting</w:t>
            </w:r>
          </w:p>
          <w:p w14:paraId="3F0B6835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Two-yearly implementation reporting</w:t>
            </w:r>
          </w:p>
          <w:p w14:paraId="33A992CB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Evaluation reporting</w:t>
            </w:r>
          </w:p>
          <w:p w14:paraId="0B7151E9" w14:textId="6B0E5F5E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Reporting Australia's commitment under the United Nations Convention on the Rights of Persons with Disability</w:t>
            </w:r>
          </w:p>
          <w:p w14:paraId="15601B28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Australia's Disability Strategy Advisory Council</w:t>
            </w:r>
          </w:p>
          <w:p w14:paraId="22FE9A43" w14:textId="77777777" w:rsidR="003304DA" w:rsidRPr="00AC14D5" w:rsidRDefault="003304DA" w:rsidP="003304DA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Lines="20" w:before="48" w:afterLines="20" w:after="48"/>
              <w:ind w:left="284" w:hanging="284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National Disability Data Asset Council</w:t>
            </w:r>
          </w:p>
        </w:tc>
      </w:tr>
      <w:tr w:rsidR="003304DA" w:rsidRPr="00AC14D5" w14:paraId="1E0AE4F9" w14:textId="77777777" w:rsidTr="003304DA">
        <w:trPr>
          <w:trHeight w:val="227"/>
          <w:tblHeader/>
        </w:trPr>
        <w:tc>
          <w:tcPr>
            <w:tcW w:w="10510" w:type="dxa"/>
            <w:gridSpan w:val="2"/>
            <w:shd w:val="clear" w:color="auto" w:fill="FFFFFF" w:themeFill="background1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2A15B699" w14:textId="731829FC" w:rsidR="003304DA" w:rsidRPr="00AC14D5" w:rsidRDefault="003304DA" w:rsidP="003304DA">
            <w:pPr>
              <w:autoSpaceDE w:val="0"/>
              <w:autoSpaceDN w:val="0"/>
              <w:adjustRightInd w:val="0"/>
              <w:spacing w:beforeLines="20" w:before="48" w:afterLines="20" w:after="48"/>
              <w:textAlignment w:val="center"/>
              <w:rPr>
                <w:rFonts w:ascii="Calibri" w:hAnsi="Calibri" w:cs="Calibri"/>
                <w:b/>
                <w:bCs/>
                <w:noProof/>
                <w:color w:val="000000" w:themeColor="text1"/>
                <w:spacing w:val="-3"/>
                <w:sz w:val="20"/>
                <w:szCs w:val="20"/>
                <w:lang w:val="en-US"/>
              </w:rPr>
            </w:pPr>
            <w:r w:rsidRPr="00AC14D5">
              <w:rPr>
                <w:rFonts w:ascii="Calibri" w:hAnsi="Calibri" w:cs="Calibri"/>
                <w:b/>
                <w:bCs/>
                <w:noProof/>
                <w:color w:val="000000" w:themeColor="text1"/>
                <w:spacing w:val="-3"/>
                <w:sz w:val="20"/>
                <w:szCs w:val="20"/>
                <w:lang w:val="en-US"/>
              </w:rPr>
              <w:t>There is interaction between both ‘Connecting’ and ‘Taking action’ and  the ‘Impact’  area.</w:t>
            </w:r>
          </w:p>
        </w:tc>
      </w:tr>
    </w:tbl>
    <w:p w14:paraId="7CD52705" w14:textId="77777777" w:rsidR="00042BBE" w:rsidRPr="00AC14D5" w:rsidRDefault="00042BBE" w:rsidP="003304DA">
      <w:pPr>
        <w:rPr>
          <w:rFonts w:ascii="Calibri" w:hAnsi="Calibri" w:cs="Calibri"/>
        </w:rPr>
      </w:pPr>
    </w:p>
    <w:sectPr w:rsidR="00042BBE" w:rsidRPr="00AC14D5" w:rsidSect="003304DA">
      <w:pgSz w:w="11900" w:h="19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B201" w14:textId="77777777" w:rsidR="004E7DF8" w:rsidRDefault="004E7DF8" w:rsidP="004E7DF8">
      <w:r>
        <w:separator/>
      </w:r>
    </w:p>
  </w:endnote>
  <w:endnote w:type="continuationSeparator" w:id="0">
    <w:p w14:paraId="62C9923D" w14:textId="77777777" w:rsidR="004E7DF8" w:rsidRDefault="004E7DF8" w:rsidP="004E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lsonProHea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lsonPro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0274" w14:textId="77777777" w:rsidR="004E7DF8" w:rsidRDefault="004E7DF8" w:rsidP="004E7DF8">
      <w:r>
        <w:separator/>
      </w:r>
    </w:p>
  </w:footnote>
  <w:footnote w:type="continuationSeparator" w:id="0">
    <w:p w14:paraId="0334078D" w14:textId="77777777" w:rsidR="004E7DF8" w:rsidRDefault="004E7DF8" w:rsidP="004E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4DAC"/>
    <w:multiLevelType w:val="hybridMultilevel"/>
    <w:tmpl w:val="16CE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C1245"/>
    <w:multiLevelType w:val="hybridMultilevel"/>
    <w:tmpl w:val="0F76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E780C"/>
    <w:multiLevelType w:val="hybridMultilevel"/>
    <w:tmpl w:val="80F2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55750">
    <w:abstractNumId w:val="2"/>
  </w:num>
  <w:num w:numId="2" w16cid:durableId="1850489718">
    <w:abstractNumId w:val="1"/>
  </w:num>
  <w:num w:numId="3" w16cid:durableId="23096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A"/>
    <w:rsid w:val="00014BDD"/>
    <w:rsid w:val="00042BBE"/>
    <w:rsid w:val="000D0F67"/>
    <w:rsid w:val="003304DA"/>
    <w:rsid w:val="003C7C09"/>
    <w:rsid w:val="00410921"/>
    <w:rsid w:val="00450851"/>
    <w:rsid w:val="004E7DF8"/>
    <w:rsid w:val="0056753A"/>
    <w:rsid w:val="005D6660"/>
    <w:rsid w:val="00630F1C"/>
    <w:rsid w:val="006F6AD2"/>
    <w:rsid w:val="00762B92"/>
    <w:rsid w:val="007849E1"/>
    <w:rsid w:val="00825565"/>
    <w:rsid w:val="0097687F"/>
    <w:rsid w:val="00A81988"/>
    <w:rsid w:val="00AC14D5"/>
    <w:rsid w:val="00AF66C4"/>
    <w:rsid w:val="00B81CFC"/>
    <w:rsid w:val="00CD3EA3"/>
    <w:rsid w:val="00DB1738"/>
    <w:rsid w:val="00E412AA"/>
    <w:rsid w:val="00E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5599"/>
  <w15:chartTrackingRefBased/>
  <w15:docId w15:val="{CCAEE1D3-2ABE-3C4A-B267-0D8F39A9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2AA"/>
    <w:pPr>
      <w:autoSpaceDE w:val="0"/>
      <w:autoSpaceDN w:val="0"/>
      <w:adjustRightInd w:val="0"/>
      <w:spacing w:after="109" w:line="1000" w:lineRule="atLeast"/>
      <w:textAlignment w:val="center"/>
      <w:outlineLvl w:val="0"/>
    </w:pPr>
    <w:rPr>
      <w:rFonts w:ascii="FilsonProHeavy" w:hAnsi="FilsonProHeavy" w:cs="FilsonProHeavy"/>
      <w:color w:val="FFFFFF" w:themeColor="background1"/>
      <w:sz w:val="48"/>
      <w:szCs w:val="4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412AA"/>
    <w:rPr>
      <w:rFonts w:ascii="FilsonProHeavy" w:hAnsi="FilsonProHeavy" w:cs="FilsonProHeavy"/>
      <w:color w:val="FFFFFF" w:themeColor="background1"/>
      <w:sz w:val="48"/>
      <w:szCs w:val="48"/>
      <w:lang w:val="en-US"/>
      <w14:textOutline w14:w="9525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AA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E412A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1">
    <w:name w:val="H1"/>
    <w:basedOn w:val="NoParagraphStyle"/>
    <w:uiPriority w:val="99"/>
    <w:rsid w:val="00E412AA"/>
    <w:pPr>
      <w:spacing w:after="624" w:line="1000" w:lineRule="atLeast"/>
    </w:pPr>
    <w:rPr>
      <w:rFonts w:ascii="FilsonProMedium" w:hAnsi="FilsonProMedium" w:cs="FilsonProMedium"/>
      <w:color w:val="2C6295"/>
      <w:sz w:val="96"/>
      <w:szCs w:val="96"/>
    </w:rPr>
  </w:style>
  <w:style w:type="paragraph" w:customStyle="1" w:styleId="H3">
    <w:name w:val="H3"/>
    <w:basedOn w:val="Normal"/>
    <w:uiPriority w:val="99"/>
    <w:rsid w:val="00E412AA"/>
    <w:pPr>
      <w:suppressAutoHyphens/>
      <w:autoSpaceDE w:val="0"/>
      <w:autoSpaceDN w:val="0"/>
      <w:adjustRightInd w:val="0"/>
      <w:spacing w:after="164" w:line="280" w:lineRule="atLeast"/>
      <w:ind w:right="274"/>
      <w:textAlignment w:val="center"/>
    </w:pPr>
    <w:rPr>
      <w:rFonts w:ascii="NunitoSans-SemiBold" w:hAnsi="NunitoSans-SemiBold" w:cs="NunitoSans-SemiBold"/>
      <w:b/>
      <w:bCs/>
      <w:color w:val="FFFFFF"/>
      <w:spacing w:val="-3"/>
      <w:sz w:val="22"/>
      <w:szCs w:val="22"/>
      <w:lang w:val="en-US"/>
    </w:rPr>
  </w:style>
  <w:style w:type="paragraph" w:customStyle="1" w:styleId="05DOTPOINTS">
    <w:name w:val="05. DOT POINTS"/>
    <w:basedOn w:val="Normal"/>
    <w:uiPriority w:val="99"/>
    <w:rsid w:val="00E412AA"/>
    <w:pPr>
      <w:suppressAutoHyphens/>
      <w:autoSpaceDE w:val="0"/>
      <w:autoSpaceDN w:val="0"/>
      <w:adjustRightInd w:val="0"/>
      <w:spacing w:after="57" w:line="280" w:lineRule="atLeast"/>
      <w:ind w:left="283" w:hanging="283"/>
      <w:textAlignment w:val="center"/>
    </w:pPr>
    <w:rPr>
      <w:rFonts w:ascii="NunitoSans-Regular" w:hAnsi="NunitoSans-Regular" w:cs="NunitoSans-Regular"/>
      <w:color w:val="000000"/>
      <w:sz w:val="20"/>
      <w:szCs w:val="20"/>
      <w:lang w:val="en-US"/>
    </w:rPr>
  </w:style>
  <w:style w:type="paragraph" w:customStyle="1" w:styleId="H2">
    <w:name w:val="H2"/>
    <w:basedOn w:val="Normal"/>
    <w:uiPriority w:val="99"/>
    <w:rsid w:val="00E412AA"/>
    <w:pPr>
      <w:autoSpaceDE w:val="0"/>
      <w:autoSpaceDN w:val="0"/>
      <w:adjustRightInd w:val="0"/>
      <w:spacing w:after="113" w:line="276" w:lineRule="auto"/>
      <w:textAlignment w:val="center"/>
    </w:pPr>
    <w:rPr>
      <w:rFonts w:ascii="FilsonProHeavy" w:hAnsi="FilsonProHeavy" w:cs="FilsonProHeavy"/>
      <w:color w:val="FFFFF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2135</Characters>
  <Application>Microsoft Office Word</Application>
  <DocSecurity>4</DocSecurity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Attard</dc:creator>
  <cp:keywords>[SEC=OFFICIAL]</cp:keywords>
  <dc:description/>
  <cp:lastModifiedBy>ROOKE, Ken</cp:lastModifiedBy>
  <cp:revision>2</cp:revision>
  <dcterms:created xsi:type="dcterms:W3CDTF">2024-12-17T04:19:00Z</dcterms:created>
  <dcterms:modified xsi:type="dcterms:W3CDTF">2024-12-17T04:19:00Z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v=2022.1;a=SHA256;h=7F659D4C1915B6875C02D785A00B30D5F7D36528D764FDB22D58A241835AC861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2024-12-17T04:18:04Z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2024-12-17T04:18:04Z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6aa8aafdc2fc48d2b099f3f1ed01d9a7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371559A62E42EE9C5F8444A3ACBAAB03DF10DB48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E87DE59CB797419687D5A127401B338A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3F8E745917A54A9CC05A0057D348ADC5B3126006AAE77D7F74ED9681700E7A35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BB79F41145BF1A2B77BDF50BC90838E5</vt:lpwstr>
  </property>
  <property fmtid="{D5CDD505-2E9C-101B-9397-08002B2CF9AE}" pid="32" name="PM_Hash_Salt">
    <vt:lpwstr>64252C908BBC148FA7FE02392EEAADC8</vt:lpwstr>
  </property>
  <property fmtid="{D5CDD505-2E9C-101B-9397-08002B2CF9AE}" pid="33" name="PM_Hash_SHA1">
    <vt:lpwstr>89ADE83D7C9564D5460A846241519CE9F0EB3537</vt:lpwstr>
  </property>
</Properties>
</file>