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67163" w14:textId="1E63F063" w:rsidR="00560F8E" w:rsidRPr="00A4104F" w:rsidRDefault="005014F8" w:rsidP="00462B14">
      <w:pPr>
        <w:pStyle w:val="Heading2"/>
        <w:bidi/>
        <w:spacing w:before="0" w:after="120" w:line="276" w:lineRule="auto"/>
        <w:rPr>
          <w:rFonts w:ascii="Dubai" w:hAnsi="Dubai" w:cs="Dubai"/>
        </w:rPr>
      </w:pPr>
      <w:r>
        <w:rPr>
          <w:rFonts w:ascii="Dubai" w:hAnsi="Dubai" w:cs="Dubai"/>
          <w:noProof/>
        </w:rPr>
        <mc:AlternateContent>
          <mc:Choice Requires="wps">
            <w:drawing>
              <wp:anchor distT="0" distB="0" distL="114300" distR="114300" simplePos="0" relativeHeight="251663360" behindDoc="0" locked="0" layoutInCell="1" allowOverlap="1" wp14:anchorId="7B09D4B6" wp14:editId="5F603E1C">
                <wp:simplePos x="0" y="0"/>
                <wp:positionH relativeFrom="column">
                  <wp:posOffset>4987290</wp:posOffset>
                </wp:positionH>
                <wp:positionV relativeFrom="paragraph">
                  <wp:posOffset>2772220</wp:posOffset>
                </wp:positionV>
                <wp:extent cx="1449120" cy="406704"/>
                <wp:effectExtent l="0" t="0" r="0" b="0"/>
                <wp:wrapNone/>
                <wp:docPr id="1" name="Text Box 1"/>
                <wp:cNvGraphicFramePr/>
                <a:graphic xmlns:a="http://schemas.openxmlformats.org/drawingml/2006/main">
                  <a:graphicData uri="http://schemas.microsoft.com/office/word/2010/wordprocessingShape">
                    <wps:wsp>
                      <wps:cNvSpPr txBox="1"/>
                      <wps:spPr>
                        <a:xfrm>
                          <a:off x="0" y="0"/>
                          <a:ext cx="1449120" cy="406704"/>
                        </a:xfrm>
                        <a:prstGeom prst="rect">
                          <a:avLst/>
                        </a:prstGeom>
                        <a:noFill/>
                        <a:ln w="6350">
                          <a:noFill/>
                        </a:ln>
                      </wps:spPr>
                      <wps:txbx>
                        <w:txbxContent>
                          <w:p w14:paraId="1689AB27" w14:textId="77777777" w:rsidR="005014F8" w:rsidRPr="005014F8" w:rsidRDefault="005014F8" w:rsidP="005014F8">
                            <w:pPr>
                              <w:rPr>
                                <w:rFonts w:ascii="Dubai" w:hAnsi="Dubai" w:cs="Dubai"/>
                                <w:color w:val="FFFFFF" w:themeColor="background1"/>
                                <w:sz w:val="32"/>
                                <w:szCs w:val="32"/>
                              </w:rPr>
                            </w:pPr>
                            <w:r w:rsidRPr="005014F8">
                              <w:rPr>
                                <w:rFonts w:ascii="Dubai" w:hAnsi="Dubai" w:cs="Dubai"/>
                                <w:color w:val="FFFFFF" w:themeColor="background1"/>
                                <w:sz w:val="32"/>
                                <w:szCs w:val="32"/>
                              </w:rPr>
                              <w:t xml:space="preserve">Arabic | </w:t>
                            </w:r>
                            <w:r w:rsidRPr="005014F8">
                              <w:rPr>
                                <w:rFonts w:ascii="Dubai" w:hAnsi="Dubai" w:cs="Dubai"/>
                                <w:color w:val="FFFFFF" w:themeColor="background1"/>
                                <w:sz w:val="32"/>
                                <w:szCs w:val="32"/>
                                <w:rtl/>
                              </w:rPr>
                              <w:t>العربية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09D4B6" id="_x0000_t202" coordsize="21600,21600" o:spt="202" path="m,l,21600r21600,l21600,xe">
                <v:stroke joinstyle="miter"/>
                <v:path gradientshapeok="t" o:connecttype="rect"/>
              </v:shapetype>
              <v:shape id="Text Box 1" o:spid="_x0000_s1026" type="#_x0000_t202" style="position:absolute;left:0;text-align:left;margin-left:392.7pt;margin-top:218.3pt;width:114.1pt;height: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" filled="f" stroked="f" strokeweight=".5pt">
                <v:textbox>
                  <w:txbxContent>
                    <w:p w14:paraId="1689AB27" w14:textId="77777777" w:rsidR="005014F8" w:rsidRPr="005014F8" w:rsidRDefault="005014F8" w:rsidP="005014F8">
                      <w:pPr>
                        <w:rPr>
                          <w:rFonts w:ascii="Dubai" w:hAnsi="Dubai" w:cs="Dubai"/>
                          <w:color w:val="FFFFFF" w:themeColor="background1"/>
                          <w:sz w:val="32"/>
                          <w:szCs w:val="32"/>
                        </w:rPr>
                      </w:pPr>
                      <w:r w:rsidRPr="005014F8">
                        <w:rPr>
                          <w:rFonts w:ascii="Dubai" w:hAnsi="Dubai" w:cs="Dubai"/>
                          <w:color w:val="FFFFFF" w:themeColor="background1"/>
                          <w:sz w:val="32"/>
                          <w:szCs w:val="32"/>
                        </w:rPr>
                        <w:t xml:space="preserve">Arabic | </w:t>
                      </w:r>
                      <w:r w:rsidRPr="005014F8">
                        <w:rPr>
                          <w:rFonts w:ascii="Dubai" w:hAnsi="Dubai" w:cs="Dubai"/>
                          <w:color w:val="FFFFFF" w:themeColor="background1"/>
                          <w:sz w:val="32"/>
                          <w:szCs w:val="32"/>
                          <w:rtl/>
                        </w:rPr>
                        <w:t>العربية</w:t>
                      </w:r>
                    </w:p>
                  </w:txbxContent>
                </v:textbox>
              </v:shape>
            </w:pict>
          </mc:Fallback>
        </mc:AlternateContent>
      </w:r>
      <w:r w:rsidR="00A4104F" w:rsidRPr="00A4104F">
        <w:rPr>
          <w:rFonts w:ascii="Dubai" w:hAnsi="Dubai" w:cs="Dubai"/>
          <w:noProof/>
        </w:rPr>
        <w:drawing>
          <wp:anchor distT="0" distB="0" distL="114300" distR="114300" simplePos="0" relativeHeight="251658240" behindDoc="1" locked="0" layoutInCell="1" allowOverlap="1" wp14:anchorId="7F1EBF13" wp14:editId="01CAEDDB">
            <wp:simplePos x="0" y="0"/>
            <wp:positionH relativeFrom="page">
              <wp:posOffset>-233680</wp:posOffset>
            </wp:positionH>
            <wp:positionV relativeFrom="margin">
              <wp:posOffset>2342515</wp:posOffset>
            </wp:positionV>
            <wp:extent cx="7794625" cy="7806690"/>
            <wp:effectExtent l="0" t="0" r="0" b="3810"/>
            <wp:wrapNone/>
            <wp:docPr id="46477390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773904" name="Picture 3">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rcRect t="29196"/>
                    <a:stretch>
                      <a:fillRect/>
                    </a:stretch>
                  </pic:blipFill>
                  <pic:spPr bwMode="auto">
                    <a:xfrm>
                      <a:off x="0" y="0"/>
                      <a:ext cx="7794625" cy="78066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104F" w:rsidRPr="00A4104F">
        <w:rPr>
          <w:rFonts w:ascii="Dubai" w:hAnsi="Dubai" w:cs="Dubai"/>
          <w:noProof/>
        </w:rPr>
        <mc:AlternateContent>
          <mc:Choice Requires="wps">
            <w:drawing>
              <wp:anchor distT="45720" distB="45720" distL="114300" distR="114300" simplePos="0" relativeHeight="251660288" behindDoc="0" locked="0" layoutInCell="1" allowOverlap="1" wp14:anchorId="3DDAEF76" wp14:editId="7987836E">
                <wp:simplePos x="0" y="0"/>
                <wp:positionH relativeFrom="margin">
                  <wp:align>center</wp:align>
                </wp:positionH>
                <wp:positionV relativeFrom="page">
                  <wp:posOffset>4648200</wp:posOffset>
                </wp:positionV>
                <wp:extent cx="7137400" cy="506730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0" cy="5067300"/>
                        </a:xfrm>
                        <a:prstGeom prst="rect">
                          <a:avLst/>
                        </a:prstGeom>
                        <a:noFill/>
                        <a:ln w="9525">
                          <a:noFill/>
                          <a:miter lim="800000"/>
                          <a:headEnd/>
                          <a:tailEnd/>
                        </a:ln>
                      </wps:spPr>
                      <wps:txbx>
                        <w:txbxContent>
                          <w:p w14:paraId="136B2851" w14:textId="77777777" w:rsidR="00B731AF" w:rsidRPr="00A4104F" w:rsidRDefault="00000000" w:rsidP="00B731AF">
                            <w:pPr>
                              <w:pStyle w:val="BodyText"/>
                              <w:bidi/>
                              <w:rPr>
                                <w:rFonts w:ascii="Dubai" w:hAnsi="Dubai" w:cs="Dubai"/>
                                <w:b/>
                                <w:bCs/>
                                <w:color w:val="FFFFFF" w:themeColor="background1"/>
                                <w:sz w:val="96"/>
                                <w:szCs w:val="96"/>
                              </w:rPr>
                            </w:pPr>
                            <w:r w:rsidRPr="00A4104F">
                              <w:rPr>
                                <w:rFonts w:ascii="Dubai" w:hAnsi="Dubai" w:cs="Dubai"/>
                                <w:b/>
                                <w:bCs/>
                                <w:color w:val="FFFFFF" w:themeColor="background1"/>
                                <w:sz w:val="96"/>
                                <w:szCs w:val="96"/>
                                <w:rtl/>
                                <w:lang w:val="ar"/>
                              </w:rPr>
                              <w:t>خطط العمل المستهدفة</w:t>
                            </w:r>
                          </w:p>
                          <w:p w14:paraId="10F6777B" w14:textId="77777777" w:rsidR="00B731AF" w:rsidRPr="00A4104F" w:rsidRDefault="00000000" w:rsidP="00B731AF">
                            <w:pPr>
                              <w:pStyle w:val="BodyText"/>
                              <w:bidi/>
                              <w:rPr>
                                <w:rFonts w:ascii="Dubai" w:hAnsi="Dubai" w:cs="Dubai"/>
                                <w:b/>
                                <w:bCs/>
                                <w:i/>
                                <w:iCs/>
                                <w:color w:val="FFFFFF" w:themeColor="background1"/>
                                <w:sz w:val="96"/>
                                <w:szCs w:val="96"/>
                              </w:rPr>
                            </w:pPr>
                            <w:r w:rsidRPr="00A4104F">
                              <w:rPr>
                                <w:rFonts w:ascii="Dubai" w:hAnsi="Dubai" w:cs="Dubai"/>
                                <w:b/>
                                <w:bCs/>
                                <w:i/>
                                <w:iCs/>
                                <w:color w:val="FFFFFF" w:themeColor="background1"/>
                                <w:sz w:val="96"/>
                                <w:szCs w:val="96"/>
                                <w:rtl/>
                                <w:lang w:val="ar"/>
                              </w:rPr>
                              <w:t>2025 – 2027</w:t>
                            </w:r>
                          </w:p>
                          <w:p w14:paraId="5A526B2B" w14:textId="77777777" w:rsidR="00532B9A" w:rsidRPr="00A4104F" w:rsidRDefault="00000000" w:rsidP="003534F0">
                            <w:pPr>
                              <w:pStyle w:val="BodyText"/>
                              <w:bidi/>
                              <w:rPr>
                                <w:rFonts w:ascii="Dubai" w:hAnsi="Dubai" w:cs="Dubai"/>
                                <w:b/>
                                <w:bCs/>
                                <w:i/>
                                <w:iCs/>
                                <w:color w:val="FFFFFF" w:themeColor="background1"/>
                                <w:sz w:val="96"/>
                                <w:szCs w:val="96"/>
                              </w:rPr>
                            </w:pPr>
                            <w:r w:rsidRPr="00A4104F">
                              <w:rPr>
                                <w:rFonts w:ascii="Dubai" w:hAnsi="Dubai" w:cs="Dubai"/>
                                <w:b/>
                                <w:bCs/>
                                <w:color w:val="FFFFFF" w:themeColor="background1"/>
                                <w:sz w:val="96"/>
                                <w:szCs w:val="96"/>
                                <w:rtl/>
                                <w:lang w:val="ar"/>
                              </w:rPr>
                              <w:t>نظرة عامة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AEF76" id="Text Box 2" o:spid="_x0000_s1027" type="#_x0000_t202" style="position:absolute;left:0;text-align:left;margin-left:0;margin-top:366pt;width:562pt;height:399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" filled="f" stroked="f">
                <v:textbox>
                  <w:txbxContent>
                    <w:p w14:paraId="136B2851" w14:textId="77777777" w:rsidR="00B731AF" w:rsidRPr="00A4104F" w:rsidRDefault="00000000" w:rsidP="00B731AF">
                      <w:pPr>
                        <w:pStyle w:val="BodyText"/>
                        <w:bidi/>
                        <w:rPr>
                          <w:rFonts w:ascii="Dubai" w:hAnsi="Dubai" w:cs="Dubai"/>
                          <w:b/>
                          <w:bCs/>
                          <w:color w:val="FFFFFF" w:themeColor="background1"/>
                          <w:sz w:val="96"/>
                          <w:szCs w:val="96"/>
                        </w:rPr>
                      </w:pPr>
                      <w:r w:rsidRPr="00A4104F">
                        <w:rPr>
                          <w:rFonts w:ascii="Dubai" w:hAnsi="Dubai" w:cs="Dubai"/>
                          <w:b/>
                          <w:bCs/>
                          <w:color w:val="FFFFFF" w:themeColor="background1"/>
                          <w:sz w:val="96"/>
                          <w:szCs w:val="96"/>
                          <w:rtl/>
                          <w:lang w:val="ar"/>
                        </w:rPr>
                        <w:t>خطط العمل المستهدفة</w:t>
                      </w:r>
                    </w:p>
                    <w:p w14:paraId="10F6777B" w14:textId="77777777" w:rsidR="00B731AF" w:rsidRPr="00A4104F" w:rsidRDefault="00000000" w:rsidP="00B731AF">
                      <w:pPr>
                        <w:pStyle w:val="BodyText"/>
                        <w:bidi/>
                        <w:rPr>
                          <w:rFonts w:ascii="Dubai" w:hAnsi="Dubai" w:cs="Dubai"/>
                          <w:b/>
                          <w:bCs/>
                          <w:i/>
                          <w:iCs/>
                          <w:color w:val="FFFFFF" w:themeColor="background1"/>
                          <w:sz w:val="96"/>
                          <w:szCs w:val="96"/>
                        </w:rPr>
                      </w:pPr>
                      <w:r w:rsidRPr="00A4104F">
                        <w:rPr>
                          <w:rFonts w:ascii="Dubai" w:hAnsi="Dubai" w:cs="Dubai"/>
                          <w:b/>
                          <w:bCs/>
                          <w:i/>
                          <w:iCs/>
                          <w:color w:val="FFFFFF" w:themeColor="background1"/>
                          <w:sz w:val="96"/>
                          <w:szCs w:val="96"/>
                          <w:rtl/>
                          <w:lang w:val="ar"/>
                        </w:rPr>
                        <w:t>2025 – 2027</w:t>
                      </w:r>
                    </w:p>
                    <w:p w14:paraId="5A526B2B" w14:textId="77777777" w:rsidR="00532B9A" w:rsidRPr="00A4104F" w:rsidRDefault="00000000" w:rsidP="003534F0">
                      <w:pPr>
                        <w:pStyle w:val="BodyText"/>
                        <w:bidi/>
                        <w:rPr>
                          <w:rFonts w:ascii="Dubai" w:hAnsi="Dubai" w:cs="Dubai"/>
                          <w:b/>
                          <w:bCs/>
                          <w:i/>
                          <w:iCs/>
                          <w:color w:val="FFFFFF" w:themeColor="background1"/>
                          <w:sz w:val="96"/>
                          <w:szCs w:val="96"/>
                        </w:rPr>
                      </w:pPr>
                      <w:r w:rsidRPr="00A4104F">
                        <w:rPr>
                          <w:rFonts w:ascii="Dubai" w:hAnsi="Dubai" w:cs="Dubai"/>
                          <w:b/>
                          <w:bCs/>
                          <w:color w:val="FFFFFF" w:themeColor="background1"/>
                          <w:sz w:val="96"/>
                          <w:szCs w:val="96"/>
                          <w:rtl/>
                          <w:lang w:val="ar"/>
                        </w:rPr>
                        <w:t>نظرة عامة</w:t>
                      </w:r>
                    </w:p>
                  </w:txbxContent>
                </v:textbox>
                <w10:wrap type="topAndBottom" anchorx="margin" anchory="page"/>
              </v:shape>
            </w:pict>
          </mc:Fallback>
        </mc:AlternateContent>
      </w:r>
      <w:r w:rsidR="00AF2AF4" w:rsidRPr="00A4104F">
        <w:rPr>
          <w:rFonts w:ascii="Dubai" w:hAnsi="Dubai" w:cs="Dubai"/>
          <w:noProof/>
        </w:rPr>
        <w:drawing>
          <wp:anchor distT="0" distB="900430" distL="114300" distR="2700655" simplePos="0" relativeHeight="251661312" behindDoc="0" locked="1" layoutInCell="1" allowOverlap="0" wp14:anchorId="74F68725" wp14:editId="0ECC3F48">
            <wp:simplePos x="0" y="0"/>
            <wp:positionH relativeFrom="margin">
              <wp:align>left</wp:align>
            </wp:positionH>
            <wp:positionV relativeFrom="page">
              <wp:posOffset>609600</wp:posOffset>
            </wp:positionV>
            <wp:extent cx="2505075" cy="1389380"/>
            <wp:effectExtent l="0" t="0" r="9525" b="1270"/>
            <wp:wrapTopAndBottom/>
            <wp:docPr id="1985999492" name="Picture 1985999492" descr="شعار Australia's Disability Strategy 2021 - 2031 (استراتيجية الإعاقة الخاصة بأستراليا ٢٠٢١ - ٢٠٣١)، إنشاء مجتمع محلي شمولي معً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999492" name="Picture 1985999492" descr="شعار Australia's Disability Strategy 2021 - 2031 (استراتيجية الإعاقة الخاصة بأستراليا ٢٠٢١ - ٢٠٣١)، إنشاء مجتمع محلي شمولي معًا."/>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05075" cy="1389380"/>
                    </a:xfrm>
                    <a:prstGeom prst="rect">
                      <a:avLst/>
                    </a:prstGeom>
                  </pic:spPr>
                </pic:pic>
              </a:graphicData>
            </a:graphic>
            <wp14:sizeRelH relativeFrom="page">
              <wp14:pctWidth>0</wp14:pctWidth>
            </wp14:sizeRelH>
            <wp14:sizeRelV relativeFrom="page">
              <wp14:pctHeight>0</wp14:pctHeight>
            </wp14:sizeRelV>
          </wp:anchor>
        </w:drawing>
      </w:r>
      <w:r w:rsidR="00560F8E" w:rsidRPr="00A4104F">
        <w:rPr>
          <w:rFonts w:ascii="Dubai" w:eastAsia="Aptos" w:hAnsi="Dubai" w:cs="Dubai"/>
          <w:color w:val="5B9BD5" w:themeColor="accent1"/>
          <w:sz w:val="28"/>
          <w:szCs w:val="28"/>
          <w:rtl/>
          <w:lang w:val="ar" w:eastAsia="ja-JP"/>
        </w:rPr>
        <w:br w:type="page"/>
      </w:r>
      <w:r w:rsidR="00560F8E" w:rsidRPr="00A4104F">
        <w:rPr>
          <w:rFonts w:ascii="Dubai" w:eastAsia="Aptos" w:hAnsi="Dubai" w:cs="Dubai"/>
          <w:color w:val="5B9BD5" w:themeColor="accent1"/>
          <w:sz w:val="28"/>
          <w:szCs w:val="28"/>
          <w:rtl/>
          <w:lang w:val="ar" w:eastAsia="ja-JP"/>
        </w:rPr>
        <w:lastRenderedPageBreak/>
        <w:t>ما هي خطط العمل المستهدفة (TAPs)؟</w:t>
      </w:r>
    </w:p>
    <w:p w14:paraId="1658A9B3" w14:textId="77777777" w:rsidR="00560F8E" w:rsidRPr="00A4104F" w:rsidRDefault="00000000" w:rsidP="00560F8E">
      <w:pPr>
        <w:bidi/>
        <w:rPr>
          <w:rFonts w:ascii="Dubai" w:eastAsia="Aptos" w:hAnsi="Dubai" w:cs="Dubai"/>
          <w:color w:val="000000" w:themeColor="text1"/>
          <w:sz w:val="24"/>
          <w:szCs w:val="24"/>
        </w:rPr>
      </w:pPr>
      <w:r w:rsidRPr="00A4104F">
        <w:rPr>
          <w:rFonts w:ascii="Dubai" w:eastAsia="Aptos" w:hAnsi="Dubai" w:cs="Dubai"/>
          <w:color w:val="000000" w:themeColor="text1"/>
          <w:sz w:val="24"/>
          <w:szCs w:val="24"/>
          <w:rtl/>
          <w:lang w:val="ar"/>
        </w:rPr>
        <w:t>كجزء من استراتيجية أستراليا للإعاقة (ADS)، وضعت الحكومات خطط عمل مستهدفة (TAPs) لإحراز تقدم في تحقيق النتائج في مجالات محددة من استراتيجية أستراليا للإعاقة. تطبق خطط العمل المستهدفة تركيزًا مكثفًا على مدى سنة إلى ثلاث سنوات لتحقيق مخرجات محددة، مما يحسن النتائج للأشخاص ذوي الإعاقة.</w:t>
      </w:r>
    </w:p>
    <w:p w14:paraId="6272FD7C" w14:textId="77777777" w:rsidR="00560F8E" w:rsidRPr="00A4104F" w:rsidRDefault="00000000" w:rsidP="00560F8E">
      <w:pPr>
        <w:bidi/>
        <w:rPr>
          <w:rFonts w:ascii="Dubai" w:eastAsia="Aptos" w:hAnsi="Dubai" w:cs="Dubai"/>
          <w:color w:val="000000" w:themeColor="text1"/>
          <w:sz w:val="24"/>
          <w:szCs w:val="24"/>
        </w:rPr>
      </w:pPr>
      <w:r w:rsidRPr="00A4104F">
        <w:rPr>
          <w:rFonts w:ascii="Dubai" w:eastAsia="Aptos" w:hAnsi="Dubai" w:cs="Dubai"/>
          <w:color w:val="000000" w:themeColor="text1"/>
          <w:sz w:val="24"/>
          <w:szCs w:val="24"/>
          <w:rtl/>
          <w:lang w:val="ar"/>
        </w:rPr>
        <w:t>يتم تفويض كل خطة عمل مستهدفة والموافقة عليها من قبل الوزراء الأستراليين في مجال الإعاقة وتتضمن سلسلة من الإجراءات المستهدفة والمنسقة من الحكومات. تستند الإجراءات إلى الأدلة المتاحة والملاحظات من الأشخاص ذوي الإعاقة حول ما هو مهم بالنسبة لهم. وسيتم تنفيذ الإجراءات بالتشاور مع الأشخاص ذوي الإعاقة. </w:t>
      </w:r>
    </w:p>
    <w:p w14:paraId="7073667F" w14:textId="77777777" w:rsidR="003B7707" w:rsidRPr="00A4104F" w:rsidRDefault="00000000" w:rsidP="2AF35288">
      <w:pPr>
        <w:bidi/>
        <w:rPr>
          <w:rFonts w:ascii="Dubai" w:eastAsia="Aptos" w:hAnsi="Dubai" w:cs="Dubai"/>
          <w:color w:val="000000" w:themeColor="text1"/>
          <w:sz w:val="24"/>
          <w:szCs w:val="24"/>
        </w:rPr>
      </w:pPr>
      <w:r w:rsidRPr="00A4104F">
        <w:rPr>
          <w:rFonts w:ascii="Dubai" w:eastAsia="Aptos" w:hAnsi="Dubai" w:cs="Dubai"/>
          <w:color w:val="000000" w:themeColor="text1"/>
          <w:sz w:val="24"/>
          <w:szCs w:val="24"/>
          <w:rtl/>
          <w:lang w:val="ar"/>
        </w:rPr>
        <w:t>تم تصميم خطط العمل المستهدفة (TAPs) من أجل:</w:t>
      </w:r>
    </w:p>
    <w:p w14:paraId="162FF7EC" w14:textId="77777777" w:rsidR="003B7707" w:rsidRPr="00A4104F" w:rsidRDefault="00000000" w:rsidP="246FC6CD">
      <w:pPr>
        <w:pStyle w:val="ListParagraph"/>
        <w:numPr>
          <w:ilvl w:val="1"/>
          <w:numId w:val="5"/>
        </w:numPr>
        <w:bidi/>
        <w:ind w:left="720"/>
        <w:rPr>
          <w:rFonts w:ascii="Dubai" w:eastAsia="Aptos" w:hAnsi="Dubai" w:cs="Dubai"/>
          <w:color w:val="000000" w:themeColor="text1"/>
          <w:sz w:val="24"/>
          <w:szCs w:val="24"/>
        </w:rPr>
      </w:pPr>
      <w:r w:rsidRPr="00A4104F">
        <w:rPr>
          <w:rFonts w:ascii="Dubai" w:eastAsia="Aptos" w:hAnsi="Dubai" w:cs="Dubai"/>
          <w:color w:val="000000" w:themeColor="text1"/>
          <w:sz w:val="24"/>
          <w:szCs w:val="24"/>
          <w:rtl/>
          <w:lang w:val="ar"/>
        </w:rPr>
        <w:t xml:space="preserve">تنسيق الجهود والاستثمارات من جميع الحكومات في المجالات الرئيسية. </w:t>
      </w:r>
    </w:p>
    <w:p w14:paraId="4946CDDC" w14:textId="77777777" w:rsidR="003B7707" w:rsidRPr="00A4104F" w:rsidRDefault="00000000" w:rsidP="246FC6CD">
      <w:pPr>
        <w:numPr>
          <w:ilvl w:val="1"/>
          <w:numId w:val="5"/>
        </w:numPr>
        <w:bidi/>
        <w:ind w:left="720"/>
        <w:rPr>
          <w:rFonts w:ascii="Dubai" w:eastAsia="Aptos" w:hAnsi="Dubai" w:cs="Dubai"/>
          <w:color w:val="000000" w:themeColor="text1"/>
          <w:sz w:val="24"/>
          <w:szCs w:val="24"/>
        </w:rPr>
      </w:pPr>
      <w:r w:rsidRPr="00A4104F">
        <w:rPr>
          <w:rFonts w:ascii="Dubai" w:eastAsia="Aptos" w:hAnsi="Dubai" w:cs="Dubai"/>
          <w:color w:val="000000" w:themeColor="text1"/>
          <w:sz w:val="24"/>
          <w:szCs w:val="24"/>
          <w:rtl/>
          <w:lang w:val="ar"/>
        </w:rPr>
        <w:t>التركيز على المجالات التي أخبرنا الأشخاص ذوو الإعاقة أنها بحاجة إلى اتخاذ إجراءات فورية، وحيث سيؤدي تحقيق نتائج أفضل إلى إحداث أكبر فرق في حياتهم.</w:t>
      </w:r>
    </w:p>
    <w:p w14:paraId="3C544272" w14:textId="77777777" w:rsidR="003B7707" w:rsidRPr="00A4104F" w:rsidRDefault="00000000" w:rsidP="00C841EC">
      <w:pPr>
        <w:pStyle w:val="Heading2"/>
        <w:bidi/>
        <w:spacing w:before="0" w:after="120" w:line="276" w:lineRule="auto"/>
        <w:rPr>
          <w:rFonts w:ascii="Dubai" w:eastAsia="Aptos" w:hAnsi="Dubai" w:cs="Dubai"/>
          <w:color w:val="5B9BD5" w:themeColor="accent1"/>
          <w:sz w:val="28"/>
          <w:szCs w:val="28"/>
          <w:lang w:eastAsia="ja-JP"/>
        </w:rPr>
      </w:pPr>
      <w:r w:rsidRPr="00A4104F">
        <w:rPr>
          <w:rFonts w:ascii="Dubai" w:eastAsia="Aptos" w:hAnsi="Dubai" w:cs="Dubai"/>
          <w:color w:val="5B9BD5" w:themeColor="accent1"/>
          <w:sz w:val="28"/>
          <w:szCs w:val="28"/>
          <w:rtl/>
          <w:lang w:val="ar" w:eastAsia="ja-JP"/>
        </w:rPr>
        <w:t>التطوير والاستشارات</w:t>
      </w:r>
    </w:p>
    <w:p w14:paraId="0785DADF" w14:textId="77777777" w:rsidR="003B7707" w:rsidRPr="00A4104F" w:rsidRDefault="00000000" w:rsidP="003B7707">
      <w:pPr>
        <w:bidi/>
        <w:rPr>
          <w:rFonts w:ascii="Dubai" w:eastAsia="Aptos" w:hAnsi="Dubai" w:cs="Dubai"/>
          <w:color w:val="000000" w:themeColor="text1"/>
          <w:sz w:val="24"/>
          <w:szCs w:val="24"/>
        </w:rPr>
      </w:pPr>
      <w:r w:rsidRPr="00A4104F">
        <w:rPr>
          <w:rFonts w:ascii="Dubai" w:eastAsia="Aptos" w:hAnsi="Dubai" w:cs="Dubai"/>
          <w:color w:val="000000" w:themeColor="text1"/>
          <w:sz w:val="24"/>
          <w:szCs w:val="24"/>
          <w:rtl/>
          <w:lang w:val="ar"/>
        </w:rPr>
        <w:t>تم إدماج مجتمع الإعاقة بشكل كبير، من خلال مجموعة متنوعة من الموضوعات، منذ إطلاق استراتيجية أستراليا للإعاقة (ADS). نحن نحترم ما قاله مجتمع الإعاقة. لم يكن تطوير خطة العمل المستهدفة هذه ممكنًا بدون الأشخاص ذوي الإعاقة وأسرهم ومقدمي الرعاية والمنظمات الممثلة للإعاقة (DROs) والمجلس الاستشاري لاستراتيجية أستراليا للإعاقة (ADS) الذين شاركوا في منتديات استراتيجية أستراليا للإعاقة وأنشطة المشاركة الأخرى. </w:t>
      </w:r>
    </w:p>
    <w:p w14:paraId="352A4D1E" w14:textId="77777777" w:rsidR="003B7707" w:rsidRPr="00A4104F" w:rsidRDefault="00000000" w:rsidP="003B7707">
      <w:pPr>
        <w:bidi/>
        <w:rPr>
          <w:rFonts w:ascii="Dubai" w:eastAsia="Aptos" w:hAnsi="Dubai" w:cs="Dubai"/>
          <w:color w:val="000000" w:themeColor="text1"/>
          <w:sz w:val="24"/>
          <w:szCs w:val="24"/>
        </w:rPr>
      </w:pPr>
      <w:r w:rsidRPr="00A4104F">
        <w:rPr>
          <w:rFonts w:ascii="Dubai" w:eastAsia="Aptos" w:hAnsi="Dubai" w:cs="Dubai"/>
          <w:color w:val="000000" w:themeColor="text1"/>
          <w:sz w:val="24"/>
          <w:szCs w:val="24"/>
          <w:rtl/>
          <w:lang w:val="ar"/>
        </w:rPr>
        <w:t xml:space="preserve">كجزء من مراجعة استراتيجية أستراليا للإعاقة، قام تحليل شامل لتقارير البحث والاستشارة الحالية بتجميع الآراء والنصائح الواردة من مجتمع الإعاقة في رؤى مفيدة حول استراتيجية أستراليا للإعاقة وخطط العمل المستهدفة. وقد تمت مراجعة الملاحظات والنظر فيها أثناء المشاركة مع الأشخاص ذوي الإعاقة والمنظمات الممثلة للإعاقة (DROs)، والمجلس الاستشاري لاستراتيجية أستراليا للإعاقة (ADS) ومجموعات حوكمة استراتيجية أستراليا للإعاقة الأخرى. </w:t>
      </w:r>
    </w:p>
    <w:p w14:paraId="32DD42E7" w14:textId="77777777" w:rsidR="003B7707" w:rsidRPr="00A4104F" w:rsidRDefault="00000000" w:rsidP="00C841EC">
      <w:pPr>
        <w:pStyle w:val="Heading2"/>
        <w:bidi/>
        <w:spacing w:before="0" w:after="120" w:line="276" w:lineRule="auto"/>
        <w:rPr>
          <w:rFonts w:ascii="Dubai" w:eastAsia="Aptos" w:hAnsi="Dubai" w:cs="Dubai"/>
          <w:color w:val="5B9BD5" w:themeColor="accent1"/>
          <w:sz w:val="28"/>
          <w:szCs w:val="28"/>
          <w:lang w:eastAsia="ja-JP"/>
        </w:rPr>
      </w:pPr>
      <w:r w:rsidRPr="00A4104F">
        <w:rPr>
          <w:rFonts w:ascii="Dubai" w:eastAsia="Aptos" w:hAnsi="Dubai" w:cs="Dubai"/>
          <w:color w:val="5B9BD5" w:themeColor="accent1"/>
          <w:sz w:val="28"/>
          <w:szCs w:val="28"/>
          <w:rtl/>
          <w:lang w:val="ar" w:eastAsia="ja-JP"/>
        </w:rPr>
        <w:t>هيكل خطط العمل المستهدفة</w:t>
      </w:r>
    </w:p>
    <w:p w14:paraId="6D5C6AF0" w14:textId="77777777" w:rsidR="003B7707" w:rsidRPr="00A4104F" w:rsidRDefault="00000000" w:rsidP="003B7707">
      <w:pPr>
        <w:bidi/>
        <w:rPr>
          <w:rFonts w:ascii="Dubai" w:eastAsia="Aptos" w:hAnsi="Dubai" w:cs="Dubai"/>
          <w:color w:val="000000" w:themeColor="text1"/>
          <w:sz w:val="24"/>
          <w:szCs w:val="24"/>
        </w:rPr>
      </w:pPr>
      <w:r w:rsidRPr="00A4104F">
        <w:rPr>
          <w:rFonts w:ascii="Dubai" w:eastAsia="Aptos" w:hAnsi="Dubai" w:cs="Dubai"/>
          <w:color w:val="000000" w:themeColor="text1"/>
          <w:sz w:val="24"/>
          <w:szCs w:val="24"/>
          <w:rtl/>
          <w:lang w:val="ar"/>
        </w:rPr>
        <w:t>تم تنقيح هيكل خطط العمل المستهدفة الجديدة من خطط العمل المستهدفة السابقة. تشمل الاختلافات الملحوظة مساهمة الولايات والأقاليم في الإجراءات الحكومية بأكملها لضمان اتباع نُهُج متناسقة، ومؤشرات أكثر تركيزًا تعمل على إظهار التحسن بدلاً من الأهداف العشوائية لتعكس أن الولايات والأقاليم قد تنطلق من أسس مختلفة وبمستويات مختلفة من الموارد. </w:t>
      </w:r>
    </w:p>
    <w:p w14:paraId="0D7F5CEC" w14:textId="77777777" w:rsidR="003B7707" w:rsidRPr="00A4104F" w:rsidRDefault="00000000" w:rsidP="2AF35288">
      <w:pPr>
        <w:bidi/>
        <w:spacing w:after="120"/>
        <w:rPr>
          <w:rFonts w:ascii="Dubai" w:eastAsia="Aptos" w:hAnsi="Dubai" w:cs="Dubai"/>
          <w:color w:val="000000" w:themeColor="text1"/>
          <w:sz w:val="24"/>
          <w:szCs w:val="24"/>
        </w:rPr>
      </w:pPr>
      <w:r w:rsidRPr="00A4104F">
        <w:rPr>
          <w:rFonts w:ascii="Dubai" w:eastAsia="Aptos" w:hAnsi="Dubai" w:cs="Dubai"/>
          <w:color w:val="000000" w:themeColor="text1"/>
          <w:sz w:val="24"/>
          <w:szCs w:val="24"/>
          <w:rtl/>
          <w:lang w:val="ar"/>
        </w:rPr>
        <w:lastRenderedPageBreak/>
        <w:t>هناك ثلاث خطط عمل مستهدفة جديدة.</w:t>
      </w:r>
    </w:p>
    <w:p w14:paraId="6A1C7437" w14:textId="77777777" w:rsidR="003B7707" w:rsidRPr="00A4104F" w:rsidRDefault="00000000" w:rsidP="00C841EC">
      <w:pPr>
        <w:pStyle w:val="ListParagraph"/>
        <w:numPr>
          <w:ilvl w:val="0"/>
          <w:numId w:val="8"/>
        </w:numPr>
        <w:bidi/>
        <w:rPr>
          <w:rFonts w:ascii="Dubai" w:eastAsia="Aptos" w:hAnsi="Dubai" w:cs="Dubai"/>
          <w:color w:val="000000" w:themeColor="text1"/>
          <w:sz w:val="24"/>
          <w:szCs w:val="24"/>
        </w:rPr>
      </w:pPr>
      <w:r w:rsidRPr="00A4104F">
        <w:rPr>
          <w:rFonts w:ascii="Dubai" w:eastAsia="Aptos" w:hAnsi="Dubai" w:cs="Dubai"/>
          <w:color w:val="000000" w:themeColor="text1"/>
          <w:sz w:val="24"/>
          <w:szCs w:val="24"/>
          <w:rtl/>
          <w:lang w:val="ar"/>
        </w:rPr>
        <w:t>منازل ومجتمعات شاملة</w:t>
      </w:r>
    </w:p>
    <w:p w14:paraId="60A361CE" w14:textId="77777777" w:rsidR="003B7707" w:rsidRPr="00A4104F" w:rsidRDefault="00000000" w:rsidP="003534F0">
      <w:pPr>
        <w:pStyle w:val="ListParagraph"/>
        <w:keepNext/>
        <w:numPr>
          <w:ilvl w:val="0"/>
          <w:numId w:val="8"/>
        </w:numPr>
        <w:bidi/>
        <w:ind w:left="714" w:hanging="357"/>
        <w:rPr>
          <w:rFonts w:ascii="Dubai" w:eastAsia="Aptos" w:hAnsi="Dubai" w:cs="Dubai"/>
          <w:color w:val="000000" w:themeColor="text1"/>
          <w:sz w:val="24"/>
          <w:szCs w:val="24"/>
        </w:rPr>
      </w:pPr>
      <w:r w:rsidRPr="00A4104F">
        <w:rPr>
          <w:rFonts w:ascii="Dubai" w:eastAsia="Aptos" w:hAnsi="Dubai" w:cs="Dubai"/>
          <w:color w:val="000000" w:themeColor="text1"/>
          <w:sz w:val="24"/>
          <w:szCs w:val="24"/>
          <w:rtl/>
          <w:lang w:val="ar"/>
        </w:rPr>
        <w:t>مواقف المجتمع</w:t>
      </w:r>
    </w:p>
    <w:p w14:paraId="76EC1764" w14:textId="77777777" w:rsidR="003B7707" w:rsidRPr="00A4104F" w:rsidRDefault="00000000" w:rsidP="00C841EC">
      <w:pPr>
        <w:pStyle w:val="ListParagraph"/>
        <w:numPr>
          <w:ilvl w:val="0"/>
          <w:numId w:val="8"/>
        </w:numPr>
        <w:bidi/>
        <w:rPr>
          <w:rFonts w:ascii="Dubai" w:eastAsia="Aptos" w:hAnsi="Dubai" w:cs="Dubai"/>
          <w:color w:val="000000" w:themeColor="text1"/>
          <w:sz w:val="24"/>
          <w:szCs w:val="24"/>
        </w:rPr>
      </w:pPr>
      <w:r w:rsidRPr="00A4104F">
        <w:rPr>
          <w:rFonts w:ascii="Dubai" w:eastAsia="Aptos" w:hAnsi="Dubai" w:cs="Dubai"/>
          <w:color w:val="000000" w:themeColor="text1"/>
          <w:sz w:val="24"/>
          <w:szCs w:val="24"/>
          <w:rtl/>
          <w:lang w:val="ar"/>
        </w:rPr>
        <w:t>السلامة والحقوق والعدالة</w:t>
      </w:r>
    </w:p>
    <w:p w14:paraId="5A4A4552" w14:textId="77777777" w:rsidR="003B7707" w:rsidRPr="00A4104F" w:rsidRDefault="00000000" w:rsidP="00C841EC">
      <w:pPr>
        <w:pStyle w:val="Heading2"/>
        <w:bidi/>
        <w:spacing w:before="0" w:after="120" w:line="276" w:lineRule="auto"/>
        <w:rPr>
          <w:rFonts w:ascii="Dubai" w:eastAsia="Aptos" w:hAnsi="Dubai" w:cs="Dubai"/>
          <w:color w:val="5B9BD5" w:themeColor="accent1"/>
          <w:sz w:val="28"/>
          <w:szCs w:val="28"/>
          <w:lang w:eastAsia="ja-JP"/>
        </w:rPr>
      </w:pPr>
      <w:r w:rsidRPr="00A4104F">
        <w:rPr>
          <w:rFonts w:ascii="Dubai" w:eastAsia="Aptos" w:hAnsi="Dubai" w:cs="Dubai"/>
          <w:color w:val="5B9BD5" w:themeColor="accent1"/>
          <w:sz w:val="28"/>
          <w:szCs w:val="28"/>
          <w:rtl/>
          <w:lang w:val="ar" w:eastAsia="ja-JP"/>
        </w:rPr>
        <w:t>القياس والإبلاغ</w:t>
      </w:r>
    </w:p>
    <w:p w14:paraId="6E524D80" w14:textId="77777777" w:rsidR="000920EA" w:rsidRPr="00A4104F" w:rsidRDefault="00000000" w:rsidP="006E4A6A">
      <w:pPr>
        <w:bidi/>
        <w:rPr>
          <w:rFonts w:ascii="Dubai" w:eastAsia="Aptos" w:hAnsi="Dubai" w:cs="Dubai"/>
          <w:color w:val="000000" w:themeColor="text1"/>
          <w:sz w:val="24"/>
          <w:szCs w:val="24"/>
        </w:rPr>
      </w:pPr>
      <w:r w:rsidRPr="00A4104F">
        <w:rPr>
          <w:rFonts w:ascii="Dubai" w:eastAsia="Aptos" w:hAnsi="Dubai" w:cs="Dubai"/>
          <w:color w:val="000000" w:themeColor="text1"/>
          <w:sz w:val="24"/>
          <w:szCs w:val="24"/>
          <w:rtl/>
          <w:lang w:val="ar"/>
        </w:rPr>
        <w:t>ستسجل التقارير رفيعة المستوى حول خطط العمل المستهدفة تحديثات التقدم من الحكومة الأسترالية وحكومات الولايات والأقاليم والحكومات المحلية. وسيشمل ذلك الإبلاغ عن المؤشرات النوعية والكمية التي ستسمح للحكومات بتقديم تحديثات عن التقدم المحرز من شأنها تقديم رؤى مختلفة حول كيفية تنفيذ الإجراءات، وحيثما أمكن، كيف توفر هذه الإجراءات نتائج أفضل للأشخاص ذوي الإعاقة. سيتم تقديم تقارير مرحلية حول خطط العمل المستهدفة على أساس السنة المالية وسيتم نشرها بحلول نهاية ديسمبر/كانون الأول من كل عام. </w:t>
      </w:r>
    </w:p>
    <w:p w14:paraId="66742B39" w14:textId="77777777" w:rsidR="7B9D6556" w:rsidRPr="00A4104F" w:rsidRDefault="00000000" w:rsidP="006E4A6A">
      <w:pPr>
        <w:pStyle w:val="Heading2"/>
        <w:bidi/>
        <w:spacing w:after="120"/>
        <w:rPr>
          <w:rFonts w:ascii="Dubai" w:eastAsia="Aptos" w:hAnsi="Dubai" w:cs="Dubai"/>
          <w:sz w:val="28"/>
          <w:szCs w:val="28"/>
        </w:rPr>
      </w:pPr>
      <w:r w:rsidRPr="00A4104F">
        <w:rPr>
          <w:rFonts w:ascii="Dubai" w:eastAsia="Aptos" w:hAnsi="Dubai" w:cs="Dubai"/>
          <w:sz w:val="28"/>
          <w:szCs w:val="28"/>
          <w:rtl/>
          <w:lang w:val="ar"/>
        </w:rPr>
        <w:t>عمل إضافي</w:t>
      </w:r>
    </w:p>
    <w:p w14:paraId="11AB1023" w14:textId="77777777" w:rsidR="000920EA" w:rsidRPr="00A4104F" w:rsidRDefault="00000000" w:rsidP="006E4A6A">
      <w:pPr>
        <w:pStyle w:val="NoSpacing"/>
        <w:bidi/>
        <w:spacing w:before="160"/>
        <w:rPr>
          <w:rFonts w:ascii="Dubai" w:eastAsia="Aptos" w:hAnsi="Dubai" w:cs="Dubai"/>
          <w:sz w:val="24"/>
          <w:szCs w:val="24"/>
        </w:rPr>
      </w:pPr>
      <w:r w:rsidRPr="00A4104F">
        <w:rPr>
          <w:rFonts w:ascii="Dubai" w:eastAsia="Aptos" w:hAnsi="Dubai" w:cs="Dubai"/>
          <w:sz w:val="24"/>
          <w:szCs w:val="24"/>
          <w:rtl/>
          <w:lang w:val="ar"/>
        </w:rPr>
        <w:t xml:space="preserve">تشكل أحدث مجموعة من خطط العمل المستهدفة جزءًا من شبكة أوسع من الإصلاحات والإجراءات المتعلقة بالإعاقة. </w:t>
      </w:r>
    </w:p>
    <w:p w14:paraId="6A96CDCD" w14:textId="77777777" w:rsidR="000920EA" w:rsidRPr="00A4104F" w:rsidRDefault="00000000" w:rsidP="2AF35288">
      <w:pPr>
        <w:pStyle w:val="NoSpacing"/>
        <w:bidi/>
        <w:spacing w:after="120"/>
        <w:rPr>
          <w:rFonts w:ascii="Dubai" w:eastAsia="Aptos" w:hAnsi="Dubai" w:cs="Dubai"/>
          <w:sz w:val="24"/>
          <w:szCs w:val="24"/>
        </w:rPr>
      </w:pPr>
      <w:r w:rsidRPr="00A4104F">
        <w:rPr>
          <w:rFonts w:ascii="Dubai" w:eastAsia="Aptos" w:hAnsi="Dubai" w:cs="Dubai"/>
          <w:sz w:val="24"/>
          <w:szCs w:val="24"/>
          <w:rtl/>
          <w:lang w:val="ar"/>
        </w:rPr>
        <w:t>بما في ذلك خطط العمل الفردية للولايات والأقاليم:</w:t>
      </w:r>
    </w:p>
    <w:p w14:paraId="36622F6E" w14:textId="77777777" w:rsidR="15833127" w:rsidRPr="00A4104F" w:rsidRDefault="15833127" w:rsidP="7B9D6556">
      <w:pPr>
        <w:pStyle w:val="ListParagraph"/>
        <w:numPr>
          <w:ilvl w:val="0"/>
          <w:numId w:val="1"/>
        </w:numPr>
        <w:bidi/>
        <w:spacing w:after="170" w:line="300" w:lineRule="auto"/>
        <w:rPr>
          <w:rFonts w:ascii="Dubai" w:eastAsia="Aptos" w:hAnsi="Dubai" w:cs="Dubai"/>
          <w:color w:val="0563C1"/>
          <w:sz w:val="24"/>
          <w:szCs w:val="24"/>
          <w:lang w:val="en-AU"/>
        </w:rPr>
      </w:pPr>
      <w:hyperlink r:id="rId11">
        <w:r w:rsidRPr="00A4104F">
          <w:rPr>
            <w:rStyle w:val="Hyperlink"/>
            <w:rFonts w:ascii="Dubai" w:eastAsia="Aptos" w:hAnsi="Dubai" w:cs="Dubai"/>
            <w:color w:val="0563C1"/>
            <w:sz w:val="24"/>
            <w:szCs w:val="24"/>
            <w:rtl/>
            <w:lang w:val="ar"/>
          </w:rPr>
          <w:t>استراتيجية الإعاقة في إقليم العاصمة الأسترالية 2024-2033</w:t>
        </w:r>
      </w:hyperlink>
    </w:p>
    <w:p w14:paraId="6FC24F66" w14:textId="77777777" w:rsidR="15833127" w:rsidRPr="00A4104F" w:rsidRDefault="15833127" w:rsidP="00C841EC">
      <w:pPr>
        <w:pStyle w:val="ListParagraph"/>
        <w:numPr>
          <w:ilvl w:val="0"/>
          <w:numId w:val="1"/>
        </w:numPr>
        <w:bidi/>
        <w:spacing w:after="170" w:line="300" w:lineRule="auto"/>
        <w:ind w:left="714" w:hanging="357"/>
        <w:rPr>
          <w:rStyle w:val="Hyperlink"/>
          <w:rFonts w:ascii="Dubai" w:eastAsia="Aptos" w:hAnsi="Dubai" w:cs="Dubai"/>
          <w:color w:val="0563C1"/>
          <w:sz w:val="24"/>
          <w:szCs w:val="24"/>
          <w:u w:val="none"/>
          <w:lang w:val="en-AU"/>
        </w:rPr>
      </w:pPr>
      <w:hyperlink r:id="rId12">
        <w:r w:rsidRPr="00A4104F">
          <w:rPr>
            <w:rStyle w:val="Hyperlink"/>
            <w:rFonts w:ascii="Dubai" w:eastAsia="Aptos" w:hAnsi="Dubai" w:cs="Dubai"/>
            <w:color w:val="0563C1"/>
            <w:sz w:val="24"/>
            <w:szCs w:val="24"/>
            <w:rtl/>
            <w:lang w:val="ar"/>
          </w:rPr>
          <w:t>استراتيجية قضاء الإعاقة في إقليم العاصمة الأسترالية 2019-2029</w:t>
        </w:r>
      </w:hyperlink>
    </w:p>
    <w:p w14:paraId="0C6CDDFD" w14:textId="77777777" w:rsidR="00C36CBE" w:rsidRPr="00A4104F" w:rsidRDefault="00C36CBE" w:rsidP="00C36CBE">
      <w:pPr>
        <w:pStyle w:val="ListParagraph"/>
        <w:numPr>
          <w:ilvl w:val="0"/>
          <w:numId w:val="1"/>
        </w:numPr>
        <w:bidi/>
        <w:spacing w:after="170" w:line="300" w:lineRule="auto"/>
        <w:ind w:left="714" w:hanging="357"/>
        <w:rPr>
          <w:rFonts w:ascii="Dubai" w:eastAsia="Aptos" w:hAnsi="Dubai" w:cs="Dubai"/>
          <w:color w:val="0000FF"/>
          <w:sz w:val="24"/>
          <w:szCs w:val="24"/>
          <w:lang w:val="en-AU"/>
        </w:rPr>
      </w:pPr>
      <w:hyperlink r:id="rId13" w:history="1">
        <w:r w:rsidRPr="00A4104F">
          <w:rPr>
            <w:rStyle w:val="Hyperlink"/>
            <w:rFonts w:ascii="Dubai" w:eastAsia="Aptos" w:hAnsi="Dubai" w:cs="Dubai"/>
            <w:sz w:val="24"/>
            <w:szCs w:val="24"/>
            <w:rtl/>
            <w:lang w:val="ar"/>
          </w:rPr>
          <w:t>استراتيجية صحة الإعاقة في إقليم العاصمة الأسترالية 2023-2033</w:t>
        </w:r>
      </w:hyperlink>
    </w:p>
    <w:p w14:paraId="478CF5F9" w14:textId="77777777" w:rsidR="00C36CBE" w:rsidRPr="00A4104F" w:rsidRDefault="00C36CBE" w:rsidP="606992BB">
      <w:pPr>
        <w:pStyle w:val="ListParagraph"/>
        <w:numPr>
          <w:ilvl w:val="0"/>
          <w:numId w:val="1"/>
        </w:numPr>
        <w:bidi/>
        <w:spacing w:after="0" w:line="240" w:lineRule="auto"/>
        <w:rPr>
          <w:rStyle w:val="Hyperlink"/>
          <w:rFonts w:ascii="Dubai" w:eastAsia="Times New Roman" w:hAnsi="Dubai" w:cs="Dubai"/>
          <w:color w:val="auto"/>
          <w:sz w:val="24"/>
          <w:szCs w:val="24"/>
          <w:u w:val="none"/>
        </w:rPr>
      </w:pPr>
      <w:hyperlink r:id="rId14" w:history="1">
        <w:r w:rsidRPr="00A4104F">
          <w:rPr>
            <w:rStyle w:val="Hyperlink"/>
            <w:rFonts w:ascii="Dubai" w:eastAsia="Times New Roman" w:hAnsi="Dubai" w:cs="Dubai"/>
            <w:sz w:val="24"/>
            <w:szCs w:val="24"/>
            <w:rtl/>
            <w:lang w:val="ar"/>
          </w:rPr>
          <w:t>استراتيجية شمولية التعليم في إقليم العاصمة الأسترالية 2024-2034</w:t>
        </w:r>
      </w:hyperlink>
    </w:p>
    <w:p w14:paraId="05C51ABE" w14:textId="77777777" w:rsidR="15833127" w:rsidRPr="00A4104F" w:rsidRDefault="15833127" w:rsidP="00C841EC">
      <w:pPr>
        <w:pStyle w:val="ListParagraph"/>
        <w:numPr>
          <w:ilvl w:val="0"/>
          <w:numId w:val="1"/>
        </w:numPr>
        <w:bidi/>
        <w:spacing w:after="170" w:line="300" w:lineRule="auto"/>
        <w:ind w:left="714" w:hanging="357"/>
        <w:rPr>
          <w:rFonts w:ascii="Dubai" w:eastAsia="Aptos" w:hAnsi="Dubai" w:cs="Dubai"/>
          <w:color w:val="0563C1"/>
          <w:sz w:val="24"/>
          <w:szCs w:val="24"/>
          <w:lang w:val="en-AU"/>
        </w:rPr>
      </w:pPr>
      <w:hyperlink r:id="rId15">
        <w:r w:rsidRPr="00A4104F">
          <w:rPr>
            <w:rStyle w:val="Hyperlink"/>
            <w:rFonts w:ascii="Dubai" w:eastAsia="Aptos" w:hAnsi="Dubai" w:cs="Dubai"/>
            <w:color w:val="0563C1"/>
            <w:sz w:val="24"/>
            <w:szCs w:val="24"/>
            <w:rtl/>
            <w:lang w:val="ar"/>
          </w:rPr>
          <w:t>خطة نيو ساوث ويلز لإدماج الإعاقة 2021-2025</w:t>
        </w:r>
      </w:hyperlink>
    </w:p>
    <w:p w14:paraId="759F90DC" w14:textId="77777777" w:rsidR="15833127" w:rsidRPr="00A4104F" w:rsidRDefault="15833127" w:rsidP="00C841EC">
      <w:pPr>
        <w:pStyle w:val="ListParagraph"/>
        <w:numPr>
          <w:ilvl w:val="0"/>
          <w:numId w:val="1"/>
        </w:numPr>
        <w:bidi/>
        <w:spacing w:after="170" w:line="300" w:lineRule="auto"/>
        <w:ind w:left="714" w:hanging="357"/>
        <w:rPr>
          <w:rFonts w:ascii="Dubai" w:eastAsia="Aptos" w:hAnsi="Dubai" w:cs="Dubai"/>
          <w:color w:val="0563C1"/>
          <w:sz w:val="24"/>
          <w:szCs w:val="24"/>
          <w:lang w:val="en-AU"/>
        </w:rPr>
      </w:pPr>
      <w:hyperlink r:id="rId16">
        <w:r w:rsidRPr="00A4104F">
          <w:rPr>
            <w:rStyle w:val="Hyperlink"/>
            <w:rFonts w:ascii="Dubai" w:eastAsia="Aptos" w:hAnsi="Dubai" w:cs="Dubai"/>
            <w:color w:val="0563C1"/>
            <w:sz w:val="24"/>
            <w:szCs w:val="24"/>
            <w:rtl/>
            <w:lang w:val="ar"/>
          </w:rPr>
          <w:t>استراتيجية وخطة عمل الإعاقة للإقليم الشمالي 2022-2032</w:t>
        </w:r>
      </w:hyperlink>
    </w:p>
    <w:p w14:paraId="05853DB7" w14:textId="77777777" w:rsidR="15833127" w:rsidRPr="00A4104F" w:rsidRDefault="15833127" w:rsidP="7B9D6556">
      <w:pPr>
        <w:pStyle w:val="ListParagraph"/>
        <w:numPr>
          <w:ilvl w:val="0"/>
          <w:numId w:val="1"/>
        </w:numPr>
        <w:bidi/>
        <w:spacing w:after="170" w:line="300" w:lineRule="auto"/>
        <w:rPr>
          <w:rFonts w:ascii="Dubai" w:eastAsia="Aptos" w:hAnsi="Dubai" w:cs="Dubai"/>
          <w:color w:val="0563C1"/>
          <w:sz w:val="24"/>
          <w:szCs w:val="24"/>
          <w:lang w:val="en-AU"/>
        </w:rPr>
      </w:pPr>
      <w:hyperlink r:id="rId17">
        <w:r w:rsidRPr="00A4104F">
          <w:rPr>
            <w:rStyle w:val="Hyperlink"/>
            <w:rFonts w:ascii="Dubai" w:eastAsia="Aptos" w:hAnsi="Dubai" w:cs="Dubai"/>
            <w:color w:val="0563C1"/>
            <w:sz w:val="24"/>
            <w:szCs w:val="24"/>
            <w:rtl/>
            <w:lang w:val="ar"/>
          </w:rPr>
          <w:t>خطة الإعاقة لولاية كوينزلاند 2022-2027</w:t>
        </w:r>
      </w:hyperlink>
    </w:p>
    <w:p w14:paraId="639D3745" w14:textId="77777777" w:rsidR="15833127" w:rsidRPr="00A4104F" w:rsidRDefault="15833127" w:rsidP="7B9D6556">
      <w:pPr>
        <w:pStyle w:val="ListParagraph"/>
        <w:numPr>
          <w:ilvl w:val="0"/>
          <w:numId w:val="1"/>
        </w:numPr>
        <w:bidi/>
        <w:spacing w:after="170" w:line="300" w:lineRule="auto"/>
        <w:rPr>
          <w:rFonts w:ascii="Dubai" w:eastAsia="Aptos" w:hAnsi="Dubai" w:cs="Dubai"/>
          <w:color w:val="0563C1"/>
          <w:sz w:val="24"/>
          <w:szCs w:val="24"/>
          <w:lang w:val="en-AU"/>
        </w:rPr>
      </w:pPr>
      <w:hyperlink r:id="rId18">
        <w:r w:rsidRPr="00A4104F">
          <w:rPr>
            <w:rStyle w:val="Hyperlink"/>
            <w:rFonts w:ascii="Dubai" w:eastAsia="Aptos" w:hAnsi="Dubai" w:cs="Dubai"/>
            <w:color w:val="0563C1"/>
            <w:sz w:val="24"/>
            <w:szCs w:val="24"/>
            <w:rtl/>
            <w:lang w:val="ar"/>
          </w:rPr>
          <w:t>خطة ولاية جنوب أستراليا لإدماج الإعاقة</w:t>
        </w:r>
      </w:hyperlink>
    </w:p>
    <w:p w14:paraId="215E4F33" w14:textId="77777777" w:rsidR="15833127" w:rsidRPr="00A4104F" w:rsidRDefault="15833127" w:rsidP="7B9D6556">
      <w:pPr>
        <w:pStyle w:val="ListParagraph"/>
        <w:numPr>
          <w:ilvl w:val="0"/>
          <w:numId w:val="1"/>
        </w:numPr>
        <w:bidi/>
        <w:spacing w:after="170" w:line="300" w:lineRule="auto"/>
        <w:rPr>
          <w:rFonts w:ascii="Dubai" w:eastAsia="Aptos" w:hAnsi="Dubai" w:cs="Dubai"/>
          <w:color w:val="0563C1"/>
          <w:sz w:val="24"/>
          <w:szCs w:val="24"/>
          <w:lang w:val="en-AU"/>
        </w:rPr>
      </w:pPr>
      <w:hyperlink r:id="rId19">
        <w:r w:rsidRPr="00A4104F">
          <w:rPr>
            <w:rStyle w:val="Hyperlink"/>
            <w:rFonts w:ascii="Dubai" w:eastAsia="Aptos" w:hAnsi="Dubai" w:cs="Dubai"/>
            <w:color w:val="0563C1"/>
            <w:sz w:val="24"/>
            <w:szCs w:val="24"/>
            <w:rtl/>
            <w:lang w:val="ar"/>
          </w:rPr>
          <w:t>فيكتوريا الشاملة ولاية فيكتوريا: خطة الولاية للإعاقة 2022-2026</w:t>
        </w:r>
      </w:hyperlink>
    </w:p>
    <w:p w14:paraId="3A11180B" w14:textId="77777777" w:rsidR="15833127" w:rsidRPr="00A4104F" w:rsidRDefault="15833127" w:rsidP="7B9D6556">
      <w:pPr>
        <w:pStyle w:val="ListParagraph"/>
        <w:numPr>
          <w:ilvl w:val="0"/>
          <w:numId w:val="1"/>
        </w:numPr>
        <w:bidi/>
        <w:spacing w:after="170" w:line="300" w:lineRule="auto"/>
        <w:rPr>
          <w:rFonts w:ascii="Dubai" w:eastAsia="Aptos" w:hAnsi="Dubai" w:cs="Dubai"/>
          <w:color w:val="0563C1"/>
          <w:sz w:val="24"/>
          <w:szCs w:val="24"/>
          <w:lang w:val="en-AU"/>
        </w:rPr>
      </w:pPr>
      <w:hyperlink r:id="rId20">
        <w:r w:rsidRPr="00A4104F">
          <w:rPr>
            <w:rStyle w:val="Hyperlink"/>
            <w:rFonts w:ascii="Dubai" w:eastAsia="Aptos" w:hAnsi="Dubai" w:cs="Dubai"/>
            <w:color w:val="0563C1"/>
            <w:sz w:val="24"/>
            <w:szCs w:val="24"/>
            <w:rtl/>
            <w:lang w:val="ar"/>
          </w:rPr>
          <w:t>فيكتوريا إجراءات إمكانية الوصول: خطة عمل الإعاقة 2022-2026</w:t>
        </w:r>
      </w:hyperlink>
    </w:p>
    <w:p w14:paraId="3CD42088" w14:textId="77777777" w:rsidR="15833127" w:rsidRPr="00A4104F" w:rsidRDefault="00000000" w:rsidP="2398A97E">
      <w:pPr>
        <w:pStyle w:val="ListParagraph"/>
        <w:numPr>
          <w:ilvl w:val="0"/>
          <w:numId w:val="1"/>
        </w:numPr>
        <w:bidi/>
        <w:spacing w:after="170" w:line="300" w:lineRule="auto"/>
        <w:rPr>
          <w:rStyle w:val="Hyperlink"/>
          <w:rFonts w:ascii="Dubai" w:eastAsia="Aptos" w:hAnsi="Dubai" w:cs="Dubai"/>
          <w:color w:val="0563C1"/>
          <w:sz w:val="24"/>
          <w:szCs w:val="24"/>
        </w:rPr>
      </w:pPr>
      <w:r w:rsidRPr="00A4104F">
        <w:rPr>
          <w:rStyle w:val="Hyperlink"/>
          <w:rFonts w:ascii="Dubai" w:eastAsia="Aptos" w:hAnsi="Dubai" w:cs="Dubai"/>
          <w:color w:val="0563C1"/>
          <w:sz w:val="24"/>
          <w:szCs w:val="24"/>
          <w:rtl/>
          <w:lang w:val="ar"/>
        </w:rPr>
        <w:t xml:space="preserve"> </w:t>
      </w:r>
      <w:hyperlink r:id="rId21" w:history="1">
        <w:r w:rsidR="15833127" w:rsidRPr="00A4104F">
          <w:rPr>
            <w:rStyle w:val="Hyperlink"/>
            <w:rFonts w:ascii="Dubai" w:eastAsia="Aptos" w:hAnsi="Dubai" w:cs="Dubai"/>
            <w:sz w:val="24"/>
            <w:szCs w:val="24"/>
            <w:rtl/>
            <w:lang w:val="ar"/>
          </w:rPr>
          <w:t>استراتيجية الإعاقة لولاية تسمانيا 2025-2027</w:t>
        </w:r>
      </w:hyperlink>
    </w:p>
    <w:p w14:paraId="30F0E6A3" w14:textId="77777777" w:rsidR="15833127" w:rsidRPr="00A4104F" w:rsidRDefault="15833127" w:rsidP="003534F0">
      <w:pPr>
        <w:pStyle w:val="ListParagraph"/>
        <w:keepNext/>
        <w:numPr>
          <w:ilvl w:val="0"/>
          <w:numId w:val="1"/>
        </w:numPr>
        <w:bidi/>
        <w:spacing w:after="170" w:line="300" w:lineRule="auto"/>
        <w:ind w:left="714" w:hanging="357"/>
        <w:rPr>
          <w:rFonts w:ascii="Dubai" w:eastAsia="Aptos" w:hAnsi="Dubai" w:cs="Dubai"/>
          <w:color w:val="0563C1"/>
          <w:sz w:val="24"/>
          <w:szCs w:val="24"/>
          <w:lang w:val="en-AU"/>
        </w:rPr>
      </w:pPr>
      <w:hyperlink r:id="rId22">
        <w:r w:rsidRPr="00A4104F">
          <w:rPr>
            <w:rStyle w:val="Hyperlink"/>
            <w:rFonts w:ascii="Dubai" w:eastAsia="Aptos" w:hAnsi="Dubai" w:cs="Dubai"/>
            <w:color w:val="0563C1"/>
            <w:sz w:val="24"/>
            <w:szCs w:val="24"/>
            <w:rtl/>
            <w:lang w:val="ar"/>
          </w:rPr>
          <w:t>استراتيجية الإعاقة لولاية أستراليا الغربية 2020-2030</w:t>
        </w:r>
      </w:hyperlink>
    </w:p>
    <w:p w14:paraId="24CCBDE7" w14:textId="77777777" w:rsidR="15833127" w:rsidRPr="00A4104F" w:rsidRDefault="15833127" w:rsidP="7B9D6556">
      <w:pPr>
        <w:pStyle w:val="ListParagraph"/>
        <w:numPr>
          <w:ilvl w:val="0"/>
          <w:numId w:val="1"/>
        </w:numPr>
        <w:bidi/>
        <w:spacing w:after="170" w:line="300" w:lineRule="auto"/>
        <w:rPr>
          <w:rFonts w:ascii="Dubai" w:eastAsia="Aptos" w:hAnsi="Dubai" w:cs="Dubai"/>
          <w:color w:val="0563C1"/>
          <w:sz w:val="24"/>
          <w:szCs w:val="24"/>
          <w:lang w:val="en-AU"/>
        </w:rPr>
      </w:pPr>
      <w:hyperlink r:id="rId23">
        <w:r w:rsidRPr="00A4104F">
          <w:rPr>
            <w:rStyle w:val="Hyperlink"/>
            <w:rFonts w:ascii="Dubai" w:eastAsia="Aptos" w:hAnsi="Dubai" w:cs="Dubai"/>
            <w:color w:val="0563C1"/>
            <w:sz w:val="24"/>
            <w:szCs w:val="24"/>
            <w:rtl/>
            <w:lang w:val="ar"/>
          </w:rPr>
          <w:t>خطة عمل إدماج الإعاقة (alga.com.au)</w:t>
        </w:r>
      </w:hyperlink>
    </w:p>
    <w:p w14:paraId="5D9E13B8" w14:textId="77777777" w:rsidR="7B9D6556" w:rsidRPr="00A4104F" w:rsidRDefault="00000000" w:rsidP="2AF35288">
      <w:pPr>
        <w:pStyle w:val="NoSpacing"/>
        <w:bidi/>
        <w:spacing w:after="120"/>
        <w:rPr>
          <w:rFonts w:ascii="Dubai" w:eastAsia="Aptos" w:hAnsi="Dubai" w:cs="Dubai"/>
          <w:sz w:val="24"/>
          <w:szCs w:val="24"/>
        </w:rPr>
      </w:pPr>
      <w:r w:rsidRPr="00A4104F">
        <w:rPr>
          <w:rFonts w:ascii="Dubai" w:eastAsia="Aptos" w:hAnsi="Dubai" w:cs="Dubai"/>
          <w:sz w:val="24"/>
          <w:szCs w:val="24"/>
          <w:rtl/>
          <w:lang w:val="ar"/>
        </w:rPr>
        <w:lastRenderedPageBreak/>
        <w:t>وتسلط الروابط التالية الضوء على عينة من الأعمال الأخرى التي يجري الاضطلاع بها ذات الصلة بتركيز خطط العمل المستهدفة.</w:t>
      </w:r>
    </w:p>
    <w:p w14:paraId="14675AA7" w14:textId="7439E0F1" w:rsidR="000920EA" w:rsidRPr="00A4104F" w:rsidRDefault="000920EA" w:rsidP="00C841EC">
      <w:pPr>
        <w:pStyle w:val="ListParagraph"/>
        <w:numPr>
          <w:ilvl w:val="0"/>
          <w:numId w:val="1"/>
        </w:numPr>
        <w:bidi/>
        <w:spacing w:after="170" w:line="300" w:lineRule="auto"/>
        <w:ind w:left="714" w:hanging="357"/>
        <w:rPr>
          <w:rStyle w:val="Hyperlink"/>
          <w:rFonts w:ascii="Dubai" w:eastAsia="Aptos" w:hAnsi="Dubai" w:cs="Dubai"/>
          <w:sz w:val="24"/>
          <w:szCs w:val="24"/>
        </w:rPr>
      </w:pPr>
      <w:hyperlink r:id="rId24">
        <w:r w:rsidRPr="00A4104F">
          <w:rPr>
            <w:rStyle w:val="Hyperlink"/>
            <w:rFonts w:ascii="Dubai" w:eastAsia="Aptos" w:hAnsi="Dubai" w:cs="Dubai"/>
            <w:sz w:val="24"/>
            <w:szCs w:val="24"/>
            <w:rtl/>
            <w:lang w:val="ar"/>
          </w:rPr>
          <w:t>اتفاقية الأمم المتحدة لحقوق الأشخاص ذوي الإعاقة (UNCRPD)</w:t>
        </w:r>
      </w:hyperlink>
    </w:p>
    <w:p w14:paraId="5C0D8638" w14:textId="6B77773B" w:rsidR="000920EA" w:rsidRPr="00A4104F" w:rsidRDefault="000920EA" w:rsidP="00C841EC">
      <w:pPr>
        <w:pStyle w:val="ListParagraph"/>
        <w:numPr>
          <w:ilvl w:val="0"/>
          <w:numId w:val="1"/>
        </w:numPr>
        <w:bidi/>
        <w:spacing w:after="170" w:line="300" w:lineRule="auto"/>
        <w:ind w:left="714" w:hanging="357"/>
        <w:rPr>
          <w:rStyle w:val="Hyperlink"/>
          <w:rFonts w:ascii="Dubai" w:eastAsia="Aptos" w:hAnsi="Dubai" w:cs="Dubai"/>
          <w:sz w:val="24"/>
          <w:szCs w:val="24"/>
        </w:rPr>
      </w:pPr>
      <w:hyperlink r:id="rId25">
        <w:r w:rsidRPr="00A4104F">
          <w:rPr>
            <w:rStyle w:val="Hyperlink"/>
            <w:rFonts w:ascii="Dubai" w:eastAsia="Aptos" w:hAnsi="Dubai" w:cs="Dubai"/>
            <w:sz w:val="24"/>
            <w:szCs w:val="24"/>
            <w:rtl/>
            <w:lang w:val="ar"/>
          </w:rPr>
          <w:t>استراتيجية أستراليا للإعاقة 2021-2031</w:t>
        </w:r>
      </w:hyperlink>
    </w:p>
    <w:p w14:paraId="0DE2EC1C" w14:textId="3C143440" w:rsidR="000920EA" w:rsidRPr="00A4104F" w:rsidRDefault="000920EA" w:rsidP="00C841EC">
      <w:pPr>
        <w:pStyle w:val="ListParagraph"/>
        <w:numPr>
          <w:ilvl w:val="0"/>
          <w:numId w:val="1"/>
        </w:numPr>
        <w:bidi/>
        <w:spacing w:after="170" w:line="300" w:lineRule="auto"/>
        <w:ind w:left="714" w:hanging="357"/>
        <w:rPr>
          <w:rStyle w:val="Hyperlink"/>
          <w:rFonts w:ascii="Dubai" w:eastAsia="Aptos" w:hAnsi="Dubai" w:cs="Dubai"/>
          <w:sz w:val="24"/>
          <w:szCs w:val="24"/>
        </w:rPr>
      </w:pPr>
      <w:hyperlink r:id="rId26">
        <w:r w:rsidRPr="00A4104F">
          <w:rPr>
            <w:rStyle w:val="Hyperlink"/>
            <w:rFonts w:ascii="Dubai" w:eastAsia="Aptos" w:hAnsi="Dubai" w:cs="Dubai"/>
            <w:sz w:val="24"/>
            <w:szCs w:val="24"/>
            <w:rtl/>
            <w:lang w:val="ar"/>
          </w:rPr>
          <w:t>الاتفاقية الوطنية لسد الفجوة</w:t>
        </w:r>
      </w:hyperlink>
    </w:p>
    <w:p w14:paraId="5588B8E0" w14:textId="1E1C8422" w:rsidR="000920EA" w:rsidRPr="00A4104F" w:rsidRDefault="000920EA" w:rsidP="00C841EC">
      <w:pPr>
        <w:pStyle w:val="ListParagraph"/>
        <w:numPr>
          <w:ilvl w:val="0"/>
          <w:numId w:val="1"/>
        </w:numPr>
        <w:bidi/>
        <w:spacing w:after="170" w:line="300" w:lineRule="auto"/>
        <w:ind w:left="714" w:hanging="357"/>
        <w:rPr>
          <w:rStyle w:val="Hyperlink"/>
          <w:rFonts w:ascii="Dubai" w:eastAsia="Aptos" w:hAnsi="Dubai" w:cs="Dubai"/>
          <w:sz w:val="24"/>
          <w:szCs w:val="24"/>
        </w:rPr>
      </w:pPr>
      <w:hyperlink r:id="rId27">
        <w:r w:rsidRPr="00A4104F">
          <w:rPr>
            <w:rStyle w:val="Hyperlink"/>
            <w:rFonts w:ascii="Dubai" w:eastAsia="Aptos" w:hAnsi="Dubai" w:cs="Dubai"/>
            <w:sz w:val="24"/>
            <w:szCs w:val="24"/>
            <w:rtl/>
            <w:lang w:val="ar"/>
          </w:rPr>
          <w:t>الإطار الوطني لحماية أطفال أستراليا 2021-2031</w:t>
        </w:r>
      </w:hyperlink>
    </w:p>
    <w:p w14:paraId="792946E2" w14:textId="2C2993B6" w:rsidR="000920EA" w:rsidRPr="00A4104F" w:rsidRDefault="000920EA" w:rsidP="00C841EC">
      <w:pPr>
        <w:pStyle w:val="ListParagraph"/>
        <w:numPr>
          <w:ilvl w:val="0"/>
          <w:numId w:val="1"/>
        </w:numPr>
        <w:bidi/>
        <w:spacing w:after="170" w:line="300" w:lineRule="auto"/>
        <w:ind w:left="714" w:hanging="357"/>
        <w:rPr>
          <w:rStyle w:val="Hyperlink"/>
          <w:rFonts w:ascii="Dubai" w:eastAsia="Aptos" w:hAnsi="Dubai" w:cs="Dubai"/>
          <w:sz w:val="24"/>
          <w:szCs w:val="24"/>
        </w:rPr>
      </w:pPr>
      <w:hyperlink r:id="rId28">
        <w:r w:rsidRPr="00A4104F">
          <w:rPr>
            <w:rStyle w:val="Hyperlink"/>
            <w:rFonts w:ascii="Dubai" w:eastAsia="Aptos" w:hAnsi="Dubai" w:cs="Dubai"/>
            <w:sz w:val="24"/>
            <w:szCs w:val="24"/>
            <w:rtl/>
            <w:lang w:val="ar"/>
          </w:rPr>
          <w:t>خطة تعزيز قطاع الإعاقة (DSSP) – الإصلاح ذو الأولوية 2 من الاتفاق الوطني لسد الفجوة</w:t>
        </w:r>
      </w:hyperlink>
    </w:p>
    <w:p w14:paraId="3F914051" w14:textId="521476FF" w:rsidR="000920EA" w:rsidRPr="00A4104F" w:rsidRDefault="000920EA" w:rsidP="00C841EC">
      <w:pPr>
        <w:pStyle w:val="ListParagraph"/>
        <w:numPr>
          <w:ilvl w:val="0"/>
          <w:numId w:val="1"/>
        </w:numPr>
        <w:bidi/>
        <w:spacing w:after="170" w:line="300" w:lineRule="auto"/>
        <w:ind w:left="714" w:hanging="357"/>
        <w:rPr>
          <w:rStyle w:val="Hyperlink"/>
          <w:rFonts w:ascii="Dubai" w:eastAsia="Aptos" w:hAnsi="Dubai" w:cs="Dubai"/>
          <w:sz w:val="24"/>
          <w:szCs w:val="24"/>
        </w:rPr>
      </w:pPr>
      <w:hyperlink r:id="rId29">
        <w:r w:rsidRPr="00A4104F">
          <w:rPr>
            <w:rStyle w:val="Hyperlink"/>
            <w:rFonts w:ascii="Dubai" w:eastAsia="Aptos" w:hAnsi="Dubai" w:cs="Dubai"/>
            <w:sz w:val="24"/>
            <w:szCs w:val="24"/>
            <w:rtl/>
            <w:lang w:val="ar"/>
          </w:rPr>
          <w:t>الاستراتيجية الوطنية للوقاية من الاعتداء الجنسي على الأطفال والتصدي له 2021-2030</w:t>
        </w:r>
      </w:hyperlink>
    </w:p>
    <w:p w14:paraId="425D32C6" w14:textId="7625F238" w:rsidR="000920EA" w:rsidRPr="00A4104F" w:rsidRDefault="000920EA" w:rsidP="00C841EC">
      <w:pPr>
        <w:pStyle w:val="ListParagraph"/>
        <w:numPr>
          <w:ilvl w:val="0"/>
          <w:numId w:val="1"/>
        </w:numPr>
        <w:bidi/>
        <w:spacing w:after="170" w:line="300" w:lineRule="auto"/>
        <w:ind w:left="714" w:hanging="357"/>
        <w:rPr>
          <w:rStyle w:val="Hyperlink"/>
          <w:rFonts w:ascii="Dubai" w:eastAsia="Aptos" w:hAnsi="Dubai" w:cs="Dubai"/>
          <w:sz w:val="24"/>
          <w:szCs w:val="24"/>
        </w:rPr>
      </w:pPr>
      <w:hyperlink r:id="rId30">
        <w:r w:rsidRPr="00A4104F">
          <w:rPr>
            <w:rStyle w:val="Hyperlink"/>
            <w:rFonts w:ascii="Dubai" w:eastAsia="Aptos" w:hAnsi="Dubai" w:cs="Dubai"/>
            <w:sz w:val="24"/>
            <w:szCs w:val="24"/>
            <w:rtl/>
            <w:lang w:val="ar"/>
          </w:rPr>
          <w:t>المبادئ الوطنية للمنظمات الآمنة للأطفال</w:t>
        </w:r>
      </w:hyperlink>
    </w:p>
    <w:p w14:paraId="0C71BD7C" w14:textId="28CA4987" w:rsidR="000920EA" w:rsidRPr="00A4104F" w:rsidRDefault="000920EA" w:rsidP="00C841EC">
      <w:pPr>
        <w:pStyle w:val="ListParagraph"/>
        <w:numPr>
          <w:ilvl w:val="0"/>
          <w:numId w:val="1"/>
        </w:numPr>
        <w:bidi/>
        <w:spacing w:after="170" w:line="300" w:lineRule="auto"/>
        <w:ind w:left="714" w:hanging="357"/>
        <w:rPr>
          <w:rStyle w:val="Hyperlink"/>
          <w:rFonts w:ascii="Dubai" w:eastAsia="Aptos" w:hAnsi="Dubai" w:cs="Dubai"/>
          <w:sz w:val="24"/>
          <w:szCs w:val="24"/>
        </w:rPr>
      </w:pPr>
      <w:hyperlink r:id="rId31">
        <w:r w:rsidRPr="00A4104F">
          <w:rPr>
            <w:rStyle w:val="Hyperlink"/>
            <w:rFonts w:ascii="Dubai" w:eastAsia="Aptos" w:hAnsi="Dubai" w:cs="Dubai"/>
            <w:sz w:val="24"/>
            <w:szCs w:val="24"/>
            <w:rtl/>
            <w:lang w:val="ar"/>
          </w:rPr>
          <w:t>إطار الجودة والحماية للخطة الوطنية للتأمين ضد الإعاقة (NDIS)</w:t>
        </w:r>
      </w:hyperlink>
    </w:p>
    <w:p w14:paraId="027EF293" w14:textId="73738B31" w:rsidR="000920EA" w:rsidRPr="00A4104F" w:rsidRDefault="000920EA" w:rsidP="00C841EC">
      <w:pPr>
        <w:pStyle w:val="ListParagraph"/>
        <w:numPr>
          <w:ilvl w:val="0"/>
          <w:numId w:val="1"/>
        </w:numPr>
        <w:bidi/>
        <w:spacing w:after="170" w:line="300" w:lineRule="auto"/>
        <w:ind w:left="714" w:hanging="357"/>
        <w:rPr>
          <w:rStyle w:val="Hyperlink"/>
          <w:rFonts w:ascii="Dubai" w:eastAsia="Aptos" w:hAnsi="Dubai" w:cs="Dubai"/>
          <w:sz w:val="24"/>
          <w:szCs w:val="24"/>
        </w:rPr>
      </w:pPr>
      <w:hyperlink r:id="rId32">
        <w:r w:rsidRPr="00A4104F">
          <w:rPr>
            <w:rStyle w:val="Hyperlink"/>
            <w:rFonts w:ascii="Dubai" w:eastAsia="Aptos" w:hAnsi="Dubai" w:cs="Dubai"/>
            <w:sz w:val="24"/>
            <w:szCs w:val="24"/>
            <w:rtl/>
            <w:lang w:val="ar"/>
          </w:rPr>
          <w:t>توصيات من اللجنة الملكية للتحقيق حول العنف وإساءة المعاملة والإهمال واستغلال الأشخاص ذوي الإعاقة</w:t>
        </w:r>
      </w:hyperlink>
    </w:p>
    <w:p w14:paraId="5B2CB18A" w14:textId="40882829" w:rsidR="000920EA" w:rsidRPr="00A4104F" w:rsidRDefault="000920EA" w:rsidP="00C841EC">
      <w:pPr>
        <w:pStyle w:val="ListParagraph"/>
        <w:numPr>
          <w:ilvl w:val="0"/>
          <w:numId w:val="1"/>
        </w:numPr>
        <w:bidi/>
        <w:spacing w:after="170" w:line="300" w:lineRule="auto"/>
        <w:ind w:left="714" w:hanging="357"/>
        <w:rPr>
          <w:rStyle w:val="Hyperlink"/>
          <w:rFonts w:ascii="Dubai" w:eastAsia="Aptos" w:hAnsi="Dubai" w:cs="Dubai"/>
          <w:sz w:val="24"/>
          <w:szCs w:val="24"/>
        </w:rPr>
      </w:pPr>
      <w:hyperlink r:id="rId33">
        <w:r w:rsidRPr="00A4104F">
          <w:rPr>
            <w:rStyle w:val="Hyperlink"/>
            <w:rFonts w:ascii="Dubai" w:eastAsia="Aptos" w:hAnsi="Dubai" w:cs="Dubai"/>
            <w:sz w:val="24"/>
            <w:szCs w:val="24"/>
            <w:rtl/>
            <w:lang w:val="ar"/>
          </w:rPr>
          <w:t>الخطة الوطنية لإنهاء العنف ضد النساء والأطفال 2022-2032 | وزارة الخدمات الاجتماعية، الحكومة الأسترالية</w:t>
        </w:r>
      </w:hyperlink>
    </w:p>
    <w:p w14:paraId="5CA3E78E" w14:textId="51F4CFAD" w:rsidR="000920EA" w:rsidRPr="00A4104F" w:rsidRDefault="000920EA" w:rsidP="00C841EC">
      <w:pPr>
        <w:pStyle w:val="ListParagraph"/>
        <w:numPr>
          <w:ilvl w:val="0"/>
          <w:numId w:val="1"/>
        </w:numPr>
        <w:bidi/>
        <w:spacing w:after="170" w:line="300" w:lineRule="auto"/>
        <w:ind w:left="714" w:hanging="357"/>
        <w:rPr>
          <w:rStyle w:val="Hyperlink"/>
          <w:rFonts w:ascii="Dubai" w:eastAsia="Aptos" w:hAnsi="Dubai" w:cs="Dubai"/>
          <w:sz w:val="24"/>
          <w:szCs w:val="24"/>
        </w:rPr>
      </w:pPr>
      <w:hyperlink r:id="rId34">
        <w:r w:rsidRPr="00A4104F">
          <w:rPr>
            <w:rStyle w:val="Hyperlink"/>
            <w:rFonts w:ascii="Dubai" w:eastAsia="Aptos" w:hAnsi="Dubai" w:cs="Dubai"/>
            <w:sz w:val="24"/>
            <w:szCs w:val="24"/>
            <w:rtl/>
            <w:lang w:val="ar"/>
          </w:rPr>
          <w:t>العمل من أجل المرأة: استراتيجية للمساواة بين الجنسين</w:t>
        </w:r>
      </w:hyperlink>
    </w:p>
    <w:p w14:paraId="16F71D10" w14:textId="77777777" w:rsidR="000920EA" w:rsidRPr="00A4104F" w:rsidRDefault="00000000" w:rsidP="003534F0">
      <w:pPr>
        <w:pStyle w:val="ListParagraph"/>
        <w:keepNext/>
        <w:numPr>
          <w:ilvl w:val="0"/>
          <w:numId w:val="1"/>
        </w:numPr>
        <w:bidi/>
        <w:spacing w:after="170" w:line="300" w:lineRule="auto"/>
        <w:ind w:left="714" w:hanging="357"/>
        <w:rPr>
          <w:rStyle w:val="Hyperlink"/>
          <w:rFonts w:ascii="Dubai" w:eastAsia="Aptos" w:hAnsi="Dubai" w:cs="Dubai"/>
          <w:color w:val="auto"/>
          <w:sz w:val="24"/>
          <w:szCs w:val="24"/>
          <w:u w:val="none"/>
        </w:rPr>
      </w:pPr>
      <w:r w:rsidRPr="00A4104F">
        <w:rPr>
          <w:rStyle w:val="Hyperlink"/>
          <w:rFonts w:ascii="Dubai" w:eastAsia="Aptos" w:hAnsi="Dubai" w:cs="Dubai"/>
          <w:color w:val="auto"/>
          <w:sz w:val="24"/>
          <w:szCs w:val="24"/>
          <w:u w:val="none"/>
          <w:rtl/>
          <w:lang w:val="ar"/>
        </w:rPr>
        <w:t>مراجعة استراتيجية أستراليا للإعاقة (ADS) لعام 2024 (بمجرد نشرها) </w:t>
      </w:r>
    </w:p>
    <w:p w14:paraId="2122A690" w14:textId="77777777" w:rsidR="000920EA" w:rsidRPr="00A4104F" w:rsidRDefault="00000000" w:rsidP="00C841EC">
      <w:pPr>
        <w:pStyle w:val="ListParagraph"/>
        <w:numPr>
          <w:ilvl w:val="0"/>
          <w:numId w:val="1"/>
        </w:numPr>
        <w:bidi/>
        <w:spacing w:after="170" w:line="300" w:lineRule="auto"/>
        <w:ind w:left="714" w:hanging="357"/>
        <w:rPr>
          <w:rStyle w:val="Hyperlink"/>
          <w:rFonts w:ascii="Dubai" w:eastAsia="Aptos" w:hAnsi="Dubai" w:cs="Dubai"/>
          <w:color w:val="auto"/>
          <w:sz w:val="24"/>
          <w:szCs w:val="24"/>
          <w:u w:val="none"/>
        </w:rPr>
      </w:pPr>
      <w:r w:rsidRPr="00A4104F">
        <w:rPr>
          <w:rStyle w:val="Hyperlink"/>
          <w:rFonts w:ascii="Dubai" w:eastAsia="Aptos" w:hAnsi="Dubai" w:cs="Dubai"/>
          <w:color w:val="auto"/>
          <w:sz w:val="24"/>
          <w:szCs w:val="24"/>
          <w:u w:val="none"/>
          <w:rtl/>
          <w:lang w:val="ar"/>
        </w:rPr>
        <w:t>الخطة المرتبطة بها: المعلومات والاتصالات الشاملة (بمجرد نشرها) </w:t>
      </w:r>
    </w:p>
    <w:p w14:paraId="495C9B2F" w14:textId="77777777" w:rsidR="00DE24C8" w:rsidRPr="00A4104F" w:rsidRDefault="000920EA" w:rsidP="003534F0">
      <w:pPr>
        <w:pStyle w:val="ListParagraph"/>
        <w:numPr>
          <w:ilvl w:val="0"/>
          <w:numId w:val="1"/>
        </w:numPr>
        <w:bidi/>
        <w:spacing w:after="170" w:line="300" w:lineRule="auto"/>
        <w:ind w:left="714" w:hanging="357"/>
        <w:rPr>
          <w:rFonts w:ascii="Dubai" w:eastAsia="Aptos" w:hAnsi="Dubai" w:cs="Dubai"/>
          <w:sz w:val="24"/>
          <w:szCs w:val="24"/>
        </w:rPr>
      </w:pPr>
      <w:hyperlink r:id="rId35">
        <w:r w:rsidRPr="00A4104F">
          <w:rPr>
            <w:rStyle w:val="Hyperlink"/>
            <w:rFonts w:ascii="Dubai" w:eastAsia="Aptos" w:hAnsi="Dubai" w:cs="Dubai"/>
            <w:sz w:val="24"/>
            <w:szCs w:val="24"/>
            <w:rtl/>
            <w:lang w:val="ar"/>
          </w:rPr>
          <w:t>الإطار الوطني للدعوة لحماية حقوق ذوي الإعاقة.</w:t>
        </w:r>
      </w:hyperlink>
      <w:r w:rsidRPr="00A4104F">
        <w:rPr>
          <w:rFonts w:ascii="Dubai" w:eastAsia="Aptos" w:hAnsi="Dubai" w:cs="Dubai"/>
          <w:sz w:val="24"/>
          <w:szCs w:val="24"/>
          <w:rtl/>
          <w:lang w:val="ar"/>
        </w:rPr>
        <w:t> </w:t>
      </w:r>
    </w:p>
    <w:sectPr w:rsidR="00DE24C8" w:rsidRPr="00A4104F" w:rsidSect="003B7707">
      <w:pgSz w:w="11907" w:h="16839"/>
      <w:pgMar w:top="851"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ubai">
    <w:panose1 w:val="020B0503030403030204"/>
    <w:charset w:val="00"/>
    <w:family w:val="swiss"/>
    <w:pitch w:val="variable"/>
    <w:sig w:usb0="80002067" w:usb1="80000000" w:usb2="00000008" w:usb3="00000000" w:csb0="0000004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57BAC"/>
    <w:multiLevelType w:val="hybridMultilevel"/>
    <w:tmpl w:val="98209E42"/>
    <w:lvl w:ilvl="0" w:tplc="80585444">
      <w:start w:val="1"/>
      <w:numFmt w:val="bullet"/>
      <w:lvlText w:val=""/>
      <w:lvlJc w:val="left"/>
      <w:pPr>
        <w:ind w:left="360" w:hanging="360"/>
      </w:pPr>
      <w:rPr>
        <w:rFonts w:ascii="Symbol" w:hAnsi="Symbol" w:hint="default"/>
      </w:rPr>
    </w:lvl>
    <w:lvl w:ilvl="1" w:tplc="17DEF720" w:tentative="1">
      <w:start w:val="1"/>
      <w:numFmt w:val="bullet"/>
      <w:lvlText w:val="o"/>
      <w:lvlJc w:val="left"/>
      <w:pPr>
        <w:ind w:left="1080" w:hanging="360"/>
      </w:pPr>
      <w:rPr>
        <w:rFonts w:ascii="Courier New" w:hAnsi="Courier New" w:cs="Courier New" w:hint="default"/>
      </w:rPr>
    </w:lvl>
    <w:lvl w:ilvl="2" w:tplc="5204C3F0" w:tentative="1">
      <w:start w:val="1"/>
      <w:numFmt w:val="bullet"/>
      <w:lvlText w:val=""/>
      <w:lvlJc w:val="left"/>
      <w:pPr>
        <w:ind w:left="1800" w:hanging="360"/>
      </w:pPr>
      <w:rPr>
        <w:rFonts w:ascii="Wingdings" w:hAnsi="Wingdings" w:hint="default"/>
      </w:rPr>
    </w:lvl>
    <w:lvl w:ilvl="3" w:tplc="503A3AAE" w:tentative="1">
      <w:start w:val="1"/>
      <w:numFmt w:val="bullet"/>
      <w:lvlText w:val=""/>
      <w:lvlJc w:val="left"/>
      <w:pPr>
        <w:ind w:left="2520" w:hanging="360"/>
      </w:pPr>
      <w:rPr>
        <w:rFonts w:ascii="Symbol" w:hAnsi="Symbol" w:hint="default"/>
      </w:rPr>
    </w:lvl>
    <w:lvl w:ilvl="4" w:tplc="851A9A5C" w:tentative="1">
      <w:start w:val="1"/>
      <w:numFmt w:val="bullet"/>
      <w:lvlText w:val="o"/>
      <w:lvlJc w:val="left"/>
      <w:pPr>
        <w:ind w:left="3240" w:hanging="360"/>
      </w:pPr>
      <w:rPr>
        <w:rFonts w:ascii="Courier New" w:hAnsi="Courier New" w:cs="Courier New" w:hint="default"/>
      </w:rPr>
    </w:lvl>
    <w:lvl w:ilvl="5" w:tplc="468CC286" w:tentative="1">
      <w:start w:val="1"/>
      <w:numFmt w:val="bullet"/>
      <w:lvlText w:val=""/>
      <w:lvlJc w:val="left"/>
      <w:pPr>
        <w:ind w:left="3960" w:hanging="360"/>
      </w:pPr>
      <w:rPr>
        <w:rFonts w:ascii="Wingdings" w:hAnsi="Wingdings" w:hint="default"/>
      </w:rPr>
    </w:lvl>
    <w:lvl w:ilvl="6" w:tplc="328A6776" w:tentative="1">
      <w:start w:val="1"/>
      <w:numFmt w:val="bullet"/>
      <w:lvlText w:val=""/>
      <w:lvlJc w:val="left"/>
      <w:pPr>
        <w:ind w:left="4680" w:hanging="360"/>
      </w:pPr>
      <w:rPr>
        <w:rFonts w:ascii="Symbol" w:hAnsi="Symbol" w:hint="default"/>
      </w:rPr>
    </w:lvl>
    <w:lvl w:ilvl="7" w:tplc="7436A7CC" w:tentative="1">
      <w:start w:val="1"/>
      <w:numFmt w:val="bullet"/>
      <w:lvlText w:val="o"/>
      <w:lvlJc w:val="left"/>
      <w:pPr>
        <w:ind w:left="5400" w:hanging="360"/>
      </w:pPr>
      <w:rPr>
        <w:rFonts w:ascii="Courier New" w:hAnsi="Courier New" w:cs="Courier New" w:hint="default"/>
      </w:rPr>
    </w:lvl>
    <w:lvl w:ilvl="8" w:tplc="F02C816E" w:tentative="1">
      <w:start w:val="1"/>
      <w:numFmt w:val="bullet"/>
      <w:lvlText w:val=""/>
      <w:lvlJc w:val="left"/>
      <w:pPr>
        <w:ind w:left="6120" w:hanging="360"/>
      </w:pPr>
      <w:rPr>
        <w:rFonts w:ascii="Wingdings" w:hAnsi="Wingdings" w:hint="default"/>
      </w:rPr>
    </w:lvl>
  </w:abstractNum>
  <w:abstractNum w:abstractNumId="1" w15:restartNumberingAfterBreak="0">
    <w:nsid w:val="189838C1"/>
    <w:multiLevelType w:val="hybridMultilevel"/>
    <w:tmpl w:val="9BCE9B90"/>
    <w:lvl w:ilvl="0" w:tplc="5DDA1002">
      <w:start w:val="1"/>
      <w:numFmt w:val="bullet"/>
      <w:lvlText w:val=""/>
      <w:lvlJc w:val="left"/>
      <w:pPr>
        <w:tabs>
          <w:tab w:val="num" w:pos="720"/>
        </w:tabs>
        <w:ind w:left="720" w:hanging="360"/>
      </w:pPr>
      <w:rPr>
        <w:rFonts w:ascii="Symbol" w:hAnsi="Symbol" w:hint="default"/>
      </w:rPr>
    </w:lvl>
    <w:lvl w:ilvl="1" w:tplc="9E1C3C76">
      <w:start w:val="1"/>
      <w:numFmt w:val="bullet"/>
      <w:lvlText w:val=""/>
      <w:lvlJc w:val="left"/>
      <w:pPr>
        <w:tabs>
          <w:tab w:val="num" w:pos="1440"/>
        </w:tabs>
        <w:ind w:left="1440" w:hanging="360"/>
      </w:pPr>
      <w:rPr>
        <w:rFonts w:ascii="Symbol" w:hAnsi="Symbol" w:hint="default"/>
      </w:rPr>
    </w:lvl>
    <w:lvl w:ilvl="2" w:tplc="C9601AB4">
      <w:start w:val="1"/>
      <w:numFmt w:val="bullet"/>
      <w:lvlText w:val=""/>
      <w:lvlJc w:val="left"/>
      <w:pPr>
        <w:tabs>
          <w:tab w:val="num" w:pos="2160"/>
        </w:tabs>
        <w:ind w:left="2160" w:hanging="360"/>
      </w:pPr>
      <w:rPr>
        <w:rFonts w:ascii="Symbol" w:hAnsi="Symbol" w:hint="default"/>
      </w:rPr>
    </w:lvl>
    <w:lvl w:ilvl="3" w:tplc="C1EAB9E4">
      <w:start w:val="1"/>
      <w:numFmt w:val="bullet"/>
      <w:lvlText w:val=""/>
      <w:lvlJc w:val="left"/>
      <w:pPr>
        <w:tabs>
          <w:tab w:val="num" w:pos="2880"/>
        </w:tabs>
        <w:ind w:left="2880" w:hanging="360"/>
      </w:pPr>
      <w:rPr>
        <w:rFonts w:ascii="Symbol" w:hAnsi="Symbol" w:hint="default"/>
      </w:rPr>
    </w:lvl>
    <w:lvl w:ilvl="4" w:tplc="F042C8D4">
      <w:start w:val="1"/>
      <w:numFmt w:val="bullet"/>
      <w:lvlText w:val=""/>
      <w:lvlJc w:val="left"/>
      <w:pPr>
        <w:tabs>
          <w:tab w:val="num" w:pos="3600"/>
        </w:tabs>
        <w:ind w:left="3600" w:hanging="360"/>
      </w:pPr>
      <w:rPr>
        <w:rFonts w:ascii="Symbol" w:hAnsi="Symbol" w:hint="default"/>
      </w:rPr>
    </w:lvl>
    <w:lvl w:ilvl="5" w:tplc="EA5A382E">
      <w:start w:val="1"/>
      <w:numFmt w:val="bullet"/>
      <w:lvlText w:val=""/>
      <w:lvlJc w:val="left"/>
      <w:pPr>
        <w:tabs>
          <w:tab w:val="num" w:pos="4320"/>
        </w:tabs>
        <w:ind w:left="4320" w:hanging="360"/>
      </w:pPr>
      <w:rPr>
        <w:rFonts w:ascii="Symbol" w:hAnsi="Symbol" w:hint="default"/>
      </w:rPr>
    </w:lvl>
    <w:lvl w:ilvl="6" w:tplc="AECC770C">
      <w:start w:val="1"/>
      <w:numFmt w:val="bullet"/>
      <w:lvlText w:val=""/>
      <w:lvlJc w:val="left"/>
      <w:pPr>
        <w:tabs>
          <w:tab w:val="num" w:pos="5040"/>
        </w:tabs>
        <w:ind w:left="5040" w:hanging="360"/>
      </w:pPr>
      <w:rPr>
        <w:rFonts w:ascii="Symbol" w:hAnsi="Symbol" w:hint="default"/>
      </w:rPr>
    </w:lvl>
    <w:lvl w:ilvl="7" w:tplc="99B64662">
      <w:start w:val="1"/>
      <w:numFmt w:val="bullet"/>
      <w:lvlText w:val=""/>
      <w:lvlJc w:val="left"/>
      <w:pPr>
        <w:tabs>
          <w:tab w:val="num" w:pos="5760"/>
        </w:tabs>
        <w:ind w:left="5760" w:hanging="360"/>
      </w:pPr>
      <w:rPr>
        <w:rFonts w:ascii="Symbol" w:hAnsi="Symbol" w:hint="default"/>
      </w:rPr>
    </w:lvl>
    <w:lvl w:ilvl="8" w:tplc="A92C8C9C">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DAB27DD"/>
    <w:multiLevelType w:val="hybridMultilevel"/>
    <w:tmpl w:val="3D3A4A50"/>
    <w:lvl w:ilvl="0" w:tplc="9D4C0F00">
      <w:start w:val="1"/>
      <w:numFmt w:val="bullet"/>
      <w:lvlText w:val=""/>
      <w:lvlJc w:val="left"/>
      <w:pPr>
        <w:ind w:left="720" w:hanging="360"/>
      </w:pPr>
      <w:rPr>
        <w:rFonts w:ascii="Symbol" w:hAnsi="Symbol" w:hint="default"/>
        <w:color w:val="auto"/>
      </w:rPr>
    </w:lvl>
    <w:lvl w:ilvl="1" w:tplc="D86AF29A">
      <w:start w:val="1"/>
      <w:numFmt w:val="bullet"/>
      <w:lvlText w:val="o"/>
      <w:lvlJc w:val="left"/>
      <w:pPr>
        <w:ind w:left="1440" w:hanging="360"/>
      </w:pPr>
      <w:rPr>
        <w:rFonts w:ascii="Courier New" w:hAnsi="Courier New" w:hint="default"/>
      </w:rPr>
    </w:lvl>
    <w:lvl w:ilvl="2" w:tplc="8CB6A1D0">
      <w:start w:val="1"/>
      <w:numFmt w:val="bullet"/>
      <w:lvlText w:val=""/>
      <w:lvlJc w:val="left"/>
      <w:pPr>
        <w:ind w:left="2160" w:hanging="360"/>
      </w:pPr>
      <w:rPr>
        <w:rFonts w:ascii="Wingdings" w:hAnsi="Wingdings" w:hint="default"/>
      </w:rPr>
    </w:lvl>
    <w:lvl w:ilvl="3" w:tplc="0F847BA4">
      <w:start w:val="1"/>
      <w:numFmt w:val="bullet"/>
      <w:lvlText w:val=""/>
      <w:lvlJc w:val="left"/>
      <w:pPr>
        <w:ind w:left="2880" w:hanging="360"/>
      </w:pPr>
      <w:rPr>
        <w:rFonts w:ascii="Symbol" w:hAnsi="Symbol" w:hint="default"/>
      </w:rPr>
    </w:lvl>
    <w:lvl w:ilvl="4" w:tplc="B9F47BEA">
      <w:start w:val="1"/>
      <w:numFmt w:val="bullet"/>
      <w:lvlText w:val="o"/>
      <w:lvlJc w:val="left"/>
      <w:pPr>
        <w:ind w:left="3600" w:hanging="360"/>
      </w:pPr>
      <w:rPr>
        <w:rFonts w:ascii="Courier New" w:hAnsi="Courier New" w:hint="default"/>
      </w:rPr>
    </w:lvl>
    <w:lvl w:ilvl="5" w:tplc="3C34E85E">
      <w:start w:val="1"/>
      <w:numFmt w:val="bullet"/>
      <w:lvlText w:val=""/>
      <w:lvlJc w:val="left"/>
      <w:pPr>
        <w:ind w:left="4320" w:hanging="360"/>
      </w:pPr>
      <w:rPr>
        <w:rFonts w:ascii="Wingdings" w:hAnsi="Wingdings" w:hint="default"/>
      </w:rPr>
    </w:lvl>
    <w:lvl w:ilvl="6" w:tplc="E0584D5A">
      <w:start w:val="1"/>
      <w:numFmt w:val="bullet"/>
      <w:lvlText w:val=""/>
      <w:lvlJc w:val="left"/>
      <w:pPr>
        <w:ind w:left="5040" w:hanging="360"/>
      </w:pPr>
      <w:rPr>
        <w:rFonts w:ascii="Symbol" w:hAnsi="Symbol" w:hint="default"/>
      </w:rPr>
    </w:lvl>
    <w:lvl w:ilvl="7" w:tplc="E55808E4">
      <w:start w:val="1"/>
      <w:numFmt w:val="bullet"/>
      <w:lvlText w:val="o"/>
      <w:lvlJc w:val="left"/>
      <w:pPr>
        <w:ind w:left="5760" w:hanging="360"/>
      </w:pPr>
      <w:rPr>
        <w:rFonts w:ascii="Courier New" w:hAnsi="Courier New" w:hint="default"/>
      </w:rPr>
    </w:lvl>
    <w:lvl w:ilvl="8" w:tplc="6562C2A0">
      <w:start w:val="1"/>
      <w:numFmt w:val="bullet"/>
      <w:lvlText w:val=""/>
      <w:lvlJc w:val="left"/>
      <w:pPr>
        <w:ind w:left="6480" w:hanging="360"/>
      </w:pPr>
      <w:rPr>
        <w:rFonts w:ascii="Wingdings" w:hAnsi="Wingdings" w:hint="default"/>
      </w:rPr>
    </w:lvl>
  </w:abstractNum>
  <w:abstractNum w:abstractNumId="3" w15:restartNumberingAfterBreak="0">
    <w:nsid w:val="3DB33406"/>
    <w:multiLevelType w:val="hybridMultilevel"/>
    <w:tmpl w:val="ED266E00"/>
    <w:lvl w:ilvl="0" w:tplc="DD72E89A">
      <w:start w:val="1"/>
      <w:numFmt w:val="bullet"/>
      <w:lvlText w:val=""/>
      <w:lvlJc w:val="left"/>
      <w:pPr>
        <w:ind w:left="720" w:hanging="360"/>
      </w:pPr>
      <w:rPr>
        <w:rFonts w:ascii="Symbol" w:hAnsi="Symbol" w:hint="default"/>
      </w:rPr>
    </w:lvl>
    <w:lvl w:ilvl="1" w:tplc="DDF6DBAE" w:tentative="1">
      <w:start w:val="1"/>
      <w:numFmt w:val="bullet"/>
      <w:lvlText w:val="o"/>
      <w:lvlJc w:val="left"/>
      <w:pPr>
        <w:ind w:left="1440" w:hanging="360"/>
      </w:pPr>
      <w:rPr>
        <w:rFonts w:ascii="Courier New" w:hAnsi="Courier New" w:cs="Courier New" w:hint="default"/>
      </w:rPr>
    </w:lvl>
    <w:lvl w:ilvl="2" w:tplc="389633FC" w:tentative="1">
      <w:start w:val="1"/>
      <w:numFmt w:val="bullet"/>
      <w:lvlText w:val=""/>
      <w:lvlJc w:val="left"/>
      <w:pPr>
        <w:ind w:left="2160" w:hanging="360"/>
      </w:pPr>
      <w:rPr>
        <w:rFonts w:ascii="Wingdings" w:hAnsi="Wingdings" w:hint="default"/>
      </w:rPr>
    </w:lvl>
    <w:lvl w:ilvl="3" w:tplc="DC74C6F4" w:tentative="1">
      <w:start w:val="1"/>
      <w:numFmt w:val="bullet"/>
      <w:lvlText w:val=""/>
      <w:lvlJc w:val="left"/>
      <w:pPr>
        <w:ind w:left="2880" w:hanging="360"/>
      </w:pPr>
      <w:rPr>
        <w:rFonts w:ascii="Symbol" w:hAnsi="Symbol" w:hint="default"/>
      </w:rPr>
    </w:lvl>
    <w:lvl w:ilvl="4" w:tplc="0688FEFA" w:tentative="1">
      <w:start w:val="1"/>
      <w:numFmt w:val="bullet"/>
      <w:lvlText w:val="o"/>
      <w:lvlJc w:val="left"/>
      <w:pPr>
        <w:ind w:left="3600" w:hanging="360"/>
      </w:pPr>
      <w:rPr>
        <w:rFonts w:ascii="Courier New" w:hAnsi="Courier New" w:cs="Courier New" w:hint="default"/>
      </w:rPr>
    </w:lvl>
    <w:lvl w:ilvl="5" w:tplc="6F963E0A" w:tentative="1">
      <w:start w:val="1"/>
      <w:numFmt w:val="bullet"/>
      <w:lvlText w:val=""/>
      <w:lvlJc w:val="left"/>
      <w:pPr>
        <w:ind w:left="4320" w:hanging="360"/>
      </w:pPr>
      <w:rPr>
        <w:rFonts w:ascii="Wingdings" w:hAnsi="Wingdings" w:hint="default"/>
      </w:rPr>
    </w:lvl>
    <w:lvl w:ilvl="6" w:tplc="964EBCFE" w:tentative="1">
      <w:start w:val="1"/>
      <w:numFmt w:val="bullet"/>
      <w:lvlText w:val=""/>
      <w:lvlJc w:val="left"/>
      <w:pPr>
        <w:ind w:left="5040" w:hanging="360"/>
      </w:pPr>
      <w:rPr>
        <w:rFonts w:ascii="Symbol" w:hAnsi="Symbol" w:hint="default"/>
      </w:rPr>
    </w:lvl>
    <w:lvl w:ilvl="7" w:tplc="07E89D50" w:tentative="1">
      <w:start w:val="1"/>
      <w:numFmt w:val="bullet"/>
      <w:lvlText w:val="o"/>
      <w:lvlJc w:val="left"/>
      <w:pPr>
        <w:ind w:left="5760" w:hanging="360"/>
      </w:pPr>
      <w:rPr>
        <w:rFonts w:ascii="Courier New" w:hAnsi="Courier New" w:cs="Courier New" w:hint="default"/>
      </w:rPr>
    </w:lvl>
    <w:lvl w:ilvl="8" w:tplc="A1E2D27A" w:tentative="1">
      <w:start w:val="1"/>
      <w:numFmt w:val="bullet"/>
      <w:lvlText w:val=""/>
      <w:lvlJc w:val="left"/>
      <w:pPr>
        <w:ind w:left="6480" w:hanging="360"/>
      </w:pPr>
      <w:rPr>
        <w:rFonts w:ascii="Wingdings" w:hAnsi="Wingdings" w:hint="default"/>
      </w:rPr>
    </w:lvl>
  </w:abstractNum>
  <w:abstractNum w:abstractNumId="4" w15:restartNumberingAfterBreak="0">
    <w:nsid w:val="42B432D8"/>
    <w:multiLevelType w:val="hybridMultilevel"/>
    <w:tmpl w:val="7AC678F8"/>
    <w:lvl w:ilvl="0" w:tplc="2C38A750">
      <w:start w:val="1"/>
      <w:numFmt w:val="bullet"/>
      <w:lvlText w:val=""/>
      <w:lvlJc w:val="left"/>
      <w:pPr>
        <w:ind w:left="720" w:hanging="360"/>
      </w:pPr>
      <w:rPr>
        <w:rFonts w:ascii="Symbol" w:hAnsi="Symbol" w:hint="default"/>
      </w:rPr>
    </w:lvl>
    <w:lvl w:ilvl="1" w:tplc="51B0437E" w:tentative="1">
      <w:start w:val="1"/>
      <w:numFmt w:val="bullet"/>
      <w:lvlText w:val="o"/>
      <w:lvlJc w:val="left"/>
      <w:pPr>
        <w:ind w:left="1440" w:hanging="360"/>
      </w:pPr>
      <w:rPr>
        <w:rFonts w:ascii="Courier New" w:hAnsi="Courier New" w:cs="Courier New" w:hint="default"/>
      </w:rPr>
    </w:lvl>
    <w:lvl w:ilvl="2" w:tplc="A80A0022" w:tentative="1">
      <w:start w:val="1"/>
      <w:numFmt w:val="bullet"/>
      <w:lvlText w:val=""/>
      <w:lvlJc w:val="left"/>
      <w:pPr>
        <w:ind w:left="2160" w:hanging="360"/>
      </w:pPr>
      <w:rPr>
        <w:rFonts w:ascii="Wingdings" w:hAnsi="Wingdings" w:hint="default"/>
      </w:rPr>
    </w:lvl>
    <w:lvl w:ilvl="3" w:tplc="7F462594" w:tentative="1">
      <w:start w:val="1"/>
      <w:numFmt w:val="bullet"/>
      <w:lvlText w:val=""/>
      <w:lvlJc w:val="left"/>
      <w:pPr>
        <w:ind w:left="2880" w:hanging="360"/>
      </w:pPr>
      <w:rPr>
        <w:rFonts w:ascii="Symbol" w:hAnsi="Symbol" w:hint="default"/>
      </w:rPr>
    </w:lvl>
    <w:lvl w:ilvl="4" w:tplc="F886E884" w:tentative="1">
      <w:start w:val="1"/>
      <w:numFmt w:val="bullet"/>
      <w:lvlText w:val="o"/>
      <w:lvlJc w:val="left"/>
      <w:pPr>
        <w:ind w:left="3600" w:hanging="360"/>
      </w:pPr>
      <w:rPr>
        <w:rFonts w:ascii="Courier New" w:hAnsi="Courier New" w:cs="Courier New" w:hint="default"/>
      </w:rPr>
    </w:lvl>
    <w:lvl w:ilvl="5" w:tplc="BBF2AC02" w:tentative="1">
      <w:start w:val="1"/>
      <w:numFmt w:val="bullet"/>
      <w:lvlText w:val=""/>
      <w:lvlJc w:val="left"/>
      <w:pPr>
        <w:ind w:left="4320" w:hanging="360"/>
      </w:pPr>
      <w:rPr>
        <w:rFonts w:ascii="Wingdings" w:hAnsi="Wingdings" w:hint="default"/>
      </w:rPr>
    </w:lvl>
    <w:lvl w:ilvl="6" w:tplc="3F061324" w:tentative="1">
      <w:start w:val="1"/>
      <w:numFmt w:val="bullet"/>
      <w:lvlText w:val=""/>
      <w:lvlJc w:val="left"/>
      <w:pPr>
        <w:ind w:left="5040" w:hanging="360"/>
      </w:pPr>
      <w:rPr>
        <w:rFonts w:ascii="Symbol" w:hAnsi="Symbol" w:hint="default"/>
      </w:rPr>
    </w:lvl>
    <w:lvl w:ilvl="7" w:tplc="BE9851DA" w:tentative="1">
      <w:start w:val="1"/>
      <w:numFmt w:val="bullet"/>
      <w:lvlText w:val="o"/>
      <w:lvlJc w:val="left"/>
      <w:pPr>
        <w:ind w:left="5760" w:hanging="360"/>
      </w:pPr>
      <w:rPr>
        <w:rFonts w:ascii="Courier New" w:hAnsi="Courier New" w:cs="Courier New" w:hint="default"/>
      </w:rPr>
    </w:lvl>
    <w:lvl w:ilvl="8" w:tplc="7C484F44" w:tentative="1">
      <w:start w:val="1"/>
      <w:numFmt w:val="bullet"/>
      <w:lvlText w:val=""/>
      <w:lvlJc w:val="left"/>
      <w:pPr>
        <w:ind w:left="6480" w:hanging="360"/>
      </w:pPr>
      <w:rPr>
        <w:rFonts w:ascii="Wingdings" w:hAnsi="Wingdings" w:hint="default"/>
      </w:rPr>
    </w:lvl>
  </w:abstractNum>
  <w:abstractNum w:abstractNumId="5" w15:restartNumberingAfterBreak="0">
    <w:nsid w:val="45E7762A"/>
    <w:multiLevelType w:val="hybridMultilevel"/>
    <w:tmpl w:val="E962E2EC"/>
    <w:lvl w:ilvl="0" w:tplc="FCD659C6">
      <w:start w:val="1"/>
      <w:numFmt w:val="bullet"/>
      <w:lvlText w:val=""/>
      <w:lvlJc w:val="left"/>
      <w:pPr>
        <w:ind w:left="720" w:hanging="360"/>
      </w:pPr>
      <w:rPr>
        <w:rFonts w:ascii="Symbol" w:hAnsi="Symbol" w:hint="default"/>
      </w:rPr>
    </w:lvl>
    <w:lvl w:ilvl="1" w:tplc="5D16994A" w:tentative="1">
      <w:start w:val="1"/>
      <w:numFmt w:val="bullet"/>
      <w:lvlText w:val="o"/>
      <w:lvlJc w:val="left"/>
      <w:pPr>
        <w:ind w:left="1440" w:hanging="360"/>
      </w:pPr>
      <w:rPr>
        <w:rFonts w:ascii="Courier New" w:hAnsi="Courier New" w:cs="Courier New" w:hint="default"/>
      </w:rPr>
    </w:lvl>
    <w:lvl w:ilvl="2" w:tplc="310CF3AE" w:tentative="1">
      <w:start w:val="1"/>
      <w:numFmt w:val="bullet"/>
      <w:lvlText w:val=""/>
      <w:lvlJc w:val="left"/>
      <w:pPr>
        <w:ind w:left="2160" w:hanging="360"/>
      </w:pPr>
      <w:rPr>
        <w:rFonts w:ascii="Wingdings" w:hAnsi="Wingdings" w:hint="default"/>
      </w:rPr>
    </w:lvl>
    <w:lvl w:ilvl="3" w:tplc="DB247DD0" w:tentative="1">
      <w:start w:val="1"/>
      <w:numFmt w:val="bullet"/>
      <w:lvlText w:val=""/>
      <w:lvlJc w:val="left"/>
      <w:pPr>
        <w:ind w:left="2880" w:hanging="360"/>
      </w:pPr>
      <w:rPr>
        <w:rFonts w:ascii="Symbol" w:hAnsi="Symbol" w:hint="default"/>
      </w:rPr>
    </w:lvl>
    <w:lvl w:ilvl="4" w:tplc="22C8A3AE" w:tentative="1">
      <w:start w:val="1"/>
      <w:numFmt w:val="bullet"/>
      <w:lvlText w:val="o"/>
      <w:lvlJc w:val="left"/>
      <w:pPr>
        <w:ind w:left="3600" w:hanging="360"/>
      </w:pPr>
      <w:rPr>
        <w:rFonts w:ascii="Courier New" w:hAnsi="Courier New" w:cs="Courier New" w:hint="default"/>
      </w:rPr>
    </w:lvl>
    <w:lvl w:ilvl="5" w:tplc="F3D61D78" w:tentative="1">
      <w:start w:val="1"/>
      <w:numFmt w:val="bullet"/>
      <w:lvlText w:val=""/>
      <w:lvlJc w:val="left"/>
      <w:pPr>
        <w:ind w:left="4320" w:hanging="360"/>
      </w:pPr>
      <w:rPr>
        <w:rFonts w:ascii="Wingdings" w:hAnsi="Wingdings" w:hint="default"/>
      </w:rPr>
    </w:lvl>
    <w:lvl w:ilvl="6" w:tplc="FCCA8C3C" w:tentative="1">
      <w:start w:val="1"/>
      <w:numFmt w:val="bullet"/>
      <w:lvlText w:val=""/>
      <w:lvlJc w:val="left"/>
      <w:pPr>
        <w:ind w:left="5040" w:hanging="360"/>
      </w:pPr>
      <w:rPr>
        <w:rFonts w:ascii="Symbol" w:hAnsi="Symbol" w:hint="default"/>
      </w:rPr>
    </w:lvl>
    <w:lvl w:ilvl="7" w:tplc="6C6E17D4" w:tentative="1">
      <w:start w:val="1"/>
      <w:numFmt w:val="bullet"/>
      <w:lvlText w:val="o"/>
      <w:lvlJc w:val="left"/>
      <w:pPr>
        <w:ind w:left="5760" w:hanging="360"/>
      </w:pPr>
      <w:rPr>
        <w:rFonts w:ascii="Courier New" w:hAnsi="Courier New" w:cs="Courier New" w:hint="default"/>
      </w:rPr>
    </w:lvl>
    <w:lvl w:ilvl="8" w:tplc="A1A8490C" w:tentative="1">
      <w:start w:val="1"/>
      <w:numFmt w:val="bullet"/>
      <w:lvlText w:val=""/>
      <w:lvlJc w:val="left"/>
      <w:pPr>
        <w:ind w:left="6480" w:hanging="360"/>
      </w:pPr>
      <w:rPr>
        <w:rFonts w:ascii="Wingdings" w:hAnsi="Wingdings" w:hint="default"/>
      </w:rPr>
    </w:lvl>
  </w:abstractNum>
  <w:abstractNum w:abstractNumId="6" w15:restartNumberingAfterBreak="0">
    <w:nsid w:val="516E34B5"/>
    <w:multiLevelType w:val="hybridMultilevel"/>
    <w:tmpl w:val="BE6E1BDC"/>
    <w:lvl w:ilvl="0" w:tplc="986E4CC6">
      <w:numFmt w:val="bullet"/>
      <w:lvlText w:val="-"/>
      <w:lvlJc w:val="left"/>
      <w:pPr>
        <w:ind w:left="720" w:hanging="360"/>
      </w:pPr>
      <w:rPr>
        <w:rFonts w:ascii="Calibri" w:eastAsiaTheme="minorHAnsi" w:hAnsi="Calibri" w:cs="Calibri" w:hint="default"/>
      </w:rPr>
    </w:lvl>
    <w:lvl w:ilvl="1" w:tplc="95A8BE16" w:tentative="1">
      <w:start w:val="1"/>
      <w:numFmt w:val="bullet"/>
      <w:lvlText w:val="o"/>
      <w:lvlJc w:val="left"/>
      <w:pPr>
        <w:ind w:left="1440" w:hanging="360"/>
      </w:pPr>
      <w:rPr>
        <w:rFonts w:ascii="Courier New" w:hAnsi="Courier New" w:cs="Courier New" w:hint="default"/>
      </w:rPr>
    </w:lvl>
    <w:lvl w:ilvl="2" w:tplc="069E47D8" w:tentative="1">
      <w:start w:val="1"/>
      <w:numFmt w:val="bullet"/>
      <w:lvlText w:val=""/>
      <w:lvlJc w:val="left"/>
      <w:pPr>
        <w:ind w:left="2160" w:hanging="360"/>
      </w:pPr>
      <w:rPr>
        <w:rFonts w:ascii="Wingdings" w:hAnsi="Wingdings" w:hint="default"/>
      </w:rPr>
    </w:lvl>
    <w:lvl w:ilvl="3" w:tplc="7DF6CB8A" w:tentative="1">
      <w:start w:val="1"/>
      <w:numFmt w:val="bullet"/>
      <w:lvlText w:val=""/>
      <w:lvlJc w:val="left"/>
      <w:pPr>
        <w:ind w:left="2880" w:hanging="360"/>
      </w:pPr>
      <w:rPr>
        <w:rFonts w:ascii="Symbol" w:hAnsi="Symbol" w:hint="default"/>
      </w:rPr>
    </w:lvl>
    <w:lvl w:ilvl="4" w:tplc="F3F233FA" w:tentative="1">
      <w:start w:val="1"/>
      <w:numFmt w:val="bullet"/>
      <w:lvlText w:val="o"/>
      <w:lvlJc w:val="left"/>
      <w:pPr>
        <w:ind w:left="3600" w:hanging="360"/>
      </w:pPr>
      <w:rPr>
        <w:rFonts w:ascii="Courier New" w:hAnsi="Courier New" w:cs="Courier New" w:hint="default"/>
      </w:rPr>
    </w:lvl>
    <w:lvl w:ilvl="5" w:tplc="7882ACFC" w:tentative="1">
      <w:start w:val="1"/>
      <w:numFmt w:val="bullet"/>
      <w:lvlText w:val=""/>
      <w:lvlJc w:val="left"/>
      <w:pPr>
        <w:ind w:left="4320" w:hanging="360"/>
      </w:pPr>
      <w:rPr>
        <w:rFonts w:ascii="Wingdings" w:hAnsi="Wingdings" w:hint="default"/>
      </w:rPr>
    </w:lvl>
    <w:lvl w:ilvl="6" w:tplc="F1027C7E" w:tentative="1">
      <w:start w:val="1"/>
      <w:numFmt w:val="bullet"/>
      <w:lvlText w:val=""/>
      <w:lvlJc w:val="left"/>
      <w:pPr>
        <w:ind w:left="5040" w:hanging="360"/>
      </w:pPr>
      <w:rPr>
        <w:rFonts w:ascii="Symbol" w:hAnsi="Symbol" w:hint="default"/>
      </w:rPr>
    </w:lvl>
    <w:lvl w:ilvl="7" w:tplc="801C253C" w:tentative="1">
      <w:start w:val="1"/>
      <w:numFmt w:val="bullet"/>
      <w:lvlText w:val="o"/>
      <w:lvlJc w:val="left"/>
      <w:pPr>
        <w:ind w:left="5760" w:hanging="360"/>
      </w:pPr>
      <w:rPr>
        <w:rFonts w:ascii="Courier New" w:hAnsi="Courier New" w:cs="Courier New" w:hint="default"/>
      </w:rPr>
    </w:lvl>
    <w:lvl w:ilvl="8" w:tplc="FC68BDBE" w:tentative="1">
      <w:start w:val="1"/>
      <w:numFmt w:val="bullet"/>
      <w:lvlText w:val=""/>
      <w:lvlJc w:val="left"/>
      <w:pPr>
        <w:ind w:left="6480" w:hanging="360"/>
      </w:pPr>
      <w:rPr>
        <w:rFonts w:ascii="Wingdings" w:hAnsi="Wingdings" w:hint="default"/>
      </w:rPr>
    </w:lvl>
  </w:abstractNum>
  <w:abstractNum w:abstractNumId="7" w15:restartNumberingAfterBreak="0">
    <w:nsid w:val="77EC5B7F"/>
    <w:multiLevelType w:val="hybridMultilevel"/>
    <w:tmpl w:val="A7920F76"/>
    <w:lvl w:ilvl="0" w:tplc="72AA7B24">
      <w:start w:val="1"/>
      <w:numFmt w:val="bullet"/>
      <w:lvlText w:val=""/>
      <w:lvlJc w:val="left"/>
      <w:pPr>
        <w:ind w:left="720" w:hanging="360"/>
      </w:pPr>
      <w:rPr>
        <w:rFonts w:ascii="Symbol" w:hAnsi="Symbol" w:hint="default"/>
      </w:rPr>
    </w:lvl>
    <w:lvl w:ilvl="1" w:tplc="99FCFD04">
      <w:start w:val="1"/>
      <w:numFmt w:val="bullet"/>
      <w:lvlText w:val="o"/>
      <w:lvlJc w:val="left"/>
      <w:pPr>
        <w:ind w:left="1440" w:hanging="360"/>
      </w:pPr>
      <w:rPr>
        <w:rFonts w:ascii="Courier New" w:hAnsi="Courier New" w:cs="Courier New" w:hint="default"/>
      </w:rPr>
    </w:lvl>
    <w:lvl w:ilvl="2" w:tplc="28C8D976">
      <w:start w:val="1"/>
      <w:numFmt w:val="bullet"/>
      <w:lvlText w:val=""/>
      <w:lvlJc w:val="left"/>
      <w:pPr>
        <w:ind w:left="2160" w:hanging="360"/>
      </w:pPr>
      <w:rPr>
        <w:rFonts w:ascii="Wingdings" w:hAnsi="Wingdings" w:hint="default"/>
      </w:rPr>
    </w:lvl>
    <w:lvl w:ilvl="3" w:tplc="095EDA8C">
      <w:start w:val="1"/>
      <w:numFmt w:val="bullet"/>
      <w:lvlText w:val=""/>
      <w:lvlJc w:val="left"/>
      <w:pPr>
        <w:ind w:left="2880" w:hanging="360"/>
      </w:pPr>
      <w:rPr>
        <w:rFonts w:ascii="Symbol" w:hAnsi="Symbol" w:hint="default"/>
      </w:rPr>
    </w:lvl>
    <w:lvl w:ilvl="4" w:tplc="C69E4AEE">
      <w:start w:val="1"/>
      <w:numFmt w:val="bullet"/>
      <w:lvlText w:val="o"/>
      <w:lvlJc w:val="left"/>
      <w:pPr>
        <w:ind w:left="3600" w:hanging="360"/>
      </w:pPr>
      <w:rPr>
        <w:rFonts w:ascii="Courier New" w:hAnsi="Courier New" w:cs="Courier New" w:hint="default"/>
      </w:rPr>
    </w:lvl>
    <w:lvl w:ilvl="5" w:tplc="1F6E121A">
      <w:start w:val="1"/>
      <w:numFmt w:val="bullet"/>
      <w:lvlText w:val=""/>
      <w:lvlJc w:val="left"/>
      <w:pPr>
        <w:ind w:left="4320" w:hanging="360"/>
      </w:pPr>
      <w:rPr>
        <w:rFonts w:ascii="Wingdings" w:hAnsi="Wingdings" w:hint="default"/>
      </w:rPr>
    </w:lvl>
    <w:lvl w:ilvl="6" w:tplc="D9926C18">
      <w:start w:val="1"/>
      <w:numFmt w:val="bullet"/>
      <w:lvlText w:val=""/>
      <w:lvlJc w:val="left"/>
      <w:pPr>
        <w:ind w:left="5040" w:hanging="360"/>
      </w:pPr>
      <w:rPr>
        <w:rFonts w:ascii="Symbol" w:hAnsi="Symbol" w:hint="default"/>
      </w:rPr>
    </w:lvl>
    <w:lvl w:ilvl="7" w:tplc="41082F9C">
      <w:start w:val="1"/>
      <w:numFmt w:val="bullet"/>
      <w:lvlText w:val="o"/>
      <w:lvlJc w:val="left"/>
      <w:pPr>
        <w:ind w:left="5760" w:hanging="360"/>
      </w:pPr>
      <w:rPr>
        <w:rFonts w:ascii="Courier New" w:hAnsi="Courier New" w:cs="Courier New" w:hint="default"/>
      </w:rPr>
    </w:lvl>
    <w:lvl w:ilvl="8" w:tplc="F62226D0">
      <w:start w:val="1"/>
      <w:numFmt w:val="bullet"/>
      <w:lvlText w:val=""/>
      <w:lvlJc w:val="left"/>
      <w:pPr>
        <w:ind w:left="6480" w:hanging="360"/>
      </w:pPr>
      <w:rPr>
        <w:rFonts w:ascii="Wingdings" w:hAnsi="Wingdings" w:hint="default"/>
      </w:rPr>
    </w:lvl>
  </w:abstractNum>
  <w:abstractNum w:abstractNumId="8" w15:restartNumberingAfterBreak="0">
    <w:nsid w:val="7FDD0837"/>
    <w:multiLevelType w:val="hybridMultilevel"/>
    <w:tmpl w:val="CC684E52"/>
    <w:lvl w:ilvl="0" w:tplc="2F1A3E0E">
      <w:start w:val="1"/>
      <w:numFmt w:val="bullet"/>
      <w:lvlText w:val=""/>
      <w:lvlJc w:val="left"/>
      <w:pPr>
        <w:ind w:left="720" w:hanging="360"/>
      </w:pPr>
      <w:rPr>
        <w:rFonts w:ascii="Symbol" w:hAnsi="Symbol" w:hint="default"/>
      </w:rPr>
    </w:lvl>
    <w:lvl w:ilvl="1" w:tplc="309426D0" w:tentative="1">
      <w:start w:val="1"/>
      <w:numFmt w:val="bullet"/>
      <w:lvlText w:val="o"/>
      <w:lvlJc w:val="left"/>
      <w:pPr>
        <w:ind w:left="1440" w:hanging="360"/>
      </w:pPr>
      <w:rPr>
        <w:rFonts w:ascii="Courier New" w:hAnsi="Courier New" w:cs="Courier New" w:hint="default"/>
      </w:rPr>
    </w:lvl>
    <w:lvl w:ilvl="2" w:tplc="6D524F40" w:tentative="1">
      <w:start w:val="1"/>
      <w:numFmt w:val="bullet"/>
      <w:lvlText w:val=""/>
      <w:lvlJc w:val="left"/>
      <w:pPr>
        <w:ind w:left="2160" w:hanging="360"/>
      </w:pPr>
      <w:rPr>
        <w:rFonts w:ascii="Wingdings" w:hAnsi="Wingdings" w:hint="default"/>
      </w:rPr>
    </w:lvl>
    <w:lvl w:ilvl="3" w:tplc="9A0C28F6" w:tentative="1">
      <w:start w:val="1"/>
      <w:numFmt w:val="bullet"/>
      <w:lvlText w:val=""/>
      <w:lvlJc w:val="left"/>
      <w:pPr>
        <w:ind w:left="2880" w:hanging="360"/>
      </w:pPr>
      <w:rPr>
        <w:rFonts w:ascii="Symbol" w:hAnsi="Symbol" w:hint="default"/>
      </w:rPr>
    </w:lvl>
    <w:lvl w:ilvl="4" w:tplc="DF38FF44" w:tentative="1">
      <w:start w:val="1"/>
      <w:numFmt w:val="bullet"/>
      <w:lvlText w:val="o"/>
      <w:lvlJc w:val="left"/>
      <w:pPr>
        <w:ind w:left="3600" w:hanging="360"/>
      </w:pPr>
      <w:rPr>
        <w:rFonts w:ascii="Courier New" w:hAnsi="Courier New" w:cs="Courier New" w:hint="default"/>
      </w:rPr>
    </w:lvl>
    <w:lvl w:ilvl="5" w:tplc="831431DC" w:tentative="1">
      <w:start w:val="1"/>
      <w:numFmt w:val="bullet"/>
      <w:lvlText w:val=""/>
      <w:lvlJc w:val="left"/>
      <w:pPr>
        <w:ind w:left="4320" w:hanging="360"/>
      </w:pPr>
      <w:rPr>
        <w:rFonts w:ascii="Wingdings" w:hAnsi="Wingdings" w:hint="default"/>
      </w:rPr>
    </w:lvl>
    <w:lvl w:ilvl="6" w:tplc="0ABAF936" w:tentative="1">
      <w:start w:val="1"/>
      <w:numFmt w:val="bullet"/>
      <w:lvlText w:val=""/>
      <w:lvlJc w:val="left"/>
      <w:pPr>
        <w:ind w:left="5040" w:hanging="360"/>
      </w:pPr>
      <w:rPr>
        <w:rFonts w:ascii="Symbol" w:hAnsi="Symbol" w:hint="default"/>
      </w:rPr>
    </w:lvl>
    <w:lvl w:ilvl="7" w:tplc="36C8E9B2" w:tentative="1">
      <w:start w:val="1"/>
      <w:numFmt w:val="bullet"/>
      <w:lvlText w:val="o"/>
      <w:lvlJc w:val="left"/>
      <w:pPr>
        <w:ind w:left="5760" w:hanging="360"/>
      </w:pPr>
      <w:rPr>
        <w:rFonts w:ascii="Courier New" w:hAnsi="Courier New" w:cs="Courier New" w:hint="default"/>
      </w:rPr>
    </w:lvl>
    <w:lvl w:ilvl="8" w:tplc="D0ACF6EA" w:tentative="1">
      <w:start w:val="1"/>
      <w:numFmt w:val="bullet"/>
      <w:lvlText w:val=""/>
      <w:lvlJc w:val="left"/>
      <w:pPr>
        <w:ind w:left="6480" w:hanging="360"/>
      </w:pPr>
      <w:rPr>
        <w:rFonts w:ascii="Wingdings" w:hAnsi="Wingdings" w:hint="default"/>
      </w:rPr>
    </w:lvl>
  </w:abstractNum>
  <w:num w:numId="1" w16cid:durableId="1498612767">
    <w:abstractNumId w:val="2"/>
  </w:num>
  <w:num w:numId="2" w16cid:durableId="1749158864">
    <w:abstractNumId w:val="6"/>
  </w:num>
  <w:num w:numId="3" w16cid:durableId="459494633">
    <w:abstractNumId w:val="4"/>
  </w:num>
  <w:num w:numId="4" w16cid:durableId="1837071621">
    <w:abstractNumId w:val="0"/>
  </w:num>
  <w:num w:numId="5" w16cid:durableId="332346138">
    <w:abstractNumId w:val="1"/>
  </w:num>
  <w:num w:numId="6" w16cid:durableId="486440354">
    <w:abstractNumId w:val="8"/>
  </w:num>
  <w:num w:numId="7" w16cid:durableId="542180059">
    <w:abstractNumId w:val="3"/>
  </w:num>
  <w:num w:numId="8" w16cid:durableId="1068110737">
    <w:abstractNumId w:val="5"/>
  </w:num>
  <w:num w:numId="9" w16cid:durableId="5572041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3B8404"/>
    <w:rsid w:val="0000162C"/>
    <w:rsid w:val="000226DC"/>
    <w:rsid w:val="00041F31"/>
    <w:rsid w:val="00050E04"/>
    <w:rsid w:val="000518EB"/>
    <w:rsid w:val="00065366"/>
    <w:rsid w:val="000704B6"/>
    <w:rsid w:val="000920EA"/>
    <w:rsid w:val="000A0CD9"/>
    <w:rsid w:val="000A5049"/>
    <w:rsid w:val="000B544B"/>
    <w:rsid w:val="000B644F"/>
    <w:rsid w:val="000C49CA"/>
    <w:rsid w:val="000D311B"/>
    <w:rsid w:val="000D3206"/>
    <w:rsid w:val="000D4202"/>
    <w:rsid w:val="000D4B5A"/>
    <w:rsid w:val="000F779F"/>
    <w:rsid w:val="000F7F0F"/>
    <w:rsid w:val="0014367F"/>
    <w:rsid w:val="00145C4B"/>
    <w:rsid w:val="001617C6"/>
    <w:rsid w:val="00163B54"/>
    <w:rsid w:val="00174D3A"/>
    <w:rsid w:val="00187FCA"/>
    <w:rsid w:val="00195D3A"/>
    <w:rsid w:val="001A331E"/>
    <w:rsid w:val="001C6160"/>
    <w:rsid w:val="001D2553"/>
    <w:rsid w:val="001E6A35"/>
    <w:rsid w:val="001F0FEE"/>
    <w:rsid w:val="001F40AB"/>
    <w:rsid w:val="001F525E"/>
    <w:rsid w:val="001F60B5"/>
    <w:rsid w:val="002023A5"/>
    <w:rsid w:val="00207E48"/>
    <w:rsid w:val="00221815"/>
    <w:rsid w:val="00225C0D"/>
    <w:rsid w:val="0022750D"/>
    <w:rsid w:val="00243313"/>
    <w:rsid w:val="002438CD"/>
    <w:rsid w:val="00244ABB"/>
    <w:rsid w:val="0026253F"/>
    <w:rsid w:val="0026518C"/>
    <w:rsid w:val="00265295"/>
    <w:rsid w:val="00274822"/>
    <w:rsid w:val="002765B0"/>
    <w:rsid w:val="00282336"/>
    <w:rsid w:val="002825B1"/>
    <w:rsid w:val="002876B3"/>
    <w:rsid w:val="00295D8A"/>
    <w:rsid w:val="00297DBD"/>
    <w:rsid w:val="002A6270"/>
    <w:rsid w:val="00301E4C"/>
    <w:rsid w:val="003132B8"/>
    <w:rsid w:val="00314053"/>
    <w:rsid w:val="00325627"/>
    <w:rsid w:val="00325EFD"/>
    <w:rsid w:val="00342997"/>
    <w:rsid w:val="003534F0"/>
    <w:rsid w:val="0035525B"/>
    <w:rsid w:val="00360E4B"/>
    <w:rsid w:val="00373C3A"/>
    <w:rsid w:val="0037522F"/>
    <w:rsid w:val="00377507"/>
    <w:rsid w:val="00381EEB"/>
    <w:rsid w:val="003938FB"/>
    <w:rsid w:val="003B0624"/>
    <w:rsid w:val="003B7707"/>
    <w:rsid w:val="003C5D44"/>
    <w:rsid w:val="003D29E0"/>
    <w:rsid w:val="003D3923"/>
    <w:rsid w:val="003D6579"/>
    <w:rsid w:val="003E0AE8"/>
    <w:rsid w:val="003F7C0F"/>
    <w:rsid w:val="004164F8"/>
    <w:rsid w:val="00417A9C"/>
    <w:rsid w:val="004260BC"/>
    <w:rsid w:val="00455D0C"/>
    <w:rsid w:val="00462B14"/>
    <w:rsid w:val="00484B96"/>
    <w:rsid w:val="004B0A3E"/>
    <w:rsid w:val="004B1F85"/>
    <w:rsid w:val="004B7A95"/>
    <w:rsid w:val="004C4F40"/>
    <w:rsid w:val="005014F8"/>
    <w:rsid w:val="005122F2"/>
    <w:rsid w:val="00525922"/>
    <w:rsid w:val="00527B5C"/>
    <w:rsid w:val="00532B9A"/>
    <w:rsid w:val="005337FE"/>
    <w:rsid w:val="00533D90"/>
    <w:rsid w:val="005344BB"/>
    <w:rsid w:val="005607B4"/>
    <w:rsid w:val="00560F8E"/>
    <w:rsid w:val="00566229"/>
    <w:rsid w:val="0056700D"/>
    <w:rsid w:val="005760E2"/>
    <w:rsid w:val="005B7383"/>
    <w:rsid w:val="005D585D"/>
    <w:rsid w:val="005E4373"/>
    <w:rsid w:val="005F1C7E"/>
    <w:rsid w:val="005F2F69"/>
    <w:rsid w:val="00600A98"/>
    <w:rsid w:val="00611EA4"/>
    <w:rsid w:val="00622132"/>
    <w:rsid w:val="00624430"/>
    <w:rsid w:val="00626907"/>
    <w:rsid w:val="006311EC"/>
    <w:rsid w:val="006339D3"/>
    <w:rsid w:val="00635934"/>
    <w:rsid w:val="00657898"/>
    <w:rsid w:val="00661002"/>
    <w:rsid w:val="006A1882"/>
    <w:rsid w:val="006A1B95"/>
    <w:rsid w:val="006B0779"/>
    <w:rsid w:val="006B5EFE"/>
    <w:rsid w:val="006C0CA1"/>
    <w:rsid w:val="006D5550"/>
    <w:rsid w:val="006E4A6A"/>
    <w:rsid w:val="006E5350"/>
    <w:rsid w:val="006F0256"/>
    <w:rsid w:val="006F18AA"/>
    <w:rsid w:val="006F2532"/>
    <w:rsid w:val="007217BA"/>
    <w:rsid w:val="00734764"/>
    <w:rsid w:val="00735682"/>
    <w:rsid w:val="00747057"/>
    <w:rsid w:val="007514DB"/>
    <w:rsid w:val="00751521"/>
    <w:rsid w:val="007750C6"/>
    <w:rsid w:val="00794E0F"/>
    <w:rsid w:val="007B2C30"/>
    <w:rsid w:val="007C0F95"/>
    <w:rsid w:val="007C1803"/>
    <w:rsid w:val="007C1ED8"/>
    <w:rsid w:val="007C6BE2"/>
    <w:rsid w:val="007D2B05"/>
    <w:rsid w:val="007D5061"/>
    <w:rsid w:val="00802B39"/>
    <w:rsid w:val="008048A5"/>
    <w:rsid w:val="008253BA"/>
    <w:rsid w:val="00835EBD"/>
    <w:rsid w:val="008402E6"/>
    <w:rsid w:val="00840546"/>
    <w:rsid w:val="008421F3"/>
    <w:rsid w:val="0087622F"/>
    <w:rsid w:val="0087736F"/>
    <w:rsid w:val="008954BD"/>
    <w:rsid w:val="008A0C82"/>
    <w:rsid w:val="008A45AC"/>
    <w:rsid w:val="008B30ED"/>
    <w:rsid w:val="008C12F2"/>
    <w:rsid w:val="008C4466"/>
    <w:rsid w:val="008D1F7A"/>
    <w:rsid w:val="008D2E34"/>
    <w:rsid w:val="008E140E"/>
    <w:rsid w:val="008E19AF"/>
    <w:rsid w:val="00921781"/>
    <w:rsid w:val="00923B3B"/>
    <w:rsid w:val="00925FC9"/>
    <w:rsid w:val="00933299"/>
    <w:rsid w:val="0093782F"/>
    <w:rsid w:val="00945C94"/>
    <w:rsid w:val="009460D7"/>
    <w:rsid w:val="0095007A"/>
    <w:rsid w:val="00950F3C"/>
    <w:rsid w:val="00991F73"/>
    <w:rsid w:val="00995EC9"/>
    <w:rsid w:val="009C43E2"/>
    <w:rsid w:val="009C5240"/>
    <w:rsid w:val="009C6ADB"/>
    <w:rsid w:val="009D4A19"/>
    <w:rsid w:val="009E39D3"/>
    <w:rsid w:val="009E7DA1"/>
    <w:rsid w:val="009F15C5"/>
    <w:rsid w:val="00A020D1"/>
    <w:rsid w:val="00A141C5"/>
    <w:rsid w:val="00A2037C"/>
    <w:rsid w:val="00A20B9D"/>
    <w:rsid w:val="00A2269B"/>
    <w:rsid w:val="00A4104F"/>
    <w:rsid w:val="00A416D8"/>
    <w:rsid w:val="00A51CA8"/>
    <w:rsid w:val="00A6508F"/>
    <w:rsid w:val="00A71CBC"/>
    <w:rsid w:val="00A85774"/>
    <w:rsid w:val="00A97EA6"/>
    <w:rsid w:val="00AA3057"/>
    <w:rsid w:val="00AA3C8F"/>
    <w:rsid w:val="00AB0DE8"/>
    <w:rsid w:val="00AC7228"/>
    <w:rsid w:val="00AE50FB"/>
    <w:rsid w:val="00AF2AF4"/>
    <w:rsid w:val="00B04A5F"/>
    <w:rsid w:val="00B04DDA"/>
    <w:rsid w:val="00B222DA"/>
    <w:rsid w:val="00B36C86"/>
    <w:rsid w:val="00B47865"/>
    <w:rsid w:val="00B579BC"/>
    <w:rsid w:val="00B639C8"/>
    <w:rsid w:val="00B70C41"/>
    <w:rsid w:val="00B71473"/>
    <w:rsid w:val="00B731AF"/>
    <w:rsid w:val="00B75C37"/>
    <w:rsid w:val="00B9009F"/>
    <w:rsid w:val="00B90991"/>
    <w:rsid w:val="00B950A8"/>
    <w:rsid w:val="00BA0D76"/>
    <w:rsid w:val="00BA41C0"/>
    <w:rsid w:val="00BB3C9F"/>
    <w:rsid w:val="00BD6B78"/>
    <w:rsid w:val="00C36CBE"/>
    <w:rsid w:val="00C413DB"/>
    <w:rsid w:val="00C46BB2"/>
    <w:rsid w:val="00C46C2B"/>
    <w:rsid w:val="00C52F8C"/>
    <w:rsid w:val="00C8391E"/>
    <w:rsid w:val="00C841EC"/>
    <w:rsid w:val="00C950B4"/>
    <w:rsid w:val="00CA1F50"/>
    <w:rsid w:val="00CE4303"/>
    <w:rsid w:val="00CE7B0D"/>
    <w:rsid w:val="00D0018E"/>
    <w:rsid w:val="00D23903"/>
    <w:rsid w:val="00D44759"/>
    <w:rsid w:val="00D54D96"/>
    <w:rsid w:val="00D56730"/>
    <w:rsid w:val="00D615A4"/>
    <w:rsid w:val="00D801FD"/>
    <w:rsid w:val="00D80942"/>
    <w:rsid w:val="00D80C45"/>
    <w:rsid w:val="00D832D2"/>
    <w:rsid w:val="00DB4144"/>
    <w:rsid w:val="00DC3503"/>
    <w:rsid w:val="00DC4349"/>
    <w:rsid w:val="00DD3F9A"/>
    <w:rsid w:val="00DE24C8"/>
    <w:rsid w:val="00DE3E1D"/>
    <w:rsid w:val="00DE69A4"/>
    <w:rsid w:val="00E10AF0"/>
    <w:rsid w:val="00E14571"/>
    <w:rsid w:val="00E17469"/>
    <w:rsid w:val="00E22BC1"/>
    <w:rsid w:val="00E50134"/>
    <w:rsid w:val="00E544EE"/>
    <w:rsid w:val="00E71A91"/>
    <w:rsid w:val="00E853D0"/>
    <w:rsid w:val="00E91184"/>
    <w:rsid w:val="00E9566E"/>
    <w:rsid w:val="00EA287F"/>
    <w:rsid w:val="00EB099C"/>
    <w:rsid w:val="00EB0CE4"/>
    <w:rsid w:val="00EC35FE"/>
    <w:rsid w:val="00ED25D7"/>
    <w:rsid w:val="00EE5C64"/>
    <w:rsid w:val="00EF1032"/>
    <w:rsid w:val="00F07E8E"/>
    <w:rsid w:val="00F156B5"/>
    <w:rsid w:val="00F50F22"/>
    <w:rsid w:val="00F71358"/>
    <w:rsid w:val="00F774D5"/>
    <w:rsid w:val="00F82133"/>
    <w:rsid w:val="00F82A1C"/>
    <w:rsid w:val="00FA37FF"/>
    <w:rsid w:val="00FB27ED"/>
    <w:rsid w:val="00FC01D9"/>
    <w:rsid w:val="00FD57D0"/>
    <w:rsid w:val="00FD78F8"/>
    <w:rsid w:val="00FE1A87"/>
    <w:rsid w:val="00FE714B"/>
    <w:rsid w:val="00FF6323"/>
    <w:rsid w:val="06C20BDC"/>
    <w:rsid w:val="0C243563"/>
    <w:rsid w:val="0FB17494"/>
    <w:rsid w:val="0FC5A41C"/>
    <w:rsid w:val="108A4BEB"/>
    <w:rsid w:val="10FDD378"/>
    <w:rsid w:val="1242D3DC"/>
    <w:rsid w:val="1289EE39"/>
    <w:rsid w:val="15833127"/>
    <w:rsid w:val="1E1E8E4A"/>
    <w:rsid w:val="1F590D9C"/>
    <w:rsid w:val="1F6A8959"/>
    <w:rsid w:val="238161FB"/>
    <w:rsid w:val="2398A97E"/>
    <w:rsid w:val="23ACB6E2"/>
    <w:rsid w:val="246FC6CD"/>
    <w:rsid w:val="263B8404"/>
    <w:rsid w:val="29AC82A0"/>
    <w:rsid w:val="2AF35288"/>
    <w:rsid w:val="2CBD5EC2"/>
    <w:rsid w:val="30E37DEA"/>
    <w:rsid w:val="3A6547A3"/>
    <w:rsid w:val="3DBEE45D"/>
    <w:rsid w:val="3FE7A9F9"/>
    <w:rsid w:val="40F2D02C"/>
    <w:rsid w:val="41925771"/>
    <w:rsid w:val="43B8C582"/>
    <w:rsid w:val="47642E41"/>
    <w:rsid w:val="483B82D9"/>
    <w:rsid w:val="5C2FD69F"/>
    <w:rsid w:val="5C536340"/>
    <w:rsid w:val="5CAF5170"/>
    <w:rsid w:val="5E5B9D0C"/>
    <w:rsid w:val="5EFA2D20"/>
    <w:rsid w:val="606992BB"/>
    <w:rsid w:val="6146200C"/>
    <w:rsid w:val="64A2436C"/>
    <w:rsid w:val="64E4E63B"/>
    <w:rsid w:val="6C9E6928"/>
    <w:rsid w:val="6F10354E"/>
    <w:rsid w:val="6F77597E"/>
    <w:rsid w:val="75E8DE74"/>
    <w:rsid w:val="7B9D6556"/>
    <w:rsid w:val="7F428194"/>
    <w:rsid w:val="7F4D45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B2E3F"/>
  <w15:chartTrackingRefBased/>
  <w15:docId w15:val="{7E469905-6879-4F34-B317-609CEE8B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2A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B77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B731AF"/>
    <w:pPr>
      <w:suppressAutoHyphens/>
      <w:autoSpaceDE w:val="0"/>
      <w:autoSpaceDN w:val="0"/>
      <w:adjustRightInd w:val="0"/>
      <w:spacing w:after="170" w:line="300" w:lineRule="auto"/>
      <w:textAlignment w:val="center"/>
    </w:pPr>
    <w:rPr>
      <w:rFonts w:ascii="Arial" w:hAnsi="Arial" w:cs="Arial"/>
      <w:color w:val="000000" w:themeColor="text1"/>
      <w:sz w:val="24"/>
      <w:szCs w:val="24"/>
    </w:rPr>
  </w:style>
  <w:style w:type="character" w:customStyle="1" w:styleId="BodyTextChar">
    <w:name w:val="Body Text Char"/>
    <w:basedOn w:val="DefaultParagraphFont"/>
    <w:link w:val="BodyText"/>
    <w:uiPriority w:val="1"/>
    <w:rsid w:val="00B731AF"/>
    <w:rPr>
      <w:rFonts w:ascii="Arial" w:hAnsi="Arial" w:cs="Arial"/>
      <w:color w:val="000000" w:themeColor="text1"/>
      <w:sz w:val="24"/>
      <w:szCs w:val="24"/>
    </w:rPr>
  </w:style>
  <w:style w:type="character" w:customStyle="1" w:styleId="Heading1Char">
    <w:name w:val="Heading 1 Char"/>
    <w:basedOn w:val="DefaultParagraphFont"/>
    <w:link w:val="Heading1"/>
    <w:uiPriority w:val="9"/>
    <w:rsid w:val="00AF2AF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E24C8"/>
    <w:pPr>
      <w:ind w:left="720"/>
      <w:contextualSpacing/>
    </w:pPr>
  </w:style>
  <w:style w:type="paragraph" w:styleId="Revision">
    <w:name w:val="Revision"/>
    <w:hidden/>
    <w:uiPriority w:val="99"/>
    <w:semiHidden/>
    <w:rsid w:val="006311EC"/>
    <w:pPr>
      <w:spacing w:after="0" w:line="240" w:lineRule="auto"/>
    </w:pPr>
  </w:style>
  <w:style w:type="character" w:styleId="CommentReference">
    <w:name w:val="annotation reference"/>
    <w:basedOn w:val="DefaultParagraphFont"/>
    <w:uiPriority w:val="99"/>
    <w:semiHidden/>
    <w:unhideWhenUsed/>
    <w:rsid w:val="006311EC"/>
    <w:rPr>
      <w:sz w:val="16"/>
      <w:szCs w:val="16"/>
    </w:rPr>
  </w:style>
  <w:style w:type="paragraph" w:styleId="CommentText">
    <w:name w:val="annotation text"/>
    <w:basedOn w:val="Normal"/>
    <w:link w:val="CommentTextChar"/>
    <w:uiPriority w:val="99"/>
    <w:unhideWhenUsed/>
    <w:rsid w:val="006311EC"/>
    <w:pPr>
      <w:spacing w:line="240" w:lineRule="auto"/>
    </w:pPr>
    <w:rPr>
      <w:sz w:val="20"/>
      <w:szCs w:val="20"/>
    </w:rPr>
  </w:style>
  <w:style w:type="character" w:customStyle="1" w:styleId="CommentTextChar">
    <w:name w:val="Comment Text Char"/>
    <w:basedOn w:val="DefaultParagraphFont"/>
    <w:link w:val="CommentText"/>
    <w:uiPriority w:val="99"/>
    <w:rsid w:val="006311EC"/>
    <w:rPr>
      <w:sz w:val="20"/>
      <w:szCs w:val="20"/>
    </w:rPr>
  </w:style>
  <w:style w:type="paragraph" w:styleId="CommentSubject">
    <w:name w:val="annotation subject"/>
    <w:basedOn w:val="CommentText"/>
    <w:next w:val="CommentText"/>
    <w:link w:val="CommentSubjectChar"/>
    <w:uiPriority w:val="99"/>
    <w:semiHidden/>
    <w:unhideWhenUsed/>
    <w:rsid w:val="006311EC"/>
    <w:rPr>
      <w:b/>
      <w:bCs/>
    </w:rPr>
  </w:style>
  <w:style w:type="character" w:customStyle="1" w:styleId="CommentSubjectChar">
    <w:name w:val="Comment Subject Char"/>
    <w:basedOn w:val="CommentTextChar"/>
    <w:link w:val="CommentSubject"/>
    <w:uiPriority w:val="99"/>
    <w:semiHidden/>
    <w:rsid w:val="006311EC"/>
    <w:rPr>
      <w:b/>
      <w:bCs/>
      <w:sz w:val="20"/>
      <w:szCs w:val="20"/>
    </w:rPr>
  </w:style>
  <w:style w:type="character" w:customStyle="1" w:styleId="Heading2Char">
    <w:name w:val="Heading 2 Char"/>
    <w:basedOn w:val="DefaultParagraphFont"/>
    <w:link w:val="Heading2"/>
    <w:uiPriority w:val="9"/>
    <w:rsid w:val="003B7707"/>
    <w:rPr>
      <w:rFonts w:asciiTheme="majorHAnsi" w:eastAsiaTheme="majorEastAsia" w:hAnsiTheme="majorHAnsi" w:cstheme="majorBidi"/>
      <w:color w:val="2E74B5" w:themeColor="accent1" w:themeShade="BF"/>
      <w:sz w:val="26"/>
      <w:szCs w:val="26"/>
    </w:rPr>
  </w:style>
  <w:style w:type="paragraph" w:styleId="NoSpacing">
    <w:name w:val="No Spacing"/>
    <w:basedOn w:val="Normal"/>
    <w:link w:val="NoSpacingChar"/>
    <w:uiPriority w:val="1"/>
    <w:qFormat/>
    <w:rsid w:val="000920EA"/>
    <w:pPr>
      <w:spacing w:after="0" w:line="240" w:lineRule="auto"/>
    </w:pPr>
    <w:rPr>
      <w:rFonts w:ascii="Arial" w:hAnsi="Arial"/>
      <w:kern w:val="2"/>
      <w:lang w:val="en-AU"/>
      <w14:ligatures w14:val="standardContextual"/>
    </w:rPr>
  </w:style>
  <w:style w:type="character" w:customStyle="1" w:styleId="NoSpacingChar">
    <w:name w:val="No Spacing Char"/>
    <w:basedOn w:val="DefaultParagraphFont"/>
    <w:link w:val="NoSpacing"/>
    <w:uiPriority w:val="1"/>
    <w:rsid w:val="000920EA"/>
    <w:rPr>
      <w:rFonts w:ascii="Arial" w:hAnsi="Arial"/>
      <w:kern w:val="2"/>
      <w:lang w:val="en-AU"/>
      <w14:ligatures w14:val="standardContextual"/>
    </w:rPr>
  </w:style>
  <w:style w:type="character" w:styleId="Hyperlink">
    <w:name w:val="Hyperlink"/>
    <w:basedOn w:val="DefaultParagraphFont"/>
    <w:uiPriority w:val="99"/>
    <w:unhideWhenUsed/>
    <w:rsid w:val="000920EA"/>
    <w:rPr>
      <w:color w:val="0563C1" w:themeColor="hyperlink"/>
      <w:u w:val="single"/>
    </w:rPr>
  </w:style>
  <w:style w:type="paragraph" w:styleId="Header">
    <w:name w:val="header"/>
    <w:basedOn w:val="Normal"/>
    <w:link w:val="HeaderChar"/>
    <w:uiPriority w:val="99"/>
    <w:semiHidden/>
    <w:unhideWhenUsed/>
    <w:rsid w:val="00AE50F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E50FB"/>
  </w:style>
  <w:style w:type="paragraph" w:styleId="Footer">
    <w:name w:val="footer"/>
    <w:basedOn w:val="Normal"/>
    <w:link w:val="FooterChar"/>
    <w:uiPriority w:val="99"/>
    <w:semiHidden/>
    <w:unhideWhenUsed/>
    <w:rsid w:val="00AE50F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E50FB"/>
  </w:style>
  <w:style w:type="character" w:styleId="UnresolvedMention">
    <w:name w:val="Unresolved Mention"/>
    <w:basedOn w:val="DefaultParagraphFont"/>
    <w:uiPriority w:val="99"/>
    <w:semiHidden/>
    <w:unhideWhenUsed/>
    <w:rsid w:val="00161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t.gov.au/directorates-and-agencies/act-health/strategies-programs-and-reports/strategies-and-plans/act-disability-health-strategy" TargetMode="External"/><Relationship Id="rId18" Type="http://schemas.openxmlformats.org/officeDocument/2006/relationships/hyperlink" Target="https://inclusive.sa.gov.au/have-your-say/state-disability-inclusion-plan" TargetMode="External"/><Relationship Id="rId26" Type="http://schemas.openxmlformats.org/officeDocument/2006/relationships/hyperlink" Target="https://www.closingthegap.gov.au/national-agreement" TargetMode="External"/><Relationship Id="rId3" Type="http://schemas.openxmlformats.org/officeDocument/2006/relationships/customXml" Target="../customXml/item3.xml"/><Relationship Id="rId21" Type="http://schemas.openxmlformats.org/officeDocument/2006/relationships/hyperlink" Target="https://www.dpac.tas.gov.au/divisions/cpp/community-and-disability-services/australias-disability-strategy" TargetMode="External"/><Relationship Id="rId34" Type="http://schemas.openxmlformats.org/officeDocument/2006/relationships/hyperlink" Target="https://genderequality.gov.au/" TargetMode="External"/><Relationship Id="rId7" Type="http://schemas.openxmlformats.org/officeDocument/2006/relationships/settings" Target="settings.xml"/><Relationship Id="rId12" Type="http://schemas.openxmlformats.org/officeDocument/2006/relationships/hyperlink" Target="https://www.act.gov.au/__data/assets/pdf_file/0010/2380798/ACT-Disability-Justice-Strategy.pdf" TargetMode="External"/><Relationship Id="rId17" Type="http://schemas.openxmlformats.org/officeDocument/2006/relationships/hyperlink" Target="https://www.dcssds.qld.gov.au/campaign/queenslands-disability-plan/about-plan/queenslands-disability-plan-2022-27" TargetMode="External"/><Relationship Id="rId25" Type="http://schemas.openxmlformats.org/officeDocument/2006/relationships/hyperlink" Target="https://www.disabilitygateway.gov.au/ads/strategy" TargetMode="External"/><Relationship Id="rId33" Type="http://schemas.openxmlformats.org/officeDocument/2006/relationships/hyperlink" Target="https://www.dss.gov.au/ending-violence" TargetMode="External"/><Relationship Id="rId2" Type="http://schemas.openxmlformats.org/officeDocument/2006/relationships/customXml" Target="../customXml/item2.xml"/><Relationship Id="rId16" Type="http://schemas.openxmlformats.org/officeDocument/2006/relationships/hyperlink" Target="https://dpsc.nt.gov.au/community-programs-support/office-of-disability/disability-strategy/nt-disability-strategy-action-plan-2022-2025" TargetMode="External"/><Relationship Id="rId20" Type="http://schemas.openxmlformats.org/officeDocument/2006/relationships/hyperlink" Target="https://www.justice.vic.gov.au/about-the-department/disability-action-plan" TargetMode="External"/><Relationship Id="rId29" Type="http://schemas.openxmlformats.org/officeDocument/2006/relationships/hyperlink" Target="https://www.childsafety.gov.au/resources/national-strategy-prevent-and-respond-child-sexual-abuse-2021-203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t.gov.au/open/disability-strategy" TargetMode="External"/><Relationship Id="rId24" Type="http://schemas.openxmlformats.org/officeDocument/2006/relationships/hyperlink" Target="https://www.ohchr.org/en/instruments-mechanisms/instruments/convention-rights-persons-disabilities" TargetMode="External"/><Relationship Id="rId32" Type="http://schemas.openxmlformats.org/officeDocument/2006/relationships/hyperlink" Target="https://disability.royalcommission.gov.au/publications/final-report"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cj.nsw.gov.au/community-inclusion/disability-and-inclusion/nsw-disability-inclusion-plan.html" TargetMode="External"/><Relationship Id="rId23" Type="http://schemas.openxmlformats.org/officeDocument/2006/relationships/hyperlink" Target="https://alga.com.au/app/uploads/2018/05/Disability-Inclusion-Planning-v2.pdf" TargetMode="External"/><Relationship Id="rId28" Type="http://schemas.openxmlformats.org/officeDocument/2006/relationships/hyperlink" Target="https://www.closingthegap.gov.au/sites/default/files/2022-08/disability-sector-strengthening-plan.pdf"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vic.gov.au/state-disability-plan" TargetMode="External"/><Relationship Id="rId31" Type="http://schemas.openxmlformats.org/officeDocument/2006/relationships/hyperlink" Target="https://www.dss.gov.au/sites/default/files/documents/02_2017/ndis_quality_and_safeguarding_framework_final.pdf"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education.act.gov.au/our-priorities/inclusive-education-a-disability-inclusion-strategy" TargetMode="External"/><Relationship Id="rId22" Type="http://schemas.openxmlformats.org/officeDocument/2006/relationships/hyperlink" Target="https://www.wa.gov.au/government/document-collections/state-disability-strategy-2020-2030" TargetMode="External"/><Relationship Id="rId27" Type="http://schemas.openxmlformats.org/officeDocument/2006/relationships/hyperlink" Target="https://www.dss.gov.au/the-national-framework-for-protecting-australias-children-2021-2031" TargetMode="External"/><Relationship Id="rId30" Type="http://schemas.openxmlformats.org/officeDocument/2006/relationships/hyperlink" Target="https://childsafe.humanrights.gov.au/national-principles" TargetMode="External"/><Relationship Id="rId35" Type="http://schemas.openxmlformats.org/officeDocument/2006/relationships/hyperlink" Target="https://www.dss.gov.au/sites/default/files/documents/05_2023/national-disability-advocacy-framework-2023-2025-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246022-f9fe-4b65-967e-0935338e931e">
      <Terms xmlns="http://schemas.microsoft.com/office/infopath/2007/PartnerControls"/>
    </lcf76f155ced4ddcb4097134ff3c332f>
    <TaxCatchAll xmlns="9c2a9dd1-6f1c-42a6-8dbe-7204e5445579" xsi:nil="true"/>
    <Notes xmlns="a2246022-f9fe-4b65-967e-0935338e93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20EF74E57DDB439C4DC82164D3EFA2" ma:contentTypeVersion="13" ma:contentTypeDescription="Create a new document." ma:contentTypeScope="" ma:versionID="3316708a88fb5af7ed77ff47ac4bc333">
  <xsd:schema xmlns:xsd="http://www.w3.org/2001/XMLSchema" xmlns:xs="http://www.w3.org/2001/XMLSchema" xmlns:p="http://schemas.microsoft.com/office/2006/metadata/properties" xmlns:ns2="a2246022-f9fe-4b65-967e-0935338e931e" xmlns:ns3="9c2a9dd1-6f1c-42a6-8dbe-7204e5445579" targetNamespace="http://schemas.microsoft.com/office/2006/metadata/properties" ma:root="true" ma:fieldsID="b48dff3bb74d9ea4f9fa8feb86c674f9" ns2:_="" ns3:_="">
    <xsd:import namespace="a2246022-f9fe-4b65-967e-0935338e931e"/>
    <xsd:import namespace="9c2a9dd1-6f1c-42a6-8dbe-7204e54455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46022-f9fe-4b65-967e-0935338e9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Notes" ma:index="20" nillable="true" ma:displayName="Notes" ma:description="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a9dd1-6f1c-42a6-8dbe-7204e54455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10858c4-765a-4d7a-91b6-53705a729a00}" ma:internalName="TaxCatchAll" ma:showField="CatchAllData" ma:web="9c2a9dd1-6f1c-42a6-8dbe-7204e5445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56C406-8C04-4139-9236-6E816222F5A3}">
  <ds:schemaRefs>
    <ds:schemaRef ds:uri="http://schemas.openxmlformats.org/officeDocument/2006/bibliography"/>
  </ds:schemaRefs>
</ds:datastoreItem>
</file>

<file path=customXml/itemProps2.xml><?xml version="1.0" encoding="utf-8"?>
<ds:datastoreItem xmlns:ds="http://schemas.openxmlformats.org/officeDocument/2006/customXml" ds:itemID="{CA0C1319-461B-4497-BE7A-4F3BFD4BAC35}">
  <ds:schemaRefs>
    <ds:schemaRef ds:uri="http://schemas.microsoft.com/office/2006/metadata/properties"/>
    <ds:schemaRef ds:uri="http://schemas.microsoft.com/office/infopath/2007/PartnerControls"/>
    <ds:schemaRef ds:uri="a2246022-f9fe-4b65-967e-0935338e931e"/>
    <ds:schemaRef ds:uri="9c2a9dd1-6f1c-42a6-8dbe-7204e5445579"/>
  </ds:schemaRefs>
</ds:datastoreItem>
</file>

<file path=customXml/itemProps3.xml><?xml version="1.0" encoding="utf-8"?>
<ds:datastoreItem xmlns:ds="http://schemas.openxmlformats.org/officeDocument/2006/customXml" ds:itemID="{B2E985A2-93F4-4EE5-85D4-C4899237B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46022-f9fe-4b65-967e-0935338e931e"/>
    <ds:schemaRef ds:uri="9c2a9dd1-6f1c-42a6-8dbe-7204e5445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0484B6-747E-48CC-BEE7-1356993B5C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4</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Targeted Action Plans</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خطط العمل المستهدفة</dc:title>
  <dc:creator>Department of Social Services</dc:creator>
  <cp:keywords>[SEC=OFFICIAL]</cp:keywords>
  <cp:lastModifiedBy>JFL</cp:lastModifiedBy>
  <cp:revision>89</cp:revision>
  <dcterms:created xsi:type="dcterms:W3CDTF">2024-10-12T17:50:00Z</dcterms:created>
  <dcterms:modified xsi:type="dcterms:W3CDTF">2025-01-24T05:30:00Z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0x0101009920EF74E57DDB439C4DC82164D3EFA2</vt:lpwstr>
  </property>
  <property fmtid="{D5CDD505-2E9C-101B-9397-08002B2CF9AE}" pid="3" name="MediaServiceImageTags">
    <vt:lpwstr/>
  </property>
  <property fmtid="{D5CDD505-2E9C-101B-9397-08002B2CF9AE}" pid="4" name="MSIP_Label_eb34d90b-fc41-464d-af60-f74d721d0790_ActionId">
    <vt:lpwstr>fd092787d0c14b038ba86413846868b0</vt:lpwstr>
  </property>
  <property fmtid="{D5CDD505-2E9C-101B-9397-08002B2CF9AE}" pid="5" name="MSIP_Label_eb34d90b-fc41-464d-af60-f74d721d0790_ContentBits">
    <vt:lpwstr>0</vt:lpwstr>
  </property>
  <property fmtid="{D5CDD505-2E9C-101B-9397-08002B2CF9AE}" pid="6" name="MSIP_Label_eb34d90b-fc41-464d-af60-f74d721d0790_Enabled">
    <vt:lpwstr>true</vt:lpwstr>
  </property>
  <property fmtid="{D5CDD505-2E9C-101B-9397-08002B2CF9AE}" pid="7" name="MSIP_Label_eb34d90b-fc41-464d-af60-f74d721d0790_Method">
    <vt:lpwstr>Privileged</vt:lpwstr>
  </property>
  <property fmtid="{D5CDD505-2E9C-101B-9397-08002B2CF9AE}" pid="8" name="MSIP_Label_eb34d90b-fc41-464d-af60-f74d721d0790_Name">
    <vt:lpwstr>OFFICIAL</vt:lpwstr>
  </property>
  <property fmtid="{D5CDD505-2E9C-101B-9397-08002B2CF9AE}" pid="9" name="MSIP_Label_eb34d90b-fc41-464d-af60-f74d721d0790_SetDate">
    <vt:lpwstr>2024-10-08T01:29:46Z</vt:lpwstr>
  </property>
  <property fmtid="{D5CDD505-2E9C-101B-9397-08002B2CF9AE}" pid="10" name="MSIP_Label_eb34d90b-fc41-464d-af60-f74d721d0790_SiteId">
    <vt:lpwstr>61e36dd1-ca6e-4d61-aa0a-2b4eb88317a3</vt:lpwstr>
  </property>
  <property fmtid="{D5CDD505-2E9C-101B-9397-08002B2CF9AE}" pid="11" name="PMHMAC">
    <vt:lpwstr>v=2022.1;a=SHA256;h=C7BE2D30935ACF4AB9ABCC6991279E169508CC5F8A0239F4840648CE2476E017</vt:lpwstr>
  </property>
  <property fmtid="{D5CDD505-2E9C-101B-9397-08002B2CF9AE}" pid="12" name="PMUuid">
    <vt:lpwstr>v=2022.2;d=gov.au;g=46DD6D7C-8107-577B-BC6E-F348953B2E44</vt:lpwstr>
  </property>
  <property fmtid="{D5CDD505-2E9C-101B-9397-08002B2CF9AE}" pid="13" name="PM_Caveats_Count">
    <vt:lpwstr>0</vt:lpwstr>
  </property>
  <property fmtid="{D5CDD505-2E9C-101B-9397-08002B2CF9AE}" pid="14" name="PM_Display">
    <vt:lpwstr>OFFICIAL</vt:lpwstr>
  </property>
  <property fmtid="{D5CDD505-2E9C-101B-9397-08002B2CF9AE}" pid="15" name="PM_DisplayValueSecClassificationWithQualifier">
    <vt:lpwstr>OFFICIAL</vt:lpwstr>
  </property>
  <property fmtid="{D5CDD505-2E9C-101B-9397-08002B2CF9AE}" pid="16" name="PM_Hash_Salt">
    <vt:lpwstr>F52C8BE9DEFAFAD4453F203344DBFCC3</vt:lpwstr>
  </property>
  <property fmtid="{D5CDD505-2E9C-101B-9397-08002B2CF9AE}" pid="17" name="PM_Hash_Salt_Prev">
    <vt:lpwstr>03751A4B2CBF4B4EB227D3B1A06928E4</vt:lpwstr>
  </property>
  <property fmtid="{D5CDD505-2E9C-101B-9397-08002B2CF9AE}" pid="18" name="PM_Hash_SHA1">
    <vt:lpwstr>0A4C413C07C8E9137294D96B009EB440F054BCEF</vt:lpwstr>
  </property>
  <property fmtid="{D5CDD505-2E9C-101B-9397-08002B2CF9AE}" pid="19" name="PM_Hash_Version">
    <vt:lpwstr>2022.1</vt:lpwstr>
  </property>
  <property fmtid="{D5CDD505-2E9C-101B-9397-08002B2CF9AE}" pid="20" name="PM_InsertionValue">
    <vt:lpwstr>OFFICIAL</vt:lpwstr>
  </property>
  <property fmtid="{D5CDD505-2E9C-101B-9397-08002B2CF9AE}" pid="21" name="PM_Markers">
    <vt:lpwstr/>
  </property>
  <property fmtid="{D5CDD505-2E9C-101B-9397-08002B2CF9AE}" pid="22" name="PM_Namespace">
    <vt:lpwstr>gov.au</vt:lpwstr>
  </property>
  <property fmtid="{D5CDD505-2E9C-101B-9397-08002B2CF9AE}" pid="23" name="PM_Note">
    <vt:lpwstr/>
  </property>
  <property fmtid="{D5CDD505-2E9C-101B-9397-08002B2CF9AE}" pid="24" name="PM_Originating_FileId">
    <vt:lpwstr>834DA5EDF40A4BF4AB3B6C74FB15301F</vt:lpwstr>
  </property>
  <property fmtid="{D5CDD505-2E9C-101B-9397-08002B2CF9AE}" pid="25" name="PM_OriginationTimeStamp">
    <vt:lpwstr>2024-10-08T01:29:46Z</vt:lpwstr>
  </property>
  <property fmtid="{D5CDD505-2E9C-101B-9397-08002B2CF9AE}" pid="26" name="PM_OriginatorDomainName_SHA256">
    <vt:lpwstr>E83A2A66C4061446A7E3732E8D44762184B6B377D962B96C83DC624302585857</vt:lpwstr>
  </property>
  <property fmtid="{D5CDD505-2E9C-101B-9397-08002B2CF9AE}" pid="27" name="PM_OriginatorUserAccountName_SHA256">
    <vt:lpwstr>FEDBFA995A8C45FC9554F922CEC2451044EB65FD04B9EB5F7D09C6776A8EDAB2</vt:lpwstr>
  </property>
  <property fmtid="{D5CDD505-2E9C-101B-9397-08002B2CF9AE}" pid="28" name="PM_Originator_Hash_SHA1">
    <vt:lpwstr>9B3A1C7372822359B755C5C477E57A409A387227</vt:lpwstr>
  </property>
  <property fmtid="{D5CDD505-2E9C-101B-9397-08002B2CF9AE}" pid="29" name="PM_ProtectiveMarkingImage_Footer">
    <vt:lpwstr>C:\Program Files (x86)\Common Files\janusNET Shared\janusSEAL\Images\DocumentSlashBlue.png</vt:lpwstr>
  </property>
  <property fmtid="{D5CDD505-2E9C-101B-9397-08002B2CF9AE}" pid="30" name="PM_ProtectiveMarkingImage_Header">
    <vt:lpwstr>C:\Program Files (x86)\Common Files\janusNET Shared\janusSEAL\Images\DocumentSlashBlue.png</vt:lpwstr>
  </property>
  <property fmtid="{D5CDD505-2E9C-101B-9397-08002B2CF9AE}" pid="31" name="PM_ProtectiveMarkingValue_Footer">
    <vt:lpwstr>OFFICIAL</vt:lpwstr>
  </property>
  <property fmtid="{D5CDD505-2E9C-101B-9397-08002B2CF9AE}" pid="32" name="PM_ProtectiveMarkingValue_Header">
    <vt:lpwstr>OFFICIAL</vt:lpwstr>
  </property>
  <property fmtid="{D5CDD505-2E9C-101B-9397-08002B2CF9AE}" pid="33" name="PM_Qualifier">
    <vt:lpwstr/>
  </property>
  <property fmtid="{D5CDD505-2E9C-101B-9397-08002B2CF9AE}" pid="34" name="PM_Qualifier_Prev">
    <vt:lpwstr/>
  </property>
  <property fmtid="{D5CDD505-2E9C-101B-9397-08002B2CF9AE}" pid="35" name="PM_SecurityClassification">
    <vt:lpwstr>OFFICIAL</vt:lpwstr>
  </property>
  <property fmtid="{D5CDD505-2E9C-101B-9397-08002B2CF9AE}" pid="36" name="PM_SecurityClassification_Prev">
    <vt:lpwstr>OFFICIAL</vt:lpwstr>
  </property>
  <property fmtid="{D5CDD505-2E9C-101B-9397-08002B2CF9AE}" pid="37" name="PM_Version">
    <vt:lpwstr>2018.4</vt:lpwstr>
  </property>
</Properties>
</file>