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7827" w14:textId="77777777" w:rsidR="00827B47" w:rsidRDefault="00000000">
      <w:pPr>
        <w:pStyle w:val="Title"/>
        <w:spacing w:before="68"/>
        <w:ind w:right="117"/>
      </w:pPr>
      <w:r>
        <w:rPr>
          <w:noProof/>
        </w:rPr>
        <w:drawing>
          <wp:anchor distT="0" distB="0" distL="0" distR="0" simplePos="0" relativeHeight="15728640" behindDoc="0" locked="0" layoutInCell="1" allowOverlap="1" wp14:anchorId="75D50075" wp14:editId="53CAFBAF">
            <wp:simplePos x="0" y="0"/>
            <wp:positionH relativeFrom="page">
              <wp:posOffset>923925</wp:posOffset>
            </wp:positionH>
            <wp:positionV relativeFrom="paragraph">
              <wp:posOffset>108965</wp:posOffset>
            </wp:positionV>
            <wp:extent cx="1200150" cy="628650"/>
            <wp:effectExtent l="0" t="0" r="0" b="0"/>
            <wp:wrapNone/>
            <wp:docPr id="1" name="Image 1" descr="Australia's Disability Strategy 2021-2031 Creating an inclusive community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ustralia's Disability Strategy 2021-2031 Creating an inclusive community together"/>
                    <pic:cNvPicPr/>
                  </pic:nvPicPr>
                  <pic:blipFill>
                    <a:blip r:embed="rId6" cstate="print"/>
                    <a:stretch>
                      <a:fillRect/>
                    </a:stretch>
                  </pic:blipFill>
                  <pic:spPr>
                    <a:xfrm>
                      <a:off x="0" y="0"/>
                      <a:ext cx="1200150" cy="628650"/>
                    </a:xfrm>
                    <a:prstGeom prst="rect">
                      <a:avLst/>
                    </a:prstGeom>
                  </pic:spPr>
                </pic:pic>
              </a:graphicData>
            </a:graphic>
          </wp:anchor>
        </w:drawing>
      </w:r>
      <w:r>
        <w:rPr>
          <w:smallCaps/>
          <w:color w:val="790441"/>
        </w:rPr>
        <w:t>Australia’s</w:t>
      </w:r>
      <w:r>
        <w:rPr>
          <w:smallCaps/>
          <w:color w:val="790441"/>
          <w:spacing w:val="-16"/>
        </w:rPr>
        <w:t xml:space="preserve"> </w:t>
      </w:r>
      <w:r>
        <w:rPr>
          <w:smallCaps/>
          <w:color w:val="790441"/>
        </w:rPr>
        <w:t>Disability</w:t>
      </w:r>
      <w:r>
        <w:rPr>
          <w:smallCaps/>
          <w:color w:val="790441"/>
          <w:spacing w:val="-12"/>
        </w:rPr>
        <w:t xml:space="preserve"> </w:t>
      </w:r>
      <w:r>
        <w:rPr>
          <w:smallCaps/>
          <w:color w:val="790441"/>
        </w:rPr>
        <w:t>Strategy</w:t>
      </w:r>
      <w:r>
        <w:rPr>
          <w:smallCaps/>
          <w:color w:val="790441"/>
          <w:spacing w:val="-15"/>
        </w:rPr>
        <w:t xml:space="preserve"> </w:t>
      </w:r>
      <w:r>
        <w:rPr>
          <w:smallCaps/>
          <w:color w:val="790441"/>
        </w:rPr>
        <w:t>2021-</w:t>
      </w:r>
      <w:r>
        <w:rPr>
          <w:smallCaps/>
          <w:color w:val="790441"/>
          <w:spacing w:val="-4"/>
        </w:rPr>
        <w:t>2031</w:t>
      </w:r>
    </w:p>
    <w:p w14:paraId="768F4150" w14:textId="77777777" w:rsidR="00827B47" w:rsidRDefault="00000000">
      <w:pPr>
        <w:pStyle w:val="Title"/>
      </w:pPr>
      <w:r>
        <w:rPr>
          <w:smallCaps/>
          <w:color w:val="790441"/>
        </w:rPr>
        <w:t>Advisory</w:t>
      </w:r>
      <w:r>
        <w:rPr>
          <w:smallCaps/>
          <w:color w:val="790441"/>
          <w:spacing w:val="-14"/>
        </w:rPr>
        <w:t xml:space="preserve"> </w:t>
      </w:r>
      <w:r>
        <w:rPr>
          <w:smallCaps/>
          <w:color w:val="790441"/>
          <w:spacing w:val="-2"/>
        </w:rPr>
        <w:t>Council</w:t>
      </w:r>
    </w:p>
    <w:p w14:paraId="70C98F66" w14:textId="77777777" w:rsidR="00827B47" w:rsidRDefault="00000000">
      <w:pPr>
        <w:spacing w:before="58"/>
        <w:ind w:right="119"/>
        <w:jc w:val="right"/>
        <w:rPr>
          <w:rFonts w:ascii="Times New Roman" w:hAnsi="Times New Roman"/>
          <w:sz w:val="26"/>
        </w:rPr>
      </w:pPr>
      <w:r>
        <w:rPr>
          <w:rFonts w:ascii="Times New Roman" w:hAnsi="Times New Roman"/>
          <w:color w:val="790441"/>
          <w:spacing w:val="-2"/>
          <w:sz w:val="26"/>
        </w:rPr>
        <w:t>COMMUNIQUÉ</w:t>
      </w:r>
    </w:p>
    <w:p w14:paraId="7F8F2746" w14:textId="77777777" w:rsidR="00827B47" w:rsidRDefault="00827B47">
      <w:pPr>
        <w:pStyle w:val="BodyText"/>
        <w:spacing w:before="182"/>
        <w:ind w:left="0"/>
        <w:rPr>
          <w:rFonts w:ascii="Times New Roman"/>
        </w:rPr>
      </w:pPr>
    </w:p>
    <w:p w14:paraId="31E2A5F0" w14:textId="77777777" w:rsidR="00827B47" w:rsidRDefault="00000000">
      <w:pPr>
        <w:spacing w:before="1"/>
        <w:ind w:left="100"/>
        <w:rPr>
          <w:b/>
          <w:sz w:val="28"/>
        </w:rPr>
      </w:pPr>
      <w:r>
        <w:rPr>
          <w:b/>
          <w:sz w:val="28"/>
        </w:rPr>
        <w:t>Australia’s</w:t>
      </w:r>
      <w:r>
        <w:rPr>
          <w:b/>
          <w:spacing w:val="-14"/>
          <w:sz w:val="28"/>
        </w:rPr>
        <w:t xml:space="preserve"> </w:t>
      </w:r>
      <w:r>
        <w:rPr>
          <w:b/>
          <w:sz w:val="28"/>
        </w:rPr>
        <w:t>Disability</w:t>
      </w:r>
      <w:r>
        <w:rPr>
          <w:b/>
          <w:spacing w:val="-9"/>
          <w:sz w:val="28"/>
        </w:rPr>
        <w:t xml:space="preserve"> </w:t>
      </w:r>
      <w:r>
        <w:rPr>
          <w:b/>
          <w:sz w:val="28"/>
        </w:rPr>
        <w:t>Strategy</w:t>
      </w:r>
      <w:r>
        <w:rPr>
          <w:b/>
          <w:spacing w:val="-4"/>
          <w:sz w:val="28"/>
        </w:rPr>
        <w:t xml:space="preserve"> </w:t>
      </w:r>
      <w:r>
        <w:rPr>
          <w:sz w:val="28"/>
        </w:rPr>
        <w:t>(ADS)</w:t>
      </w:r>
      <w:r>
        <w:rPr>
          <w:spacing w:val="-8"/>
          <w:sz w:val="28"/>
        </w:rPr>
        <w:t xml:space="preserve"> </w:t>
      </w:r>
      <w:r>
        <w:rPr>
          <w:b/>
          <w:sz w:val="28"/>
        </w:rPr>
        <w:t>Advisory</w:t>
      </w:r>
      <w:r>
        <w:rPr>
          <w:b/>
          <w:spacing w:val="-9"/>
          <w:sz w:val="28"/>
        </w:rPr>
        <w:t xml:space="preserve"> </w:t>
      </w:r>
      <w:r>
        <w:rPr>
          <w:b/>
          <w:spacing w:val="-2"/>
          <w:sz w:val="28"/>
        </w:rPr>
        <w:t>Council</w:t>
      </w:r>
    </w:p>
    <w:p w14:paraId="5F04A541" w14:textId="77777777" w:rsidR="00827B47" w:rsidRDefault="00000000">
      <w:pPr>
        <w:pStyle w:val="BodyText"/>
        <w:spacing w:before="50" w:line="276" w:lineRule="auto"/>
        <w:ind w:right="227"/>
      </w:pPr>
      <w:r>
        <w:t>(the</w:t>
      </w:r>
      <w:r>
        <w:rPr>
          <w:spacing w:val="-4"/>
        </w:rPr>
        <w:t xml:space="preserve"> </w:t>
      </w:r>
      <w:r>
        <w:t>Advisory</w:t>
      </w:r>
      <w:r>
        <w:rPr>
          <w:spacing w:val="-2"/>
        </w:rPr>
        <w:t xml:space="preserve"> </w:t>
      </w:r>
      <w:r>
        <w:t>Council)</w:t>
      </w:r>
      <w:r>
        <w:rPr>
          <w:spacing w:val="-4"/>
        </w:rPr>
        <w:t xml:space="preserve"> </w:t>
      </w:r>
      <w:r>
        <w:t>met</w:t>
      </w:r>
      <w:r>
        <w:rPr>
          <w:spacing w:val="-1"/>
        </w:rPr>
        <w:t xml:space="preserve"> </w:t>
      </w:r>
      <w:r>
        <w:t>virtually</w:t>
      </w:r>
      <w:r>
        <w:rPr>
          <w:spacing w:val="-2"/>
        </w:rPr>
        <w:t xml:space="preserve"> </w:t>
      </w:r>
      <w:r>
        <w:t>for</w:t>
      </w:r>
      <w:r>
        <w:rPr>
          <w:spacing w:val="-3"/>
        </w:rPr>
        <w:t xml:space="preserve"> </w:t>
      </w:r>
      <w:r>
        <w:t>their</w:t>
      </w:r>
      <w:r>
        <w:rPr>
          <w:spacing w:val="-3"/>
        </w:rPr>
        <w:t xml:space="preserve"> </w:t>
      </w:r>
      <w:r>
        <w:t>third</w:t>
      </w:r>
      <w:r>
        <w:rPr>
          <w:spacing w:val="-4"/>
        </w:rPr>
        <w:t xml:space="preserve"> </w:t>
      </w:r>
      <w:r>
        <w:t>meeting</w:t>
      </w:r>
      <w:r>
        <w:rPr>
          <w:spacing w:val="-6"/>
        </w:rPr>
        <w:t xml:space="preserve"> </w:t>
      </w:r>
      <w:r>
        <w:t>of</w:t>
      </w:r>
      <w:r>
        <w:rPr>
          <w:spacing w:val="-2"/>
        </w:rPr>
        <w:t xml:space="preserve"> </w:t>
      </w:r>
      <w:r>
        <w:t>the</w:t>
      </w:r>
      <w:r>
        <w:rPr>
          <w:spacing w:val="-4"/>
        </w:rPr>
        <w:t xml:space="preserve"> </w:t>
      </w:r>
      <w:r>
        <w:t>year on 16 October 2024. The Chair noted that since their last meeting of</w:t>
      </w:r>
    </w:p>
    <w:p w14:paraId="504489E0" w14:textId="77777777" w:rsidR="00827B47" w:rsidRDefault="00000000">
      <w:pPr>
        <w:pStyle w:val="BodyText"/>
        <w:spacing w:line="276" w:lineRule="auto"/>
        <w:ind w:right="227"/>
      </w:pPr>
      <w:r>
        <w:t>June</w:t>
      </w:r>
      <w:r>
        <w:rPr>
          <w:spacing w:val="-5"/>
        </w:rPr>
        <w:t xml:space="preserve"> </w:t>
      </w:r>
      <w:r>
        <w:t>27,</w:t>
      </w:r>
      <w:r>
        <w:rPr>
          <w:spacing w:val="-6"/>
        </w:rPr>
        <w:t xml:space="preserve"> </w:t>
      </w:r>
      <w:r>
        <w:t>the</w:t>
      </w:r>
      <w:r>
        <w:rPr>
          <w:spacing w:val="-5"/>
        </w:rPr>
        <w:t xml:space="preserve"> </w:t>
      </w:r>
      <w:r>
        <w:t>Advisory</w:t>
      </w:r>
      <w:r>
        <w:rPr>
          <w:spacing w:val="-4"/>
        </w:rPr>
        <w:t xml:space="preserve"> </w:t>
      </w:r>
      <w:r>
        <w:t>Council</w:t>
      </w:r>
      <w:r>
        <w:rPr>
          <w:spacing w:val="-5"/>
        </w:rPr>
        <w:t xml:space="preserve"> </w:t>
      </w:r>
      <w:r>
        <w:t>had</w:t>
      </w:r>
      <w:r>
        <w:rPr>
          <w:spacing w:val="-5"/>
        </w:rPr>
        <w:t xml:space="preserve"> </w:t>
      </w:r>
      <w:r>
        <w:t>been</w:t>
      </w:r>
      <w:r>
        <w:rPr>
          <w:spacing w:val="-3"/>
        </w:rPr>
        <w:t xml:space="preserve"> </w:t>
      </w:r>
      <w:r>
        <w:t>supported</w:t>
      </w:r>
      <w:r>
        <w:rPr>
          <w:spacing w:val="-5"/>
        </w:rPr>
        <w:t xml:space="preserve"> </w:t>
      </w:r>
      <w:r>
        <w:t>through several</w:t>
      </w:r>
      <w:r>
        <w:rPr>
          <w:spacing w:val="-1"/>
        </w:rPr>
        <w:t xml:space="preserve"> </w:t>
      </w:r>
      <w:r>
        <w:t>out of session workshops and briefings on the disability reform agenda, progress of the ADS Review and the next round of Targeted Action Plans and an introductory ‘ADS101’ session.</w:t>
      </w:r>
    </w:p>
    <w:p w14:paraId="706A395A" w14:textId="77777777" w:rsidR="00827B47" w:rsidRDefault="00000000">
      <w:pPr>
        <w:pStyle w:val="BodyText"/>
        <w:spacing w:before="238" w:line="276" w:lineRule="auto"/>
      </w:pPr>
      <w:r>
        <w:t>At its October 16 meeting, the Advisory Council received a briefing from the Attorney-General’s Department and provided advice on likely community</w:t>
      </w:r>
      <w:r>
        <w:rPr>
          <w:spacing w:val="-4"/>
        </w:rPr>
        <w:t xml:space="preserve"> </w:t>
      </w:r>
      <w:r>
        <w:t>interest</w:t>
      </w:r>
      <w:r>
        <w:rPr>
          <w:spacing w:val="-4"/>
        </w:rPr>
        <w:t xml:space="preserve"> </w:t>
      </w:r>
      <w:r>
        <w:t>arising</w:t>
      </w:r>
      <w:r>
        <w:rPr>
          <w:spacing w:val="-6"/>
        </w:rPr>
        <w:t xml:space="preserve"> </w:t>
      </w:r>
      <w:r>
        <w:t>from</w:t>
      </w:r>
      <w:r>
        <w:rPr>
          <w:spacing w:val="-4"/>
        </w:rPr>
        <w:t xml:space="preserve"> </w:t>
      </w:r>
      <w:r>
        <w:t>the</w:t>
      </w:r>
      <w:r>
        <w:rPr>
          <w:spacing w:val="-4"/>
        </w:rPr>
        <w:t xml:space="preserve"> </w:t>
      </w:r>
      <w:r>
        <w:t>Government’s</w:t>
      </w:r>
      <w:r>
        <w:rPr>
          <w:spacing w:val="-6"/>
        </w:rPr>
        <w:t xml:space="preserve"> </w:t>
      </w:r>
      <w:r>
        <w:t>commitment</w:t>
      </w:r>
      <w:r>
        <w:rPr>
          <w:spacing w:val="-4"/>
        </w:rPr>
        <w:t xml:space="preserve"> </w:t>
      </w:r>
      <w:r>
        <w:t>to</w:t>
      </w:r>
      <w:r>
        <w:rPr>
          <w:spacing w:val="-6"/>
        </w:rPr>
        <w:t xml:space="preserve"> </w:t>
      </w:r>
      <w:r>
        <w:t xml:space="preserve">review the </w:t>
      </w:r>
      <w:r>
        <w:rPr>
          <w:i/>
        </w:rPr>
        <w:t xml:space="preserve">Disability Discrimination Act 1992 </w:t>
      </w:r>
      <w:r>
        <w:t>(DDA Review).</w:t>
      </w:r>
    </w:p>
    <w:p w14:paraId="36272FE0" w14:textId="77777777" w:rsidR="00827B47" w:rsidRDefault="00000000">
      <w:pPr>
        <w:pStyle w:val="BodyText"/>
        <w:spacing w:before="240" w:line="276" w:lineRule="auto"/>
        <w:ind w:right="64"/>
      </w:pPr>
      <w:r>
        <w:t>The Advisory Council’s advice included that the disability community would be interested in how the DDA Review could celebrate good practice in promoting inclusion and accessibility, would reduce the administrative burden on those making a complaint, and provide clear compliance</w:t>
      </w:r>
      <w:r>
        <w:rPr>
          <w:spacing w:val="-5"/>
        </w:rPr>
        <w:t xml:space="preserve"> </w:t>
      </w:r>
      <w:r>
        <w:t>for</w:t>
      </w:r>
      <w:r>
        <w:rPr>
          <w:spacing w:val="-5"/>
        </w:rPr>
        <w:t xml:space="preserve"> </w:t>
      </w:r>
      <w:r>
        <w:t>breaches.</w:t>
      </w:r>
      <w:r>
        <w:rPr>
          <w:spacing w:val="-5"/>
        </w:rPr>
        <w:t xml:space="preserve"> </w:t>
      </w:r>
      <w:r>
        <w:t>The</w:t>
      </w:r>
      <w:r>
        <w:rPr>
          <w:spacing w:val="-5"/>
        </w:rPr>
        <w:t xml:space="preserve"> </w:t>
      </w:r>
      <w:r>
        <w:t>Advisory</w:t>
      </w:r>
      <w:r>
        <w:rPr>
          <w:spacing w:val="-4"/>
        </w:rPr>
        <w:t xml:space="preserve"> </w:t>
      </w:r>
      <w:r>
        <w:t>Council will</w:t>
      </w:r>
      <w:r>
        <w:rPr>
          <w:spacing w:val="-4"/>
        </w:rPr>
        <w:t xml:space="preserve"> </w:t>
      </w:r>
      <w:r>
        <w:t>stay</w:t>
      </w:r>
      <w:r>
        <w:rPr>
          <w:spacing w:val="-6"/>
        </w:rPr>
        <w:t xml:space="preserve"> </w:t>
      </w:r>
      <w:r>
        <w:t>closely</w:t>
      </w:r>
      <w:r>
        <w:rPr>
          <w:spacing w:val="-2"/>
        </w:rPr>
        <w:t xml:space="preserve"> </w:t>
      </w:r>
      <w:r>
        <w:t>informed of the DDA Review and appreciated the opportunity to engage with the process early.</w:t>
      </w:r>
    </w:p>
    <w:p w14:paraId="186479B9" w14:textId="77777777" w:rsidR="00827B47" w:rsidRDefault="00000000">
      <w:pPr>
        <w:pStyle w:val="BodyText"/>
        <w:spacing w:before="241" w:line="276" w:lineRule="auto"/>
      </w:pPr>
      <w:r>
        <w:t>The Advisory Council also discussed its draft 2025 Work Plan, which would enable</w:t>
      </w:r>
      <w:r>
        <w:rPr>
          <w:spacing w:val="-2"/>
        </w:rPr>
        <w:t xml:space="preserve"> </w:t>
      </w:r>
      <w:r>
        <w:t>the Advisory Council to engage more deeply but in fewer, more</w:t>
      </w:r>
      <w:r>
        <w:rPr>
          <w:spacing w:val="-4"/>
        </w:rPr>
        <w:t xml:space="preserve"> </w:t>
      </w:r>
      <w:r>
        <w:t>targeted</w:t>
      </w:r>
      <w:r>
        <w:rPr>
          <w:spacing w:val="-4"/>
        </w:rPr>
        <w:t xml:space="preserve"> </w:t>
      </w:r>
      <w:r>
        <w:t>topics.</w:t>
      </w:r>
      <w:r>
        <w:rPr>
          <w:spacing w:val="-4"/>
        </w:rPr>
        <w:t xml:space="preserve"> </w:t>
      </w:r>
      <w:r>
        <w:t>This</w:t>
      </w:r>
      <w:r>
        <w:rPr>
          <w:spacing w:val="-3"/>
        </w:rPr>
        <w:t xml:space="preserve"> </w:t>
      </w:r>
      <w:r>
        <w:t>includes</w:t>
      </w:r>
      <w:r>
        <w:rPr>
          <w:spacing w:val="-1"/>
        </w:rPr>
        <w:t xml:space="preserve"> </w:t>
      </w:r>
      <w:r>
        <w:t>the</w:t>
      </w:r>
      <w:r>
        <w:rPr>
          <w:spacing w:val="-4"/>
        </w:rPr>
        <w:t xml:space="preserve"> </w:t>
      </w:r>
      <w:r>
        <w:t>potential</w:t>
      </w:r>
      <w:r>
        <w:rPr>
          <w:spacing w:val="-6"/>
        </w:rPr>
        <w:t xml:space="preserve"> </w:t>
      </w:r>
      <w:r>
        <w:t>for</w:t>
      </w:r>
      <w:r>
        <w:rPr>
          <w:spacing w:val="-4"/>
        </w:rPr>
        <w:t xml:space="preserve"> </w:t>
      </w:r>
      <w:r>
        <w:t>formal</w:t>
      </w:r>
      <w:r>
        <w:rPr>
          <w:spacing w:val="-4"/>
        </w:rPr>
        <w:t xml:space="preserve"> </w:t>
      </w:r>
      <w:r>
        <w:t>advice</w:t>
      </w:r>
      <w:r>
        <w:rPr>
          <w:spacing w:val="-4"/>
        </w:rPr>
        <w:t xml:space="preserve"> </w:t>
      </w:r>
      <w:r>
        <w:t>to</w:t>
      </w:r>
      <w:r>
        <w:rPr>
          <w:spacing w:val="-4"/>
        </w:rPr>
        <w:t xml:space="preserve"> </w:t>
      </w:r>
      <w:r>
        <w:t>the Disability Reform Ministerial Council (DRMC).</w:t>
      </w:r>
    </w:p>
    <w:p w14:paraId="619E5D69" w14:textId="77777777" w:rsidR="00827B47" w:rsidRDefault="00000000">
      <w:pPr>
        <w:pStyle w:val="BodyText"/>
        <w:spacing w:before="240" w:line="278" w:lineRule="auto"/>
      </w:pPr>
      <w:r>
        <w:t>The</w:t>
      </w:r>
      <w:r>
        <w:rPr>
          <w:spacing w:val="-4"/>
        </w:rPr>
        <w:t xml:space="preserve"> </w:t>
      </w:r>
      <w:r>
        <w:t>Advisory</w:t>
      </w:r>
      <w:r>
        <w:rPr>
          <w:spacing w:val="-3"/>
        </w:rPr>
        <w:t xml:space="preserve"> </w:t>
      </w:r>
      <w:r>
        <w:t>Council</w:t>
      </w:r>
      <w:r>
        <w:rPr>
          <w:spacing w:val="-3"/>
        </w:rPr>
        <w:t xml:space="preserve"> </w:t>
      </w:r>
      <w:r>
        <w:t>noted</w:t>
      </w:r>
      <w:r>
        <w:rPr>
          <w:spacing w:val="-4"/>
        </w:rPr>
        <w:t xml:space="preserve"> </w:t>
      </w:r>
      <w:r>
        <w:t>that</w:t>
      </w:r>
      <w:r>
        <w:rPr>
          <w:spacing w:val="-5"/>
        </w:rPr>
        <w:t xml:space="preserve"> </w:t>
      </w:r>
      <w:proofErr w:type="spellStart"/>
      <w:r>
        <w:t>Ms</w:t>
      </w:r>
      <w:proofErr w:type="spellEnd"/>
      <w:r>
        <w:rPr>
          <w:spacing w:val="-4"/>
        </w:rPr>
        <w:t xml:space="preserve"> </w:t>
      </w:r>
      <w:r>
        <w:t>Natalie</w:t>
      </w:r>
      <w:r>
        <w:rPr>
          <w:spacing w:val="-6"/>
        </w:rPr>
        <w:t xml:space="preserve"> </w:t>
      </w:r>
      <w:r>
        <w:t>Wade</w:t>
      </w:r>
      <w:r>
        <w:rPr>
          <w:spacing w:val="-4"/>
        </w:rPr>
        <w:t xml:space="preserve"> </w:t>
      </w:r>
      <w:r>
        <w:t>had</w:t>
      </w:r>
      <w:r>
        <w:rPr>
          <w:spacing w:val="-4"/>
        </w:rPr>
        <w:t xml:space="preserve"> </w:t>
      </w:r>
      <w:r>
        <w:t>resigned</w:t>
      </w:r>
      <w:r>
        <w:rPr>
          <w:spacing w:val="-4"/>
        </w:rPr>
        <w:t xml:space="preserve"> </w:t>
      </w:r>
      <w:r>
        <w:t>effective end of September 2024, and the Chair acknowledged her contribution.</w:t>
      </w:r>
    </w:p>
    <w:p w14:paraId="13726F9F" w14:textId="77777777" w:rsidR="00827B47" w:rsidRDefault="00000000">
      <w:pPr>
        <w:pStyle w:val="BodyText"/>
        <w:spacing w:line="276" w:lineRule="auto"/>
      </w:pPr>
      <w:r>
        <w:t>The</w:t>
      </w:r>
      <w:r>
        <w:rPr>
          <w:spacing w:val="-5"/>
        </w:rPr>
        <w:t xml:space="preserve"> </w:t>
      </w:r>
      <w:r>
        <w:t>Advisory</w:t>
      </w:r>
      <w:r>
        <w:rPr>
          <w:spacing w:val="-5"/>
        </w:rPr>
        <w:t xml:space="preserve"> </w:t>
      </w:r>
      <w:r>
        <w:t>Council</w:t>
      </w:r>
      <w:r>
        <w:rPr>
          <w:spacing w:val="-5"/>
        </w:rPr>
        <w:t xml:space="preserve"> </w:t>
      </w:r>
      <w:r>
        <w:t>also</w:t>
      </w:r>
      <w:r>
        <w:rPr>
          <w:spacing w:val="-5"/>
        </w:rPr>
        <w:t xml:space="preserve"> </w:t>
      </w:r>
      <w:r>
        <w:t>noted</w:t>
      </w:r>
      <w:r>
        <w:rPr>
          <w:spacing w:val="-5"/>
        </w:rPr>
        <w:t xml:space="preserve"> </w:t>
      </w:r>
      <w:r>
        <w:t>recent</w:t>
      </w:r>
      <w:r>
        <w:rPr>
          <w:spacing w:val="-4"/>
        </w:rPr>
        <w:t xml:space="preserve"> </w:t>
      </w:r>
      <w:r>
        <w:t>correspondence</w:t>
      </w:r>
      <w:r>
        <w:rPr>
          <w:spacing w:val="-5"/>
        </w:rPr>
        <w:t xml:space="preserve"> </w:t>
      </w:r>
      <w:r>
        <w:t>had</w:t>
      </w:r>
      <w:r>
        <w:rPr>
          <w:spacing w:val="-4"/>
        </w:rPr>
        <w:t xml:space="preserve"> </w:t>
      </w:r>
      <w:r>
        <w:t>been received from advocates regarding accessible information and communications, and tertiary education reform.</w:t>
      </w:r>
    </w:p>
    <w:p w14:paraId="2830DE83" w14:textId="77777777" w:rsidR="00827B47" w:rsidRDefault="00000000">
      <w:pPr>
        <w:pStyle w:val="BodyText"/>
        <w:spacing w:before="235"/>
      </w:pPr>
      <w:r>
        <w:t>The</w:t>
      </w:r>
      <w:r>
        <w:rPr>
          <w:spacing w:val="-8"/>
        </w:rPr>
        <w:t xml:space="preserve"> </w:t>
      </w:r>
      <w:r>
        <w:t>next</w:t>
      </w:r>
      <w:r>
        <w:rPr>
          <w:spacing w:val="-3"/>
        </w:rPr>
        <w:t xml:space="preserve"> </w:t>
      </w:r>
      <w:r>
        <w:t>meeting</w:t>
      </w:r>
      <w:r>
        <w:rPr>
          <w:spacing w:val="-5"/>
        </w:rPr>
        <w:t xml:space="preserve"> </w:t>
      </w:r>
      <w:r>
        <w:t>is</w:t>
      </w:r>
      <w:r>
        <w:rPr>
          <w:spacing w:val="-4"/>
        </w:rPr>
        <w:t xml:space="preserve"> </w:t>
      </w:r>
      <w:r>
        <w:t>scheduled</w:t>
      </w:r>
      <w:r>
        <w:rPr>
          <w:spacing w:val="-5"/>
        </w:rPr>
        <w:t xml:space="preserve"> </w:t>
      </w:r>
      <w:r>
        <w:t>for</w:t>
      </w:r>
      <w:r>
        <w:rPr>
          <w:spacing w:val="-2"/>
        </w:rPr>
        <w:t xml:space="preserve"> </w:t>
      </w:r>
      <w:r>
        <w:t>6</w:t>
      </w:r>
      <w:r>
        <w:rPr>
          <w:spacing w:val="-5"/>
        </w:rPr>
        <w:t xml:space="preserve"> </w:t>
      </w:r>
      <w:r>
        <w:t>December</w:t>
      </w:r>
      <w:r>
        <w:rPr>
          <w:spacing w:val="-5"/>
        </w:rPr>
        <w:t xml:space="preserve"> </w:t>
      </w:r>
      <w:r>
        <w:rPr>
          <w:spacing w:val="-2"/>
        </w:rPr>
        <w:t>2024.</w:t>
      </w:r>
    </w:p>
    <w:sectPr w:rsidR="00827B47">
      <w:type w:val="continuous"/>
      <w:pgSz w:w="11910" w:h="16840"/>
      <w:pgMar w:top="6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169D" w14:textId="77777777" w:rsidR="00D65E78" w:rsidRDefault="00D65E78" w:rsidP="008A2786">
      <w:r>
        <w:separator/>
      </w:r>
    </w:p>
  </w:endnote>
  <w:endnote w:type="continuationSeparator" w:id="0">
    <w:p w14:paraId="477C49C4" w14:textId="77777777" w:rsidR="00D65E78" w:rsidRDefault="00D65E78" w:rsidP="008A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BC1E" w14:textId="77777777" w:rsidR="00D65E78" w:rsidRDefault="00D65E78" w:rsidP="008A2786">
      <w:r>
        <w:separator/>
      </w:r>
    </w:p>
  </w:footnote>
  <w:footnote w:type="continuationSeparator" w:id="0">
    <w:p w14:paraId="73A93E22" w14:textId="77777777" w:rsidR="00D65E78" w:rsidRDefault="00D65E78" w:rsidP="008A2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7B47"/>
    <w:rsid w:val="00827B47"/>
    <w:rsid w:val="008A2786"/>
    <w:rsid w:val="00D65E78"/>
    <w:rsid w:val="00E95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473B"/>
  <w15:docId w15:val="{C8EB4194-F34B-4084-9DF0-A09416A4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0"/>
    <w:qFormat/>
    <w:pPr>
      <w:spacing w:line="368" w:lineRule="exact"/>
      <w:ind w:right="116"/>
      <w:jc w:val="right"/>
    </w:pPr>
    <w:rPr>
      <w:rFonts w:ascii="Times New Roman" w:eastAsia="Times New Roman" w:hAnsi="Times New Roman" w:cs="Times New Roman"/>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1554</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Disability Strategy Advisory Countil Communique 16 October 2024</dc:title>
  <dc:creator>PECK, Josh</dc:creator>
  <cp:keywords>[SEC=OFFICIAL]</cp:keywords>
  <cp:lastModifiedBy>MILLER, Vicky</cp:lastModifiedBy>
  <cp:revision>2</cp:revision>
  <dcterms:created xsi:type="dcterms:W3CDTF">2025-02-09T23:55:00Z</dcterms:created>
  <dcterms:modified xsi:type="dcterms:W3CDTF">2025-02-10T03:51:00Z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for Microsoft 365</vt:lpwstr>
  </property>
  <property fmtid="{D5CDD505-2E9C-101B-9397-08002B2CF9AE}" pid="4" name="LastSaved">
    <vt:filetime>2025-02-09T00:00:00Z</vt:filetime>
  </property>
  <property fmtid="{D5CDD505-2E9C-101B-9397-08002B2CF9AE}" pid="5" name="MSIP_Label_eb34d90b-fc41-464d-af60-f74d721d0790_ActionId">
    <vt:lpwstr>5ed5c3ae0f6441c58eb5be140e306c90</vt:lpwstr>
  </property>
  <property fmtid="{D5CDD505-2E9C-101B-9397-08002B2CF9AE}" pid="6" name="MSIP_Label_eb34d90b-fc41-464d-af60-f74d721d0790_ContentBits">
    <vt:lpwstr>0</vt:lpwstr>
  </property>
  <property fmtid="{D5CDD505-2E9C-101B-9397-08002B2CF9AE}" pid="7" name="MSIP_Label_eb34d90b-fc41-464d-af60-f74d721d0790_Enabled">
    <vt:lpwstr>true</vt:lpwstr>
  </property>
  <property fmtid="{D5CDD505-2E9C-101B-9397-08002B2CF9AE}" pid="8" name="MSIP_Label_eb34d90b-fc41-464d-af60-f74d721d0790_Method">
    <vt:lpwstr>Privileged</vt:lpwstr>
  </property>
  <property fmtid="{D5CDD505-2E9C-101B-9397-08002B2CF9AE}" pid="9" name="MSIP_Label_eb34d90b-fc41-464d-af60-f74d721d0790_Name">
    <vt:lpwstr>OFFICIAL</vt:lpwstr>
  </property>
  <property fmtid="{D5CDD505-2E9C-101B-9397-08002B2CF9AE}" pid="10" name="MSIP_Label_eb34d90b-fc41-464d-af60-f74d721d0790_SetDate">
    <vt:lpwstr>2023-12-06T04:36:37Z</vt:lpwstr>
  </property>
  <property fmtid="{D5CDD505-2E9C-101B-9397-08002B2CF9AE}" pid="11" name="MSIP_Label_eb34d90b-fc41-464d-af60-f74d721d0790_SiteId">
    <vt:lpwstr>61e36dd1-ca6e-4d61-aa0a-2b4eb88317a3</vt:lpwstr>
  </property>
  <property fmtid="{D5CDD505-2E9C-101B-9397-08002B2CF9AE}" pid="12" name="Producer">
    <vt:lpwstr>Microsoft® Word for Microsoft 365</vt:lpwstr>
  </property>
  <property fmtid="{D5CDD505-2E9C-101B-9397-08002B2CF9AE}" pid="13" name="PM_DisplayValueSecClassificationWithQualifier">
    <vt:lpwstr>OFFICIAL</vt:lpwstr>
  </property>
  <property fmtid="{D5CDD505-2E9C-101B-9397-08002B2CF9AE}" pid="14" name="PM_ProtectiveMarkingValue_Header">
    <vt:lpwstr>OFFICIAL</vt:lpwstr>
  </property>
  <property fmtid="{D5CDD505-2E9C-101B-9397-08002B2CF9AE}" pid="15" name="PM_ProtectiveMarkingValue_Footer">
    <vt:lpwstr>OFFICIAL</vt:lpwstr>
  </property>
  <property fmtid="{D5CDD505-2E9C-101B-9397-08002B2CF9AE}" pid="16" name="PM_InsertionValue">
    <vt:lpwstr>OFFICIAL</vt:lpwstr>
  </property>
  <property fmtid="{D5CDD505-2E9C-101B-9397-08002B2CF9AE}" pid="17" name="PM_Display">
    <vt:lpwstr>OFFICIAL</vt:lpwstr>
  </property>
  <property fmtid="{D5CDD505-2E9C-101B-9397-08002B2CF9AE}" pid="18" name="PM_Note">
    <vt:lpwstr/>
  </property>
  <property fmtid="{D5CDD505-2E9C-101B-9397-08002B2CF9AE}" pid="19" name="PM_ProtectiveMarkingImage_Footer">
    <vt:lpwstr>C:\Program Files (x86)\Common Files\janusNET Shared\janusSEAL\Images\DocumentSlashBlue.png</vt:lpwstr>
  </property>
  <property fmtid="{D5CDD505-2E9C-101B-9397-08002B2CF9AE}" pid="20" name="PM_OriginationTimeStamp">
    <vt:lpwstr>2023-12-06T04:36:37Z</vt:lpwstr>
  </property>
  <property fmtid="{D5CDD505-2E9C-101B-9397-08002B2CF9AE}" pid="21" name="PM_Originating_FileId">
    <vt:lpwstr>F9AEC05921C34F148B24F582760A4B36</vt:lpwstr>
  </property>
  <property fmtid="{D5CDD505-2E9C-101B-9397-08002B2CF9AE}" pid="22" name="PM_Caveats_Count">
    <vt:lpwstr>0</vt:lpwstr>
  </property>
  <property fmtid="{D5CDD505-2E9C-101B-9397-08002B2CF9AE}" pid="23" name="PM_Namespace">
    <vt:lpwstr>gov.au</vt:lpwstr>
  </property>
  <property fmtid="{D5CDD505-2E9C-101B-9397-08002B2CF9AE}" pid="24" name="PM_Version">
    <vt:lpwstr>2018.4</vt:lpwstr>
  </property>
  <property fmtid="{D5CDD505-2E9C-101B-9397-08002B2CF9AE}" pid="25" name="PM_SecurityClassification">
    <vt:lpwstr>OFFICIAL</vt:lpwstr>
  </property>
  <property fmtid="{D5CDD505-2E9C-101B-9397-08002B2CF9AE}" pid="26" name="PMHMAC">
    <vt:lpwstr>v=2022.1;a=SHA256;h=E6B4AAC6D1E3B25A59126C1F285650A966CB22D506EE4807A332C8DD1446384C</vt:lpwstr>
  </property>
  <property fmtid="{D5CDD505-2E9C-101B-9397-08002B2CF9AE}" pid="27" name="PM_Qualifier">
    <vt:lpwstr/>
  </property>
  <property fmtid="{D5CDD505-2E9C-101B-9397-08002B2CF9AE}" pid="28" name="PM_Marker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Originator_Hash_SHA1">
    <vt:lpwstr>DAACB08450204C0F46DD78BFF6F8049364488490</vt:lpwstr>
  </property>
  <property fmtid="{D5CDD505-2E9C-101B-9397-08002B2CF9AE}" pid="32" name="PM_ProtectiveMarkingImage_Header">
    <vt:lpwstr>C:\Program Files (x86)\Common Files\janusNET Shared\janusSEAL\Images\DocumentSlashBlue.png</vt:lpwstr>
  </property>
  <property fmtid="{D5CDD505-2E9C-101B-9397-08002B2CF9AE}" pid="33" name="PM_OriginatorUserAccountName_SHA256">
    <vt:lpwstr>9871F6CFFBF84B5DD096BCB24488EABDE9250CEAA716568F68B24D42DED533FD</vt:lpwstr>
  </property>
  <property fmtid="{D5CDD505-2E9C-101B-9397-08002B2CF9AE}" pid="34" name="PM_OriginatorDomainName_SHA256">
    <vt:lpwstr>E83A2A66C4061446A7E3732E8D44762184B6B377D962B96C83DC624302585857</vt:lpwstr>
  </property>
  <property fmtid="{D5CDD505-2E9C-101B-9397-08002B2CF9AE}" pid="35" name="PMUuid">
    <vt:lpwstr>v=2022.2;d=gov.au;g=46DD6D7C-8107-577B-BC6E-F348953B2E44</vt:lpwstr>
  </property>
  <property fmtid="{D5CDD505-2E9C-101B-9397-08002B2CF9AE}" pid="36" name="PM_Hash_Version">
    <vt:lpwstr>2022.1</vt:lpwstr>
  </property>
  <property fmtid="{D5CDD505-2E9C-101B-9397-08002B2CF9AE}" pid="37" name="PM_Hash_Salt_Prev">
    <vt:lpwstr>F454ADEF7423339426D942B7F66104B1</vt:lpwstr>
  </property>
  <property fmtid="{D5CDD505-2E9C-101B-9397-08002B2CF9AE}" pid="38" name="PM_Hash_Salt">
    <vt:lpwstr>F454ADEF7423339426D942B7F66104B1</vt:lpwstr>
  </property>
  <property fmtid="{D5CDD505-2E9C-101B-9397-08002B2CF9AE}" pid="39" name="PM_Hash_SHA1">
    <vt:lpwstr>1D162DA2C31A38387E87E5D55792A4E1E7B0A134</vt:lpwstr>
  </property>
</Properties>
</file>